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CFF30" w14:textId="77777777" w:rsidR="00CF3E9B" w:rsidRPr="00CF3E9B" w:rsidRDefault="00CF3E9B" w:rsidP="00CF3E9B">
      <w:pPr>
        <w:widowControl/>
        <w:tabs>
          <w:tab w:val="center" w:pos="4536"/>
          <w:tab w:val="right" w:pos="9072"/>
        </w:tabs>
        <w:overflowPunct w:val="0"/>
        <w:autoSpaceDE w:val="0"/>
        <w:autoSpaceDN w:val="0"/>
        <w:adjustRightInd w:val="0"/>
        <w:snapToGrid w:val="0"/>
        <w:spacing w:line="240" w:lineRule="auto"/>
        <w:jc w:val="left"/>
        <w:textAlignment w:val="baseline"/>
        <w:rPr>
          <w:rFonts w:eastAsia="宋体"/>
          <w:b/>
          <w:bCs/>
          <w:kern w:val="0"/>
          <w:sz w:val="22"/>
          <w:lang w:val="en-GB" w:eastAsia="ja-JP"/>
        </w:rPr>
      </w:pPr>
      <w:r w:rsidRPr="00CF3E9B">
        <w:rPr>
          <w:rFonts w:eastAsia="宋体"/>
          <w:b/>
          <w:bCs/>
          <w:kern w:val="0"/>
          <w:sz w:val="22"/>
          <w:lang w:val="en-GB" w:eastAsia="ja-JP"/>
        </w:rPr>
        <w:t>3GPP TSG RAN WG1 #96                                                     R1-1902330</w:t>
      </w:r>
    </w:p>
    <w:p w14:paraId="3696CE7F" w14:textId="77777777" w:rsidR="00CF3E9B" w:rsidRPr="00CF3E9B" w:rsidRDefault="00CF3E9B" w:rsidP="00CF3E9B">
      <w:pPr>
        <w:overflowPunct w:val="0"/>
        <w:autoSpaceDE w:val="0"/>
        <w:autoSpaceDN w:val="0"/>
        <w:adjustRightInd w:val="0"/>
        <w:snapToGrid w:val="0"/>
        <w:spacing w:line="240" w:lineRule="auto"/>
        <w:textAlignment w:val="baseline"/>
        <w:rPr>
          <w:rFonts w:eastAsia="宋体"/>
          <w:b/>
          <w:bCs/>
          <w:kern w:val="0"/>
          <w:sz w:val="22"/>
          <w:lang w:val="en-GB" w:eastAsia="ja-JP"/>
        </w:rPr>
      </w:pPr>
      <w:r w:rsidRPr="00CF3E9B">
        <w:rPr>
          <w:rFonts w:eastAsia="宋体"/>
          <w:b/>
          <w:bCs/>
          <w:kern w:val="0"/>
          <w:sz w:val="22"/>
          <w:lang w:val="en-GB" w:eastAsia="ja-JP"/>
        </w:rPr>
        <w:t>Athens, Greece, 25th February – 1st March, 2019</w:t>
      </w:r>
    </w:p>
    <w:p w14:paraId="527CB3DB" w14:textId="77777777" w:rsidR="00CF3E9B" w:rsidRPr="00CF3E9B" w:rsidRDefault="00CF3E9B" w:rsidP="00CF3E9B">
      <w:pPr>
        <w:overflowPunct w:val="0"/>
        <w:autoSpaceDE w:val="0"/>
        <w:autoSpaceDN w:val="0"/>
        <w:adjustRightInd w:val="0"/>
        <w:spacing w:line="240" w:lineRule="auto"/>
        <w:textAlignment w:val="baseline"/>
        <w:rPr>
          <w:rFonts w:eastAsia="宋体"/>
          <w:kern w:val="0"/>
          <w:sz w:val="22"/>
          <w:lang w:val="en-GB"/>
        </w:rPr>
      </w:pPr>
    </w:p>
    <w:p w14:paraId="150CAA9C"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eastAsia="ja-JP"/>
        </w:rPr>
      </w:pPr>
      <w:bookmarkStart w:id="0" w:name="OLE_LINK3"/>
      <w:bookmarkStart w:id="1" w:name="OLE_LINK4"/>
      <w:r w:rsidRPr="00CF3E9B">
        <w:rPr>
          <w:rFonts w:eastAsia="宋体"/>
          <w:b/>
          <w:kern w:val="0"/>
          <w:sz w:val="22"/>
          <w:lang w:eastAsia="ja-JP"/>
        </w:rPr>
        <w:t xml:space="preserve">Source: </w:t>
      </w:r>
      <w:r w:rsidRPr="00CF3E9B">
        <w:rPr>
          <w:rFonts w:eastAsia="宋体"/>
          <w:b/>
          <w:kern w:val="0"/>
          <w:sz w:val="22"/>
          <w:lang w:eastAsia="ja-JP"/>
        </w:rPr>
        <w:tab/>
        <w:t>CMCC</w:t>
      </w:r>
    </w:p>
    <w:p w14:paraId="21F9D22E"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eastAsia="ja-JP"/>
        </w:rPr>
        <w:t>Title:</w:t>
      </w:r>
      <w:bookmarkStart w:id="2" w:name="Title"/>
      <w:bookmarkEnd w:id="2"/>
      <w:r w:rsidRPr="00CF3E9B">
        <w:rPr>
          <w:rFonts w:eastAsia="宋体"/>
          <w:b/>
          <w:kern w:val="0"/>
          <w:sz w:val="22"/>
          <w:lang w:eastAsia="ja-JP"/>
        </w:rPr>
        <w:tab/>
      </w:r>
      <w:r w:rsidRPr="00CF3E9B">
        <w:rPr>
          <w:rFonts w:eastAsia="宋体"/>
          <w:b/>
          <w:bCs/>
          <w:kern w:val="0"/>
          <w:sz w:val="22"/>
          <w:lang w:val="en-GB" w:eastAsia="ja-JP"/>
        </w:rPr>
        <w:t>Discussion on HARQ feedback for NR V2X</w:t>
      </w:r>
    </w:p>
    <w:p w14:paraId="0800E856"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val="en-GB" w:eastAsia="ja-JP"/>
        </w:rPr>
        <w:t>Agenda item:</w:t>
      </w:r>
      <w:r w:rsidRPr="00CF3E9B">
        <w:rPr>
          <w:rFonts w:eastAsia="宋体"/>
          <w:b/>
          <w:kern w:val="0"/>
          <w:sz w:val="22"/>
          <w:lang w:val="en-GB" w:eastAsia="ja-JP"/>
        </w:rPr>
        <w:tab/>
      </w:r>
      <w:r w:rsidRPr="00CF3E9B">
        <w:rPr>
          <w:rFonts w:eastAsia="宋体"/>
          <w:b/>
          <w:kern w:val="0"/>
          <w:sz w:val="22"/>
          <w:lang w:val="en-GB"/>
        </w:rPr>
        <w:t>7.2.4.1.2</w:t>
      </w:r>
    </w:p>
    <w:p w14:paraId="25DDD282"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val="en-GB" w:eastAsia="ja-JP"/>
        </w:rPr>
        <w:t>Document for:</w:t>
      </w:r>
      <w:bookmarkStart w:id="3" w:name="DocumentFor"/>
      <w:bookmarkEnd w:id="3"/>
      <w:r w:rsidRPr="00CF3E9B">
        <w:rPr>
          <w:rFonts w:eastAsia="宋体"/>
          <w:b/>
          <w:kern w:val="0"/>
          <w:sz w:val="22"/>
          <w:lang w:val="en-GB"/>
        </w:rPr>
        <w:tab/>
      </w:r>
      <w:r w:rsidRPr="00CF3E9B">
        <w:rPr>
          <w:rFonts w:eastAsia="宋体"/>
          <w:b/>
          <w:kern w:val="0"/>
          <w:sz w:val="22"/>
          <w:lang w:val="en-GB" w:eastAsia="ja-JP"/>
        </w:rPr>
        <w:t>Discussion &amp; Decision</w:t>
      </w:r>
    </w:p>
    <w:p w14:paraId="49E17F98" w14:textId="77777777" w:rsidR="00CF3E9B" w:rsidRPr="00CF3E9B"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eastAsia="ja-JP"/>
        </w:rPr>
      </w:pPr>
      <w:bookmarkStart w:id="4" w:name="_Toc120549591"/>
      <w:bookmarkEnd w:id="0"/>
      <w:bookmarkEnd w:id="1"/>
      <w:r w:rsidRPr="00CF3E9B">
        <w:rPr>
          <w:rFonts w:eastAsia="宋体"/>
          <w:b/>
          <w:bCs/>
          <w:kern w:val="32"/>
          <w:sz w:val="22"/>
          <w:lang w:val="en-GB" w:eastAsia="ja-JP"/>
        </w:rPr>
        <w:t>Introduction</w:t>
      </w:r>
      <w:bookmarkEnd w:id="4"/>
    </w:p>
    <w:p w14:paraId="6AE8D72A" w14:textId="77777777" w:rsidR="00CF3E9B" w:rsidRPr="00CF3E9B" w:rsidRDefault="00CF3E9B" w:rsidP="00CF3E9B">
      <w:pPr>
        <w:widowControl/>
        <w:spacing w:after="180" w:line="240" w:lineRule="auto"/>
        <w:rPr>
          <w:rFonts w:eastAsia="宋体"/>
          <w:kern w:val="0"/>
          <w:sz w:val="22"/>
          <w:lang w:val="en-GB"/>
        </w:rPr>
      </w:pPr>
      <w:r w:rsidRPr="00CF3E9B">
        <w:rPr>
          <w:rFonts w:eastAsia="宋体"/>
          <w:kern w:val="0"/>
          <w:sz w:val="22"/>
          <w:lang w:val="en-GB"/>
        </w:rPr>
        <w:t>In RAN1 AdHoc 1901 meeting, the following agreements are made for NR V2X HARQ feedback in mode 1:</w:t>
      </w:r>
    </w:p>
    <w:p w14:paraId="01934426" w14:textId="77777777" w:rsidR="00CF3E9B" w:rsidRPr="00CF3E9B" w:rsidRDefault="00CF3E9B" w:rsidP="00CF3E9B">
      <w:pPr>
        <w:widowControl/>
        <w:spacing w:after="60" w:line="240" w:lineRule="auto"/>
        <w:jc w:val="left"/>
        <w:rPr>
          <w:rFonts w:eastAsia="Batang"/>
          <w:kern w:val="0"/>
          <w:sz w:val="22"/>
          <w:lang w:val="en-GB" w:eastAsia="en-US"/>
        </w:rPr>
      </w:pPr>
      <w:r w:rsidRPr="00CF3E9B">
        <w:rPr>
          <w:rFonts w:eastAsia="Batang"/>
          <w:kern w:val="0"/>
          <w:sz w:val="22"/>
          <w:highlight w:val="green"/>
          <w:lang w:val="en-GB" w:eastAsia="en-US"/>
        </w:rPr>
        <w:t>Agreements</w:t>
      </w:r>
      <w:r w:rsidRPr="00CF3E9B">
        <w:rPr>
          <w:rFonts w:eastAsia="Batang"/>
          <w:kern w:val="0"/>
          <w:sz w:val="22"/>
          <w:lang w:val="en-GB" w:eastAsia="en-US"/>
        </w:rPr>
        <w:t>:</w:t>
      </w:r>
    </w:p>
    <w:p w14:paraId="09AA09D9" w14:textId="77777777" w:rsidR="00CF3E9B" w:rsidRPr="00CF3E9B" w:rsidRDefault="00CF3E9B" w:rsidP="002E5013">
      <w:pPr>
        <w:widowControl/>
        <w:numPr>
          <w:ilvl w:val="0"/>
          <w:numId w:val="10"/>
        </w:numPr>
        <w:overflowPunct w:val="0"/>
        <w:autoSpaceDE w:val="0"/>
        <w:autoSpaceDN w:val="0"/>
        <w:adjustRightInd w:val="0"/>
        <w:spacing w:line="240" w:lineRule="auto"/>
        <w:ind w:hanging="357"/>
        <w:jc w:val="left"/>
        <w:textAlignment w:val="baseline"/>
        <w:rPr>
          <w:rFonts w:eastAsia="宋体"/>
          <w:kern w:val="0"/>
          <w:sz w:val="22"/>
          <w:lang w:val="en-GB" w:eastAsia="ja-JP"/>
        </w:rPr>
      </w:pPr>
      <w:r w:rsidRPr="00CF3E9B">
        <w:rPr>
          <w:rFonts w:eastAsia="宋体" w:hint="eastAsia"/>
          <w:kern w:val="0"/>
          <w:sz w:val="22"/>
          <w:lang w:val="en-GB" w:eastAsia="ja-JP"/>
        </w:rPr>
        <w:t>It is</w:t>
      </w:r>
      <w:r w:rsidRPr="00CF3E9B">
        <w:rPr>
          <w:rFonts w:eastAsia="宋体"/>
          <w:kern w:val="0"/>
          <w:sz w:val="22"/>
          <w:lang w:val="en-GB" w:eastAsia="ja-JP"/>
        </w:rPr>
        <w:t xml:space="preserve"> support</w:t>
      </w:r>
      <w:r w:rsidRPr="00CF3E9B">
        <w:rPr>
          <w:rFonts w:eastAsia="宋体" w:hint="eastAsia"/>
          <w:kern w:val="0"/>
          <w:sz w:val="22"/>
          <w:lang w:val="en-GB" w:eastAsia="ja-JP"/>
        </w:rPr>
        <w:t>ed</w:t>
      </w:r>
      <w:r w:rsidRPr="00CF3E9B">
        <w:rPr>
          <w:rFonts w:eastAsia="宋体"/>
          <w:kern w:val="0"/>
          <w:sz w:val="22"/>
          <w:lang w:val="en-GB" w:eastAsia="ja-JP"/>
        </w:rPr>
        <w:t xml:space="preserve"> that in mode 1 for unicast, the in-coverage UE sends an indication to gNB to indicate the need for retransmission </w:t>
      </w:r>
    </w:p>
    <w:p w14:paraId="5B488B78" w14:textId="77777777" w:rsidR="00CF3E9B" w:rsidRPr="00CF3E9B" w:rsidRDefault="00CF3E9B" w:rsidP="002E5013">
      <w:pPr>
        <w:widowControl/>
        <w:numPr>
          <w:ilvl w:val="1"/>
          <w:numId w:val="10"/>
        </w:numPr>
        <w:overflowPunct w:val="0"/>
        <w:autoSpaceDE w:val="0"/>
        <w:autoSpaceDN w:val="0"/>
        <w:adjustRightInd w:val="0"/>
        <w:spacing w:line="240" w:lineRule="auto"/>
        <w:ind w:hanging="357"/>
        <w:jc w:val="left"/>
        <w:textAlignment w:val="baseline"/>
        <w:rPr>
          <w:rFonts w:eastAsia="宋体"/>
          <w:kern w:val="0"/>
          <w:sz w:val="22"/>
          <w:lang w:val="en-GB" w:eastAsia="ja-JP"/>
        </w:rPr>
      </w:pPr>
      <w:r w:rsidRPr="00CF3E9B">
        <w:rPr>
          <w:rFonts w:eastAsia="宋体"/>
          <w:kern w:val="0"/>
          <w:sz w:val="22"/>
          <w:lang w:val="en-GB" w:eastAsia="ja-JP"/>
        </w:rPr>
        <w:t>A</w:t>
      </w:r>
      <w:r w:rsidRPr="00CF3E9B">
        <w:rPr>
          <w:rFonts w:eastAsia="宋体" w:hint="eastAsia"/>
          <w:kern w:val="0"/>
          <w:sz w:val="22"/>
          <w:lang w:val="en-GB" w:eastAsia="ja-JP"/>
        </w:rPr>
        <w:t xml:space="preserve">t </w:t>
      </w:r>
      <w:r w:rsidRPr="00CF3E9B">
        <w:rPr>
          <w:rFonts w:eastAsia="宋体"/>
          <w:kern w:val="0"/>
          <w:sz w:val="22"/>
          <w:lang w:val="en-GB" w:eastAsia="ja-JP"/>
        </w:rPr>
        <w:t>least PUCCH is used to report the information</w:t>
      </w:r>
    </w:p>
    <w:p w14:paraId="091B646F" w14:textId="77777777" w:rsidR="00CF3E9B" w:rsidRPr="00CF3E9B" w:rsidRDefault="00CF3E9B" w:rsidP="002E5013">
      <w:pPr>
        <w:widowControl/>
        <w:numPr>
          <w:ilvl w:val="2"/>
          <w:numId w:val="10"/>
        </w:numPr>
        <w:overflowPunct w:val="0"/>
        <w:autoSpaceDE w:val="0"/>
        <w:autoSpaceDN w:val="0"/>
        <w:adjustRightInd w:val="0"/>
        <w:spacing w:line="240" w:lineRule="auto"/>
        <w:ind w:hanging="357"/>
        <w:jc w:val="left"/>
        <w:textAlignment w:val="baseline"/>
        <w:rPr>
          <w:rFonts w:eastAsia="宋体"/>
          <w:kern w:val="0"/>
          <w:sz w:val="22"/>
          <w:lang w:val="en-GB" w:eastAsia="ja-JP"/>
        </w:rPr>
      </w:pPr>
      <w:r w:rsidRPr="00CF3E9B">
        <w:rPr>
          <w:rFonts w:eastAsia="宋体" w:hint="eastAsia"/>
          <w:kern w:val="0"/>
          <w:sz w:val="22"/>
          <w:lang w:val="en-GB" w:eastAsia="ja-JP"/>
        </w:rPr>
        <w:t>If feasible, RAN1 reuses PUCCH defined in Rel-15</w:t>
      </w:r>
    </w:p>
    <w:p w14:paraId="7AE8AC6B" w14:textId="77777777" w:rsidR="00CF3E9B" w:rsidRPr="00CF3E9B" w:rsidRDefault="00CF3E9B" w:rsidP="002E5013">
      <w:pPr>
        <w:widowControl/>
        <w:numPr>
          <w:ilvl w:val="1"/>
          <w:numId w:val="10"/>
        </w:numPr>
        <w:overflowPunct w:val="0"/>
        <w:autoSpaceDE w:val="0"/>
        <w:autoSpaceDN w:val="0"/>
        <w:adjustRightInd w:val="0"/>
        <w:spacing w:line="240" w:lineRule="auto"/>
        <w:ind w:hanging="357"/>
        <w:jc w:val="left"/>
        <w:textAlignment w:val="baseline"/>
        <w:rPr>
          <w:rFonts w:eastAsia="宋体"/>
          <w:kern w:val="0"/>
          <w:sz w:val="22"/>
          <w:lang w:val="en-GB" w:eastAsia="ja-JP"/>
        </w:rPr>
      </w:pPr>
      <w:r w:rsidRPr="00CF3E9B">
        <w:rPr>
          <w:rFonts w:eastAsia="宋体"/>
          <w:kern w:val="0"/>
          <w:sz w:val="22"/>
          <w:lang w:val="en-GB" w:eastAsia="ja-JP"/>
        </w:rPr>
        <w:t>The gNB can also schedule re-transmission resource</w:t>
      </w:r>
    </w:p>
    <w:p w14:paraId="4B2B8A9E" w14:textId="77777777" w:rsidR="00CF3E9B" w:rsidRPr="00CF3E9B" w:rsidRDefault="00CF3E9B" w:rsidP="002E5013">
      <w:pPr>
        <w:widowControl/>
        <w:numPr>
          <w:ilvl w:val="1"/>
          <w:numId w:val="10"/>
        </w:numPr>
        <w:overflowPunct w:val="0"/>
        <w:autoSpaceDE w:val="0"/>
        <w:autoSpaceDN w:val="0"/>
        <w:adjustRightInd w:val="0"/>
        <w:spacing w:line="240" w:lineRule="auto"/>
        <w:ind w:hanging="357"/>
        <w:jc w:val="left"/>
        <w:textAlignment w:val="baseline"/>
        <w:rPr>
          <w:rFonts w:eastAsia="宋体"/>
          <w:kern w:val="0"/>
          <w:sz w:val="22"/>
          <w:lang w:val="en-GB" w:eastAsia="ja-JP"/>
        </w:rPr>
      </w:pPr>
      <w:r w:rsidRPr="00CF3E9B">
        <w:rPr>
          <w:rFonts w:eastAsia="宋体"/>
          <w:kern w:val="0"/>
          <w:sz w:val="22"/>
          <w:lang w:val="en-GB" w:eastAsia="ja-JP"/>
        </w:rPr>
        <w:t>FFS transmitter UE and/or receiver UE</w:t>
      </w:r>
    </w:p>
    <w:p w14:paraId="6071B214" w14:textId="77777777" w:rsidR="00CF3E9B" w:rsidRPr="00CF3E9B" w:rsidRDefault="00CF3E9B" w:rsidP="002E5013">
      <w:pPr>
        <w:widowControl/>
        <w:numPr>
          <w:ilvl w:val="2"/>
          <w:numId w:val="10"/>
        </w:numPr>
        <w:overflowPunct w:val="0"/>
        <w:autoSpaceDE w:val="0"/>
        <w:autoSpaceDN w:val="0"/>
        <w:adjustRightInd w:val="0"/>
        <w:spacing w:line="240" w:lineRule="auto"/>
        <w:ind w:hanging="357"/>
        <w:jc w:val="left"/>
        <w:textAlignment w:val="baseline"/>
        <w:rPr>
          <w:rFonts w:eastAsia="宋体"/>
          <w:kern w:val="0"/>
          <w:sz w:val="22"/>
          <w:lang w:val="en-GB" w:eastAsia="ja-JP"/>
        </w:rPr>
      </w:pPr>
      <w:r w:rsidRPr="00CF3E9B">
        <w:rPr>
          <w:rFonts w:eastAsia="宋体"/>
          <w:kern w:val="0"/>
          <w:sz w:val="22"/>
          <w:lang w:val="en-GB" w:eastAsia="ja-JP"/>
        </w:rPr>
        <w:t>If receiver UE, the indication is in the form of HARQ ACK/NAK</w:t>
      </w:r>
    </w:p>
    <w:p w14:paraId="42FC45DE" w14:textId="428F48C6" w:rsidR="00CF3E9B" w:rsidRPr="00CF3E9B" w:rsidRDefault="00CF3E9B" w:rsidP="002E5013">
      <w:pPr>
        <w:widowControl/>
        <w:numPr>
          <w:ilvl w:val="2"/>
          <w:numId w:val="10"/>
        </w:numPr>
        <w:overflowPunct w:val="0"/>
        <w:autoSpaceDE w:val="0"/>
        <w:autoSpaceDN w:val="0"/>
        <w:adjustRightInd w:val="0"/>
        <w:spacing w:line="240" w:lineRule="auto"/>
        <w:ind w:hanging="357"/>
        <w:jc w:val="left"/>
        <w:textAlignment w:val="baseline"/>
        <w:rPr>
          <w:rFonts w:eastAsia="宋体" w:hint="eastAsia"/>
          <w:kern w:val="0"/>
          <w:sz w:val="22"/>
          <w:lang w:val="en-GB" w:eastAsia="ja-JP"/>
        </w:rPr>
      </w:pPr>
      <w:r w:rsidRPr="00CF3E9B">
        <w:rPr>
          <w:rFonts w:eastAsia="宋体"/>
          <w:kern w:val="0"/>
          <w:sz w:val="22"/>
          <w:lang w:val="en-GB" w:eastAsia="ja-JP"/>
        </w:rPr>
        <w:t>If transmitter UE, FFS</w:t>
      </w:r>
    </w:p>
    <w:p w14:paraId="631129B7" w14:textId="77777777" w:rsidR="00CF3E9B" w:rsidRPr="00CF3E9B" w:rsidRDefault="00CF3E9B" w:rsidP="00CF3E9B">
      <w:pPr>
        <w:widowControl/>
        <w:spacing w:afterLines="50" w:after="156" w:line="240" w:lineRule="auto"/>
        <w:rPr>
          <w:rFonts w:eastAsia="宋体"/>
          <w:kern w:val="0"/>
          <w:sz w:val="22"/>
          <w:lang w:val="en-GB"/>
        </w:rPr>
      </w:pPr>
      <w:r w:rsidRPr="00CF3E9B">
        <w:rPr>
          <w:rFonts w:eastAsia="宋体"/>
          <w:kern w:val="0"/>
          <w:sz w:val="22"/>
          <w:lang w:val="en-GB"/>
        </w:rPr>
        <w:t>In this contribution, we will further discuss the remaining issues for HARQ feedback for NR V2X in mode 1. This contribution is a revision of R1-1900405.</w:t>
      </w:r>
    </w:p>
    <w:p w14:paraId="247A4A0B" w14:textId="77777777" w:rsidR="00CF3E9B" w:rsidRPr="00CF3E9B"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CF3E9B">
        <w:rPr>
          <w:rFonts w:eastAsia="宋体"/>
          <w:b/>
          <w:bCs/>
          <w:kern w:val="32"/>
          <w:sz w:val="22"/>
          <w:lang w:val="en-GB"/>
        </w:rPr>
        <w:t>Sidelink HARQ feedback in mode 1</w:t>
      </w:r>
    </w:p>
    <w:p w14:paraId="02774571"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kern w:val="0"/>
          <w:sz w:val="22"/>
          <w:lang w:val="en-GB"/>
        </w:rPr>
        <w:t>In NR sidelink mode 1, the gNB schedules the initial transmission resources and it is agreed in last RAN1 meeting that it is supported in mode 1 unicast, the in-coverage UE can send an indication to gNB to indicate the need for retransmission. This is more resource efficient as the retransmission resources and MCS can be appropriately determined. Generally, the following two options are considered for sending the indication to gNB:</w:t>
      </w:r>
    </w:p>
    <w:p w14:paraId="34AFB16E" w14:textId="77777777" w:rsidR="00CF3E9B" w:rsidRPr="00CF3E9B" w:rsidRDefault="00CF3E9B" w:rsidP="00CF3E9B">
      <w:pPr>
        <w:widowControl/>
        <w:overflowPunct w:val="0"/>
        <w:autoSpaceDE w:val="0"/>
        <w:autoSpaceDN w:val="0"/>
        <w:adjustRightInd w:val="0"/>
        <w:spacing w:beforeLines="50" w:before="156" w:afterLines="50" w:after="156" w:line="240" w:lineRule="auto"/>
        <w:jc w:val="left"/>
        <w:textAlignment w:val="baseline"/>
        <w:rPr>
          <w:rFonts w:eastAsia="MS Mincho"/>
          <w:i/>
          <w:kern w:val="0"/>
          <w:sz w:val="22"/>
          <w:u w:val="single"/>
          <w:lang w:val="en-GB" w:eastAsia="ja-JP"/>
        </w:rPr>
      </w:pPr>
      <w:bookmarkStart w:id="5" w:name="_Hlk534299304"/>
      <w:r w:rsidRPr="00CF3E9B">
        <w:rPr>
          <w:rFonts w:eastAsia="宋体"/>
          <w:i/>
          <w:kern w:val="0"/>
          <w:sz w:val="22"/>
          <w:u w:val="single"/>
          <w:lang w:val="en-GB" w:eastAsia="ja-JP"/>
        </w:rPr>
        <w:t>Option 1: The transmitter sends sidelink HARQ feedback information to gNB after it receives the SFCI from receiver:</w:t>
      </w:r>
    </w:p>
    <w:bookmarkEnd w:id="5"/>
    <w:p w14:paraId="53369756"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eastAsia="ja-JP"/>
        </w:rPr>
      </w:pPr>
      <w:r w:rsidRPr="00CF3E9B">
        <w:rPr>
          <w:rFonts w:eastAsia="宋体"/>
          <w:kern w:val="0"/>
          <w:sz w:val="22"/>
          <w:lang w:val="en-GB" w:eastAsia="ja-JP"/>
        </w:rPr>
        <w:t>As described in Fig. 1(a), in this option, receiver decodes the SCI/sidelink data and ACK/NACK is fed back to transmitter via sidelink resource. When transmitter receives the SFCI, it can send request to gNB to apply for sidelink resource for retransmission.</w:t>
      </w:r>
    </w:p>
    <w:p w14:paraId="7058AEEF"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kern w:val="0"/>
          <w:sz w:val="22"/>
          <w:lang w:val="en-GB"/>
        </w:rPr>
        <w:t xml:space="preserve">Intuitively, the indication can be in form of HARQ ACK/NACK, SR or BSR. If SR is used to carry the indication, gNB would have no knowledge of how much resource the transmitter applies for and whether the resource is used for initial transmission/retransmission as well as the corresponding HARQ process since that SR cannot carry so much information. If BSR is used to carry the indication, the latency may be increased for that MAC decoding is needed for BSR. Therefore, it is beneficial for transmitter to directly forward the sidelink HARQ feedback to gNB for efficient scheduling. </w:t>
      </w:r>
      <w:bookmarkStart w:id="6" w:name="_Hlk534300013"/>
      <w:r w:rsidRPr="00CF3E9B">
        <w:rPr>
          <w:rFonts w:eastAsia="宋体"/>
          <w:kern w:val="0"/>
          <w:sz w:val="22"/>
          <w:lang w:val="en-GB"/>
        </w:rPr>
        <w:t>Transmitter could forward the sidelink HARQ feedback to gNB on resources assigned by sidelink grant explicitly or implicitly determined by resource for sidelink grant/SCI/sidelink data/SFCI.</w:t>
      </w:r>
      <w:bookmarkEnd w:id="6"/>
      <w:r w:rsidRPr="00CF3E9B">
        <w:rPr>
          <w:rFonts w:eastAsia="宋体"/>
          <w:kern w:val="0"/>
          <w:sz w:val="22"/>
          <w:lang w:val="en-GB"/>
        </w:rPr>
        <w:t xml:space="preserve"> Particularly, considering uplink resource limitation on Uu interface in </w:t>
      </w:r>
      <w:r w:rsidRPr="00CF3E9B">
        <w:rPr>
          <w:rFonts w:eastAsia="宋体"/>
          <w:kern w:val="0"/>
          <w:sz w:val="22"/>
          <w:lang w:val="en-GB"/>
        </w:rPr>
        <w:lastRenderedPageBreak/>
        <w:t>TDD, HARQ ACK/NACK multiplexing among multiple receivers and/or multiple HARQ processes should be supported.</w:t>
      </w:r>
    </w:p>
    <w:p w14:paraId="153BE7DC" w14:textId="77777777" w:rsidR="00CF3E9B" w:rsidRPr="00CF3E9B" w:rsidRDefault="00CF3E9B" w:rsidP="00CF3E9B">
      <w:pPr>
        <w:widowControl/>
        <w:overflowPunct w:val="0"/>
        <w:autoSpaceDE w:val="0"/>
        <w:autoSpaceDN w:val="0"/>
        <w:adjustRightInd w:val="0"/>
        <w:spacing w:beforeLines="50" w:before="156" w:afterLines="50" w:after="156" w:line="240" w:lineRule="auto"/>
        <w:jc w:val="left"/>
        <w:textAlignment w:val="baseline"/>
        <w:rPr>
          <w:rFonts w:eastAsia="宋体"/>
          <w:i/>
          <w:kern w:val="0"/>
          <w:sz w:val="22"/>
          <w:u w:val="single"/>
          <w:lang w:val="en-GB" w:eastAsia="ja-JP"/>
        </w:rPr>
      </w:pPr>
      <w:bookmarkStart w:id="7" w:name="_Hlk534299345"/>
      <w:r w:rsidRPr="00CF3E9B">
        <w:rPr>
          <w:rFonts w:eastAsia="宋体"/>
          <w:i/>
          <w:kern w:val="0"/>
          <w:sz w:val="22"/>
          <w:u w:val="single"/>
          <w:lang w:val="en-GB" w:eastAsia="ja-JP"/>
        </w:rPr>
        <w:t xml:space="preserve">Option 2: </w:t>
      </w:r>
      <w:bookmarkEnd w:id="7"/>
      <w:r w:rsidRPr="00CF3E9B">
        <w:rPr>
          <w:rFonts w:eastAsia="宋体"/>
          <w:i/>
          <w:kern w:val="0"/>
          <w:sz w:val="22"/>
          <w:u w:val="single"/>
          <w:lang w:val="en-GB" w:eastAsia="ja-JP"/>
        </w:rPr>
        <w:t>Receiver directly sends an indication to gNB to indicate the need for retransmission:</w:t>
      </w:r>
    </w:p>
    <w:p w14:paraId="363A9F17"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eastAsia="ja-JP"/>
        </w:rPr>
      </w:pPr>
      <w:r w:rsidRPr="00CF3E9B">
        <w:rPr>
          <w:rFonts w:eastAsia="宋体"/>
          <w:kern w:val="0"/>
          <w:sz w:val="22"/>
          <w:lang w:val="en-GB" w:eastAsia="ja-JP"/>
        </w:rPr>
        <w:t>As described in Fig. 1(b), in this option, receiver decodes the SCI/sidelink data and ACK/NACK is fed back to gNB via uplink resource. When gNB receives the HARQ feedback indication, it can deliver sidelink grant to transmitter to schedule the corresponding retransmission.</w:t>
      </w:r>
    </w:p>
    <w:p w14:paraId="01F609BB"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hint="eastAsia"/>
          <w:kern w:val="0"/>
          <w:sz w:val="22"/>
          <w:lang w:val="en-GB"/>
        </w:rPr>
        <w:t>M</w:t>
      </w:r>
      <w:r w:rsidRPr="00CF3E9B">
        <w:rPr>
          <w:rFonts w:eastAsia="宋体"/>
          <w:kern w:val="0"/>
          <w:sz w:val="22"/>
          <w:lang w:val="en-GB"/>
        </w:rPr>
        <w:t>oreover, it is agreed that at least PUCCH is used to report the indication</w:t>
      </w:r>
      <w:bookmarkStart w:id="8" w:name="_Hlk534299867"/>
      <w:r w:rsidRPr="00CF3E9B">
        <w:rPr>
          <w:rFonts w:eastAsia="宋体"/>
          <w:kern w:val="0"/>
          <w:sz w:val="22"/>
          <w:lang w:val="en-GB"/>
        </w:rPr>
        <w:t xml:space="preserve">, and intuitively, it is simple and feasible to reuse the resource allocation mechanism for PUCCH containing downlink HARQ feedback in NR. That is, </w:t>
      </w:r>
      <w:bookmarkStart w:id="9" w:name="_Hlk536695873"/>
      <w:r w:rsidRPr="00CF3E9B">
        <w:rPr>
          <w:rFonts w:eastAsia="宋体"/>
          <w:kern w:val="0"/>
          <w:sz w:val="22"/>
          <w:lang w:val="en-GB"/>
        </w:rPr>
        <w:t>a set of PUCCH resources (including PUCCH resource ID and timing) are configured via higher layers by gNB and a specific PUCCH resource is selected dynamically according to the following options:</w:t>
      </w:r>
      <w:bookmarkEnd w:id="9"/>
    </w:p>
    <w:p w14:paraId="56DFEC47" w14:textId="77777777" w:rsidR="00CF3E9B" w:rsidRPr="00CF3E9B" w:rsidRDefault="00CF3E9B" w:rsidP="002E5013">
      <w:pPr>
        <w:widowControl/>
        <w:numPr>
          <w:ilvl w:val="0"/>
          <w:numId w:val="8"/>
        </w:numPr>
        <w:overflowPunct w:val="0"/>
        <w:autoSpaceDE w:val="0"/>
        <w:autoSpaceDN w:val="0"/>
        <w:adjustRightInd w:val="0"/>
        <w:spacing w:after="60" w:line="240" w:lineRule="auto"/>
        <w:jc w:val="left"/>
        <w:textAlignment w:val="baseline"/>
        <w:rPr>
          <w:rFonts w:eastAsia="宋体"/>
          <w:kern w:val="0"/>
          <w:sz w:val="22"/>
          <w:lang w:val="en-GB"/>
        </w:rPr>
      </w:pPr>
      <w:bookmarkStart w:id="10" w:name="_Hlk534299919"/>
      <w:bookmarkStart w:id="11" w:name="_Hlk536695889"/>
      <w:bookmarkEnd w:id="8"/>
      <w:r w:rsidRPr="00CF3E9B">
        <w:rPr>
          <w:rFonts w:ascii="Times" w:eastAsia="宋体" w:hAnsi="Times"/>
          <w:kern w:val="0"/>
          <w:sz w:val="22"/>
          <w:lang w:val="en-GB"/>
        </w:rPr>
        <w:t>The dynamic indication for a specific PUCCH resource can be sent by gNB via sidelink grant to transmitter and forwarded in SCI transmission to receiver by transmitter.</w:t>
      </w:r>
    </w:p>
    <w:p w14:paraId="6778331D" w14:textId="77777777" w:rsidR="00CF3E9B" w:rsidRPr="00CF3E9B" w:rsidRDefault="00CF3E9B" w:rsidP="002E5013">
      <w:pPr>
        <w:widowControl/>
        <w:numPr>
          <w:ilvl w:val="0"/>
          <w:numId w:val="8"/>
        </w:numPr>
        <w:overflowPunct w:val="0"/>
        <w:autoSpaceDE w:val="0"/>
        <w:autoSpaceDN w:val="0"/>
        <w:adjustRightInd w:val="0"/>
        <w:spacing w:after="60" w:line="240" w:lineRule="auto"/>
        <w:jc w:val="left"/>
        <w:textAlignment w:val="baseline"/>
        <w:rPr>
          <w:rFonts w:eastAsia="宋体"/>
          <w:kern w:val="0"/>
          <w:sz w:val="22"/>
          <w:lang w:val="en-GB"/>
        </w:rPr>
      </w:pPr>
      <w:r w:rsidRPr="00CF3E9B">
        <w:rPr>
          <w:rFonts w:ascii="Times" w:eastAsia="宋体" w:hAnsi="Times"/>
          <w:kern w:val="0"/>
          <w:sz w:val="22"/>
          <w:lang w:val="en-GB"/>
        </w:rPr>
        <w:t>The dynamic indication for a specific PUCCH resource</w:t>
      </w:r>
      <w:r w:rsidRPr="00CF3E9B">
        <w:rPr>
          <w:rFonts w:eastAsia="宋体"/>
          <w:kern w:val="0"/>
          <w:sz w:val="22"/>
          <w:lang w:val="en-GB"/>
        </w:rPr>
        <w:t xml:space="preserve"> can be sent by gNB via sidelink grant to receiver.</w:t>
      </w:r>
    </w:p>
    <w:p w14:paraId="094DCFC8" w14:textId="77777777" w:rsidR="00CF3E9B" w:rsidRPr="00CF3E9B" w:rsidRDefault="00CF3E9B" w:rsidP="002E5013">
      <w:pPr>
        <w:widowControl/>
        <w:numPr>
          <w:ilvl w:val="0"/>
          <w:numId w:val="8"/>
        </w:numPr>
        <w:overflowPunct w:val="0"/>
        <w:autoSpaceDE w:val="0"/>
        <w:autoSpaceDN w:val="0"/>
        <w:adjustRightInd w:val="0"/>
        <w:spacing w:after="60" w:line="240" w:lineRule="auto"/>
        <w:jc w:val="left"/>
        <w:textAlignment w:val="baseline"/>
        <w:rPr>
          <w:rFonts w:eastAsia="宋体"/>
          <w:kern w:val="0"/>
          <w:sz w:val="22"/>
          <w:lang w:val="en-GB"/>
        </w:rPr>
      </w:pPr>
      <w:r w:rsidRPr="00CF3E9B">
        <w:rPr>
          <w:rFonts w:ascii="Times" w:eastAsia="宋体" w:hAnsi="Times"/>
          <w:kern w:val="0"/>
          <w:sz w:val="22"/>
          <w:lang w:val="en-GB"/>
        </w:rPr>
        <w:t>The dynamic indication for a specific PUCCH resource</w:t>
      </w:r>
      <w:r w:rsidRPr="00CF3E9B">
        <w:rPr>
          <w:rFonts w:eastAsia="宋体"/>
          <w:kern w:val="0"/>
          <w:sz w:val="22"/>
          <w:lang w:val="en-GB"/>
        </w:rPr>
        <w:t xml:space="preserve"> can be implicitly determined by the resource for SCI/sidelink data.</w:t>
      </w:r>
      <w:bookmarkEnd w:id="10"/>
    </w:p>
    <w:bookmarkEnd w:id="11"/>
    <w:p w14:paraId="0928E2E2"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rPr>
      </w:pPr>
    </w:p>
    <w:p w14:paraId="0094A690"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eastAsia="ja-JP"/>
        </w:rPr>
      </w:pPr>
      <w:r w:rsidRPr="00CF3E9B">
        <w:rPr>
          <w:rFonts w:eastAsia="宋体"/>
          <w:kern w:val="0"/>
          <w:sz w:val="22"/>
          <w:lang w:val="en-GB" w:eastAsia="ja-JP"/>
        </w:rPr>
        <w:object w:dxaOrig="5160" w:dyaOrig="2604" w14:anchorId="0DDE0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24pt;height:113pt" o:ole="">
            <v:imagedata r:id="rId8" o:title=""/>
          </v:shape>
          <o:OLEObject Type="Embed" ProgID="Visio.Drawing.15" ShapeID="_x0000_i1049" DrawAspect="Content" ObjectID="_1611751022" r:id="rId9"/>
        </w:object>
      </w:r>
      <w:r w:rsidRPr="00CF3E9B">
        <w:rPr>
          <w:rFonts w:eastAsia="宋体"/>
          <w:kern w:val="0"/>
          <w:sz w:val="22"/>
          <w:lang w:val="en-GB" w:eastAsia="ja-JP"/>
        </w:rPr>
        <w:t xml:space="preserve">    </w:t>
      </w:r>
      <w:r w:rsidRPr="00CF3E9B">
        <w:rPr>
          <w:rFonts w:eastAsia="宋体"/>
          <w:kern w:val="0"/>
          <w:sz w:val="22"/>
          <w:lang w:val="en-GB" w:eastAsia="ja-JP"/>
        </w:rPr>
        <w:object w:dxaOrig="5160" w:dyaOrig="2520" w14:anchorId="1A58DA57">
          <v:shape id="_x0000_i1050" type="#_x0000_t75" style="width:217.5pt;height:106pt" o:ole="">
            <v:imagedata r:id="rId10" o:title=""/>
          </v:shape>
          <o:OLEObject Type="Embed" ProgID="Visio.Drawing.15" ShapeID="_x0000_i1050" DrawAspect="Content" ObjectID="_1611751023" r:id="rId11"/>
        </w:object>
      </w:r>
    </w:p>
    <w:p w14:paraId="61C6871A"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eastAsia="ja-JP"/>
        </w:rPr>
      </w:pPr>
      <w:r w:rsidRPr="00CF3E9B">
        <w:rPr>
          <w:rFonts w:eastAsia="宋体"/>
          <w:kern w:val="0"/>
          <w:sz w:val="22"/>
          <w:lang w:val="en-GB" w:eastAsia="ja-JP"/>
        </w:rPr>
        <w:t xml:space="preserve">              Option 1                                     Option 2</w:t>
      </w:r>
    </w:p>
    <w:p w14:paraId="1839D168" w14:textId="77777777" w:rsidR="00CF3E9B" w:rsidRPr="00CF3E9B" w:rsidRDefault="00CF3E9B" w:rsidP="00CF3E9B">
      <w:pPr>
        <w:widowControl/>
        <w:overflowPunct w:val="0"/>
        <w:autoSpaceDE w:val="0"/>
        <w:autoSpaceDN w:val="0"/>
        <w:adjustRightInd w:val="0"/>
        <w:spacing w:before="120" w:after="120" w:line="240" w:lineRule="auto"/>
        <w:jc w:val="center"/>
        <w:textAlignment w:val="baseline"/>
        <w:rPr>
          <w:rFonts w:eastAsia="宋体"/>
          <w:kern w:val="0"/>
          <w:sz w:val="22"/>
          <w:lang w:val="en-GB" w:eastAsia="en-US"/>
        </w:rPr>
      </w:pPr>
      <w:r w:rsidRPr="00CF3E9B">
        <w:rPr>
          <w:rFonts w:eastAsia="宋体"/>
          <w:kern w:val="0"/>
          <w:sz w:val="22"/>
          <w:lang w:val="en-GB" w:eastAsia="en-US"/>
        </w:rPr>
        <w:t>Figure 1: Sidelink HARQ feedback via Uu for Mode 1</w:t>
      </w:r>
    </w:p>
    <w:p w14:paraId="7D23435E"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rPr>
      </w:pPr>
      <w:r w:rsidRPr="00CF3E9B">
        <w:rPr>
          <w:rFonts w:eastAsia="宋体" w:hint="eastAsia"/>
          <w:kern w:val="0"/>
          <w:sz w:val="22"/>
        </w:rPr>
        <w:t>C</w:t>
      </w:r>
      <w:r w:rsidRPr="00CF3E9B">
        <w:rPr>
          <w:rFonts w:eastAsia="宋体"/>
          <w:kern w:val="0"/>
          <w:sz w:val="22"/>
        </w:rPr>
        <w:t>omparing the above two options, we can draw the following observations:</w:t>
      </w:r>
    </w:p>
    <w:p w14:paraId="4CDC5D04" w14:textId="77777777" w:rsidR="00CF3E9B" w:rsidRPr="00CF3E9B" w:rsidRDefault="00CF3E9B" w:rsidP="002E5013">
      <w:pPr>
        <w:widowControl/>
        <w:numPr>
          <w:ilvl w:val="0"/>
          <w:numId w:val="9"/>
        </w:numPr>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i/>
          <w:kern w:val="0"/>
          <w:sz w:val="22"/>
          <w:u w:val="single"/>
          <w:lang w:val="en-GB"/>
        </w:rPr>
        <w:t>Reliability</w:t>
      </w:r>
      <w:r w:rsidRPr="00CF3E9B">
        <w:rPr>
          <w:rFonts w:eastAsia="宋体"/>
          <w:kern w:val="0"/>
          <w:sz w:val="22"/>
          <w:lang w:val="en-GB"/>
        </w:rPr>
        <w:t xml:space="preserve">: HARQ ACK/NACK would be feedback by receiver via uplink resource if option 2 is used. Since sidelink resources are shared by vehicles simultaneously while uplink resource is usually granted and dedicated, hence the reliability of SFCI could be widely guaranteed. </w:t>
      </w:r>
    </w:p>
    <w:p w14:paraId="3CE943A3" w14:textId="77777777" w:rsidR="00CF3E9B" w:rsidRPr="00CF3E9B" w:rsidRDefault="00CF3E9B" w:rsidP="002E5013">
      <w:pPr>
        <w:widowControl/>
        <w:numPr>
          <w:ilvl w:val="0"/>
          <w:numId w:val="9"/>
        </w:numPr>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i/>
          <w:kern w:val="0"/>
          <w:sz w:val="22"/>
          <w:u w:val="single"/>
          <w:lang w:val="en-GB"/>
        </w:rPr>
        <w:t>Latency</w:t>
      </w:r>
      <w:r w:rsidRPr="00CF3E9B">
        <w:rPr>
          <w:rFonts w:eastAsia="宋体"/>
          <w:kern w:val="0"/>
          <w:sz w:val="22"/>
          <w:lang w:val="en-GB"/>
        </w:rPr>
        <w:t>: Compared to option 1, option 2 has only one procedure on sidelink. Therefore, the RTT is smaller in option 2.</w:t>
      </w:r>
    </w:p>
    <w:p w14:paraId="5BD48E3E" w14:textId="77777777" w:rsidR="00CF3E9B" w:rsidRPr="00CF3E9B" w:rsidRDefault="00CF3E9B" w:rsidP="002E5013">
      <w:pPr>
        <w:widowControl/>
        <w:numPr>
          <w:ilvl w:val="0"/>
          <w:numId w:val="9"/>
        </w:numPr>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i/>
          <w:kern w:val="0"/>
          <w:sz w:val="22"/>
          <w:u w:val="single"/>
          <w:lang w:val="en-GB"/>
        </w:rPr>
        <w:t>Spectral efficiency</w:t>
      </w:r>
      <w:r w:rsidRPr="00CF3E9B">
        <w:rPr>
          <w:rFonts w:eastAsia="宋体"/>
          <w:i/>
          <w:kern w:val="0"/>
          <w:sz w:val="22"/>
          <w:lang w:val="en-GB"/>
        </w:rPr>
        <w:t xml:space="preserve">: </w:t>
      </w:r>
      <w:r w:rsidRPr="00CF3E9B">
        <w:rPr>
          <w:rFonts w:eastAsia="宋体"/>
          <w:kern w:val="0"/>
          <w:sz w:val="22"/>
          <w:lang w:val="en-GB"/>
        </w:rPr>
        <w:t>Considering half duplex limitation on sidelink, in option 1, transmitter could not send data when receiving SFCI. That means option 1 will cause sidelink spectral efficiency decreasing comparing to option 2.</w:t>
      </w:r>
    </w:p>
    <w:p w14:paraId="0461CC0D" w14:textId="77777777" w:rsidR="00CF3E9B" w:rsidRPr="00CF3E9B" w:rsidRDefault="00CF3E9B" w:rsidP="002E5013">
      <w:pPr>
        <w:widowControl/>
        <w:numPr>
          <w:ilvl w:val="0"/>
          <w:numId w:val="9"/>
        </w:numPr>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hint="eastAsia"/>
          <w:i/>
          <w:kern w:val="0"/>
          <w:sz w:val="22"/>
          <w:u w:val="single"/>
          <w:lang w:val="en-GB"/>
        </w:rPr>
        <w:t>S</w:t>
      </w:r>
      <w:r w:rsidRPr="00CF3E9B">
        <w:rPr>
          <w:rFonts w:eastAsia="宋体"/>
          <w:i/>
          <w:kern w:val="0"/>
          <w:sz w:val="22"/>
          <w:u w:val="single"/>
          <w:lang w:val="en-GB"/>
        </w:rPr>
        <w:t>cenario</w:t>
      </w:r>
      <w:r w:rsidRPr="00CF3E9B">
        <w:rPr>
          <w:rFonts w:eastAsia="宋体"/>
          <w:kern w:val="0"/>
          <w:sz w:val="22"/>
          <w:lang w:val="en-GB"/>
        </w:rPr>
        <w:t xml:space="preserve">: option 2 requires Uu connection of both transmitter and receiver which means it can only work in in-coverage scenario, while partial coverage is enough for option 1. </w:t>
      </w:r>
    </w:p>
    <w:p w14:paraId="36DDB4F0" w14:textId="77777777" w:rsidR="00CF3E9B" w:rsidRPr="00CF3E9B" w:rsidRDefault="00CF3E9B" w:rsidP="002E5013">
      <w:pPr>
        <w:widowControl/>
        <w:numPr>
          <w:ilvl w:val="0"/>
          <w:numId w:val="9"/>
        </w:numPr>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i/>
          <w:kern w:val="0"/>
          <w:sz w:val="22"/>
          <w:u w:val="single"/>
          <w:lang w:val="en-GB"/>
        </w:rPr>
        <w:lastRenderedPageBreak/>
        <w:t>Implementation</w:t>
      </w:r>
      <w:r w:rsidRPr="00CF3E9B">
        <w:rPr>
          <w:rFonts w:eastAsia="宋体"/>
          <w:kern w:val="0"/>
          <w:sz w:val="22"/>
          <w:lang w:val="en-GB"/>
        </w:rPr>
        <w:t xml:space="preserve">: a drawback of option 2 is that transmitter and receiver should be controlled by the same gNB or by coordinated gNBs, i.e. when the transmitter and receiver are in coverage of different gNBs, a dynamic cooperation between gNBs is needed to support option 2. </w:t>
      </w:r>
    </w:p>
    <w:p w14:paraId="72732716"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kern w:val="0"/>
          <w:sz w:val="22"/>
          <w:lang w:val="en-GB"/>
        </w:rPr>
      </w:pPr>
      <w:r w:rsidRPr="00CF3E9B">
        <w:rPr>
          <w:rFonts w:eastAsia="宋体" w:hint="eastAsia"/>
          <w:kern w:val="0"/>
          <w:sz w:val="22"/>
          <w:lang w:val="en-GB"/>
        </w:rPr>
        <w:t>T</w:t>
      </w:r>
      <w:r w:rsidRPr="00CF3E9B">
        <w:rPr>
          <w:rFonts w:eastAsia="宋体"/>
          <w:kern w:val="0"/>
          <w:sz w:val="22"/>
          <w:lang w:val="en-GB"/>
        </w:rPr>
        <w:t>aking all of the above aspects into consideration, we prefer that the both two options should be supported for different scenarios to achieve better performance. For instance, when transmitter and receiver are in coverage of the same gNB or coordinated gNBs, option 2 could be applied for lower latency, higher reliability and spectral efficiency. In this scenario, whether option 1 or option 2 is applied could be indicated by gNB. While in partial coverage scenario, option 1 can be used for simpler implementation.</w:t>
      </w:r>
    </w:p>
    <w:p w14:paraId="46AF7745"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roposal 1: It should be supported that both transmitter and receiver could send an indication to gNB to indicate the need for retransmission in mode 1 unicast. Whether transmitter or receiver sends the indication depends on scenarios and gNB indications.</w:t>
      </w:r>
    </w:p>
    <w:p w14:paraId="547F6AB5"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roposal 2: If transmitter sends the indication to gNB, the indication is in the form of HARQ ACK/NACK. The uplink resource for reporting the indication could be determined according to sidelink grant explicitly or resource used for sidelink grant/SCI/sidelink data/SFCI implicitly.</w:t>
      </w:r>
    </w:p>
    <w:p w14:paraId="372D7706"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roposal 3: If receiver sends the indication to gNB, a set of PUCCH resources (including PUCCH resource ID and timing) are configured via higher layers by gNB and a specific PUCCH resource is selected dynamically according to the following options:</w:t>
      </w:r>
    </w:p>
    <w:p w14:paraId="663BEFC7" w14:textId="77777777" w:rsidR="00CF3E9B" w:rsidRPr="00CF3E9B" w:rsidRDefault="00CF3E9B" w:rsidP="00CF3E9B">
      <w:pPr>
        <w:widowControl/>
        <w:overflowPunct w:val="0"/>
        <w:autoSpaceDE w:val="0"/>
        <w:autoSpaceDN w:val="0"/>
        <w:adjustRightInd w:val="0"/>
        <w:spacing w:after="180" w:line="240" w:lineRule="auto"/>
        <w:ind w:leftChars="100" w:left="210"/>
        <w:jc w:val="left"/>
        <w:textAlignment w:val="baseline"/>
        <w:rPr>
          <w:rFonts w:eastAsia="宋体"/>
          <w:b/>
          <w:kern w:val="0"/>
          <w:sz w:val="22"/>
          <w:lang w:val="en-GB"/>
        </w:rPr>
      </w:pPr>
      <w:r w:rsidRPr="00CF3E9B">
        <w:rPr>
          <w:rFonts w:eastAsia="宋体"/>
          <w:b/>
          <w:kern w:val="0"/>
          <w:sz w:val="22"/>
          <w:lang w:val="en-GB"/>
        </w:rPr>
        <w:t>a)</w:t>
      </w:r>
      <w:r w:rsidRPr="00CF3E9B">
        <w:rPr>
          <w:rFonts w:eastAsia="宋体"/>
          <w:b/>
          <w:kern w:val="0"/>
          <w:sz w:val="22"/>
          <w:lang w:val="en-GB"/>
        </w:rPr>
        <w:tab/>
        <w:t>The dynamic indication for a specific PUCCH resource can be sent by gNB via sidelink grant to transmitter and forwarded in SCI transmission to receiver by transmitter.</w:t>
      </w:r>
    </w:p>
    <w:p w14:paraId="246A93E4" w14:textId="77777777" w:rsidR="00CF3E9B" w:rsidRPr="00CF3E9B" w:rsidRDefault="00CF3E9B" w:rsidP="00CF3E9B">
      <w:pPr>
        <w:widowControl/>
        <w:overflowPunct w:val="0"/>
        <w:autoSpaceDE w:val="0"/>
        <w:autoSpaceDN w:val="0"/>
        <w:adjustRightInd w:val="0"/>
        <w:spacing w:after="180" w:line="240" w:lineRule="auto"/>
        <w:ind w:leftChars="100" w:left="210"/>
        <w:jc w:val="left"/>
        <w:textAlignment w:val="baseline"/>
        <w:rPr>
          <w:rFonts w:eastAsia="宋体"/>
          <w:b/>
          <w:kern w:val="0"/>
          <w:sz w:val="22"/>
          <w:lang w:val="en-GB"/>
        </w:rPr>
      </w:pPr>
      <w:r w:rsidRPr="00CF3E9B">
        <w:rPr>
          <w:rFonts w:eastAsia="宋体"/>
          <w:b/>
          <w:kern w:val="0"/>
          <w:sz w:val="22"/>
          <w:lang w:val="en-GB"/>
        </w:rPr>
        <w:t>b)</w:t>
      </w:r>
      <w:r w:rsidRPr="00CF3E9B">
        <w:rPr>
          <w:rFonts w:eastAsia="宋体"/>
          <w:b/>
          <w:kern w:val="0"/>
          <w:sz w:val="22"/>
          <w:lang w:val="en-GB"/>
        </w:rPr>
        <w:tab/>
        <w:t>The dynamic indication for a specific PUCCH resource can be sent by gNB via sidelink grant to receiver.</w:t>
      </w:r>
    </w:p>
    <w:p w14:paraId="27B84934" w14:textId="77777777" w:rsidR="00CF3E9B" w:rsidRPr="00CF3E9B" w:rsidRDefault="00CF3E9B" w:rsidP="00CF3E9B">
      <w:pPr>
        <w:widowControl/>
        <w:overflowPunct w:val="0"/>
        <w:autoSpaceDE w:val="0"/>
        <w:autoSpaceDN w:val="0"/>
        <w:adjustRightInd w:val="0"/>
        <w:spacing w:after="180" w:line="240" w:lineRule="auto"/>
        <w:ind w:leftChars="100" w:left="210"/>
        <w:jc w:val="left"/>
        <w:textAlignment w:val="baseline"/>
        <w:rPr>
          <w:rFonts w:eastAsia="宋体"/>
          <w:b/>
          <w:kern w:val="0"/>
          <w:sz w:val="22"/>
          <w:lang w:val="en-GB"/>
        </w:rPr>
      </w:pPr>
      <w:r w:rsidRPr="00CF3E9B">
        <w:rPr>
          <w:rFonts w:eastAsia="宋体"/>
          <w:b/>
          <w:kern w:val="0"/>
          <w:sz w:val="22"/>
          <w:lang w:val="en-GB"/>
        </w:rPr>
        <w:t>c)</w:t>
      </w:r>
      <w:r w:rsidRPr="00CF3E9B">
        <w:rPr>
          <w:rFonts w:eastAsia="宋体"/>
          <w:b/>
          <w:kern w:val="0"/>
          <w:sz w:val="22"/>
          <w:lang w:val="en-GB"/>
        </w:rPr>
        <w:tab/>
        <w:t>The dynamic indication for a specific PUCCH resource can be implicitly determined by the resource for SCI/sidelink data.</w:t>
      </w:r>
    </w:p>
    <w:p w14:paraId="63DD0C48" w14:textId="77777777" w:rsidR="00CF3E9B" w:rsidRPr="00CF3E9B"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CF3E9B">
        <w:rPr>
          <w:rFonts w:eastAsia="宋体"/>
          <w:b/>
          <w:bCs/>
          <w:kern w:val="32"/>
          <w:sz w:val="22"/>
          <w:lang w:val="en-GB"/>
        </w:rPr>
        <w:t>Conclusions</w:t>
      </w:r>
    </w:p>
    <w:p w14:paraId="322D0F6F" w14:textId="77777777" w:rsidR="00CF3E9B" w:rsidRPr="00CF3E9B" w:rsidRDefault="00CF3E9B" w:rsidP="00CF3E9B">
      <w:pPr>
        <w:widowControl/>
        <w:overflowPunct w:val="0"/>
        <w:autoSpaceDE w:val="0"/>
        <w:autoSpaceDN w:val="0"/>
        <w:adjustRightInd w:val="0"/>
        <w:spacing w:after="180" w:line="240" w:lineRule="auto"/>
        <w:textAlignment w:val="baseline"/>
        <w:rPr>
          <w:rFonts w:eastAsia="宋体"/>
          <w:kern w:val="0"/>
          <w:sz w:val="22"/>
          <w:lang w:val="en-GB"/>
        </w:rPr>
      </w:pPr>
      <w:r w:rsidRPr="00CF3E9B">
        <w:rPr>
          <w:rFonts w:eastAsia="宋体"/>
          <w:kern w:val="0"/>
          <w:sz w:val="22"/>
          <w:lang w:val="en-GB" w:eastAsia="ja-JP"/>
        </w:rPr>
        <w:t xml:space="preserve">In this contribution, the sidelink HARQ feedback is discussed, </w:t>
      </w:r>
      <w:r w:rsidRPr="00CF3E9B">
        <w:rPr>
          <w:rFonts w:eastAsia="宋体"/>
          <w:kern w:val="0"/>
          <w:sz w:val="22"/>
          <w:lang w:val="en-GB"/>
        </w:rPr>
        <w:t>and the following proposals are made:</w:t>
      </w:r>
    </w:p>
    <w:p w14:paraId="05B5D0AC"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roposal 1: It should be supported that both transmitter and receiver could send an indication to gNB to indicate the need for retransmission in mode 1 unicast. Whether transmitter or receiver sends the indication depends on scenarios and gNB indications.</w:t>
      </w:r>
    </w:p>
    <w:p w14:paraId="2B130491"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roposal 2: If transmitter sends the indication to gNB, the indication is in the form of HARQ ACK/NACK. The uplink resource for reporting the indication could be determined according to sidelink grant explicitly or resource used for sidelink grant/SCI/sidelink data/SFCI implicitly.</w:t>
      </w:r>
    </w:p>
    <w:p w14:paraId="13A2FD5B" w14:textId="77777777" w:rsidR="00CF3E9B" w:rsidRPr="00CF3E9B" w:rsidRDefault="00CF3E9B" w:rsidP="00CF3E9B">
      <w:pPr>
        <w:widowControl/>
        <w:overflowPunct w:val="0"/>
        <w:autoSpaceDE w:val="0"/>
        <w:autoSpaceDN w:val="0"/>
        <w:adjustRightInd w:val="0"/>
        <w:spacing w:after="180" w:line="240" w:lineRule="auto"/>
        <w:jc w:val="left"/>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roposal 3: If receiver sends the indication to gNB, a set of PUCCH resources (including PUCCH resource ID and timing) are configured via higher layers by gNB and a specific PUCCH resource is selected dynamically according to the following options:</w:t>
      </w:r>
    </w:p>
    <w:p w14:paraId="6EDE34E4" w14:textId="77777777" w:rsidR="00CF3E9B" w:rsidRPr="00CF3E9B" w:rsidRDefault="00CF3E9B" w:rsidP="00CF3E9B">
      <w:pPr>
        <w:widowControl/>
        <w:overflowPunct w:val="0"/>
        <w:autoSpaceDE w:val="0"/>
        <w:autoSpaceDN w:val="0"/>
        <w:adjustRightInd w:val="0"/>
        <w:spacing w:after="180" w:line="240" w:lineRule="auto"/>
        <w:ind w:leftChars="100" w:left="210"/>
        <w:jc w:val="left"/>
        <w:textAlignment w:val="baseline"/>
        <w:rPr>
          <w:rFonts w:eastAsia="宋体"/>
          <w:b/>
          <w:kern w:val="0"/>
          <w:sz w:val="22"/>
          <w:lang w:val="en-GB"/>
        </w:rPr>
      </w:pPr>
      <w:r w:rsidRPr="00CF3E9B">
        <w:rPr>
          <w:rFonts w:eastAsia="宋体"/>
          <w:b/>
          <w:kern w:val="0"/>
          <w:sz w:val="22"/>
          <w:lang w:val="en-GB"/>
        </w:rPr>
        <w:t>a)</w:t>
      </w:r>
      <w:r w:rsidRPr="00CF3E9B">
        <w:rPr>
          <w:rFonts w:eastAsia="宋体"/>
          <w:b/>
          <w:kern w:val="0"/>
          <w:sz w:val="22"/>
          <w:lang w:val="en-GB"/>
        </w:rPr>
        <w:tab/>
        <w:t>The dynamic indication for a specific PUCCH resource can be sent by gNB via sidelink grant to transmitter and forwarded in SCI transmission to receiver by transmitter.</w:t>
      </w:r>
    </w:p>
    <w:p w14:paraId="5DA00ECE" w14:textId="77777777" w:rsidR="00CF3E9B" w:rsidRPr="00CF3E9B" w:rsidRDefault="00CF3E9B" w:rsidP="00CF3E9B">
      <w:pPr>
        <w:widowControl/>
        <w:overflowPunct w:val="0"/>
        <w:autoSpaceDE w:val="0"/>
        <w:autoSpaceDN w:val="0"/>
        <w:adjustRightInd w:val="0"/>
        <w:spacing w:after="180" w:line="240" w:lineRule="auto"/>
        <w:ind w:leftChars="100" w:left="210"/>
        <w:jc w:val="left"/>
        <w:textAlignment w:val="baseline"/>
        <w:rPr>
          <w:rFonts w:eastAsia="宋体"/>
          <w:b/>
          <w:kern w:val="0"/>
          <w:sz w:val="22"/>
          <w:lang w:val="en-GB"/>
        </w:rPr>
      </w:pPr>
      <w:r w:rsidRPr="00CF3E9B">
        <w:rPr>
          <w:rFonts w:eastAsia="宋体"/>
          <w:b/>
          <w:kern w:val="0"/>
          <w:sz w:val="22"/>
          <w:lang w:val="en-GB"/>
        </w:rPr>
        <w:lastRenderedPageBreak/>
        <w:t>b)</w:t>
      </w:r>
      <w:r w:rsidRPr="00CF3E9B">
        <w:rPr>
          <w:rFonts w:eastAsia="宋体"/>
          <w:b/>
          <w:kern w:val="0"/>
          <w:sz w:val="22"/>
          <w:lang w:val="en-GB"/>
        </w:rPr>
        <w:tab/>
        <w:t>The dynamic indication for a specific PUCCH resource can be sent by gNB via sidelink grant to receiver.</w:t>
      </w:r>
    </w:p>
    <w:p w14:paraId="6064D7F7" w14:textId="77777777" w:rsidR="00CF3E9B" w:rsidRPr="00CF3E9B" w:rsidRDefault="00CF3E9B" w:rsidP="00CF3E9B">
      <w:pPr>
        <w:widowControl/>
        <w:overflowPunct w:val="0"/>
        <w:autoSpaceDE w:val="0"/>
        <w:autoSpaceDN w:val="0"/>
        <w:adjustRightInd w:val="0"/>
        <w:spacing w:after="180" w:line="240" w:lineRule="auto"/>
        <w:ind w:leftChars="100" w:left="210"/>
        <w:jc w:val="left"/>
        <w:textAlignment w:val="baseline"/>
        <w:rPr>
          <w:rFonts w:eastAsia="宋体"/>
          <w:b/>
          <w:kern w:val="0"/>
          <w:sz w:val="22"/>
          <w:lang w:val="en-GB"/>
        </w:rPr>
      </w:pPr>
      <w:r w:rsidRPr="00CF3E9B">
        <w:rPr>
          <w:rFonts w:eastAsia="宋体"/>
          <w:b/>
          <w:kern w:val="0"/>
          <w:sz w:val="22"/>
          <w:lang w:val="en-GB"/>
        </w:rPr>
        <w:t>c)</w:t>
      </w:r>
      <w:r w:rsidRPr="00CF3E9B">
        <w:rPr>
          <w:rFonts w:eastAsia="宋体"/>
          <w:b/>
          <w:kern w:val="0"/>
          <w:sz w:val="22"/>
          <w:lang w:val="en-GB"/>
        </w:rPr>
        <w:tab/>
        <w:t>The dynamic indication for a specific PUCCH resource can be implicitly determined by the resource for SCI/sidelink data.</w:t>
      </w:r>
    </w:p>
    <w:p w14:paraId="17BE047C" w14:textId="77777777" w:rsidR="00CF3E9B" w:rsidRPr="00CF3E9B" w:rsidRDefault="00CF3E9B" w:rsidP="002E5013">
      <w:pPr>
        <w:keepNext/>
        <w:keepLines/>
        <w:widowControl/>
        <w:numPr>
          <w:ilvl w:val="0"/>
          <w:numId w:val="5"/>
        </w:numPr>
        <w:pBdr>
          <w:top w:val="single" w:sz="12" w:space="3" w:color="auto"/>
        </w:pBdr>
        <w:overflowPunct w:val="0"/>
        <w:autoSpaceDE w:val="0"/>
        <w:autoSpaceDN w:val="0"/>
        <w:adjustRightInd w:val="0"/>
        <w:spacing w:before="240" w:after="180" w:line="240" w:lineRule="auto"/>
        <w:ind w:left="0" w:firstLine="0"/>
        <w:jc w:val="left"/>
        <w:textAlignment w:val="baseline"/>
        <w:outlineLvl w:val="0"/>
        <w:rPr>
          <w:rFonts w:eastAsia="宋体"/>
          <w:b/>
          <w:bCs/>
          <w:kern w:val="32"/>
          <w:sz w:val="22"/>
          <w:lang w:val="en-GB"/>
        </w:rPr>
      </w:pPr>
      <w:r w:rsidRPr="00CF3E9B">
        <w:rPr>
          <w:rFonts w:eastAsia="宋体"/>
          <w:b/>
          <w:bCs/>
          <w:kern w:val="32"/>
          <w:sz w:val="22"/>
          <w:lang w:val="en-GB"/>
        </w:rPr>
        <w:t>References</w:t>
      </w:r>
    </w:p>
    <w:p w14:paraId="6FBED625" w14:textId="77777777" w:rsidR="00CF3E9B" w:rsidRPr="00CF3E9B" w:rsidRDefault="00CF3E9B" w:rsidP="002E5013">
      <w:pPr>
        <w:widowControl/>
        <w:numPr>
          <w:ilvl w:val="0"/>
          <w:numId w:val="7"/>
        </w:numPr>
        <w:overflowPunct w:val="0"/>
        <w:autoSpaceDE w:val="0"/>
        <w:autoSpaceDN w:val="0"/>
        <w:adjustRightInd w:val="0"/>
        <w:spacing w:after="180" w:line="240" w:lineRule="auto"/>
        <w:jc w:val="left"/>
        <w:textAlignment w:val="baseline"/>
        <w:rPr>
          <w:rFonts w:eastAsia="Batang"/>
          <w:kern w:val="0"/>
          <w:sz w:val="22"/>
          <w:lang w:val="x-none"/>
        </w:rPr>
      </w:pPr>
      <w:r w:rsidRPr="00CF3E9B">
        <w:rPr>
          <w:rFonts w:eastAsia="Batang"/>
          <w:kern w:val="0"/>
          <w:sz w:val="22"/>
          <w:lang w:val="x-none"/>
        </w:rPr>
        <w:t>Chairman's Notes RAN1 AdHoc 1901, Jan, 2019.</w:t>
      </w:r>
    </w:p>
    <w:p w14:paraId="3B241A24" w14:textId="6B7BF7CB" w:rsidR="000B75A7" w:rsidRPr="00CF3E9B" w:rsidRDefault="000B75A7" w:rsidP="00CF3E9B">
      <w:pPr>
        <w:rPr>
          <w:rFonts w:eastAsia="宋体"/>
          <w:lang w:val="x-none"/>
        </w:rPr>
      </w:pPr>
      <w:bookmarkStart w:id="12" w:name="_GoBack"/>
      <w:bookmarkEnd w:id="12"/>
    </w:p>
    <w:sectPr w:rsidR="000B75A7" w:rsidRPr="00CF3E9B"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06E3B" w14:textId="77777777" w:rsidR="002E5013" w:rsidRDefault="002E5013" w:rsidP="00026C97">
      <w:pPr>
        <w:spacing w:line="240" w:lineRule="auto"/>
      </w:pPr>
      <w:r>
        <w:separator/>
      </w:r>
    </w:p>
  </w:endnote>
  <w:endnote w:type="continuationSeparator" w:id="0">
    <w:p w14:paraId="49270244" w14:textId="77777777" w:rsidR="002E5013" w:rsidRDefault="002E5013"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6A4B9" w14:textId="77777777" w:rsidR="002E5013" w:rsidRDefault="002E5013" w:rsidP="00026C97">
      <w:pPr>
        <w:spacing w:line="240" w:lineRule="auto"/>
      </w:pPr>
      <w:r>
        <w:separator/>
      </w:r>
    </w:p>
  </w:footnote>
  <w:footnote w:type="continuationSeparator" w:id="0">
    <w:p w14:paraId="3540296C" w14:textId="77777777" w:rsidR="002E5013" w:rsidRDefault="002E5013"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5913401"/>
    <w:multiLevelType w:val="hybridMultilevel"/>
    <w:tmpl w:val="7292CE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2"/>
  </w:num>
  <w:num w:numId="5">
    <w:abstractNumId w:val="8"/>
  </w:num>
  <w:num w:numId="6">
    <w:abstractNumId w:val="6"/>
  </w:num>
  <w:num w:numId="7">
    <w:abstractNumId w:val="5"/>
  </w:num>
  <w:num w:numId="8">
    <w:abstractNumId w:val="4"/>
  </w:num>
  <w:num w:numId="9">
    <w:abstractNumId w:val="1"/>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B3F"/>
    <w:rsid w:val="00010B88"/>
    <w:rsid w:val="00011264"/>
    <w:rsid w:val="000114AC"/>
    <w:rsid w:val="00011F31"/>
    <w:rsid w:val="0001259A"/>
    <w:rsid w:val="00012E2B"/>
    <w:rsid w:val="0001315D"/>
    <w:rsid w:val="0001438B"/>
    <w:rsid w:val="0001562E"/>
    <w:rsid w:val="00017E2B"/>
    <w:rsid w:val="00020D05"/>
    <w:rsid w:val="00021577"/>
    <w:rsid w:val="000216D8"/>
    <w:rsid w:val="00024599"/>
    <w:rsid w:val="000249E1"/>
    <w:rsid w:val="0002521D"/>
    <w:rsid w:val="00025784"/>
    <w:rsid w:val="00026579"/>
    <w:rsid w:val="000269D3"/>
    <w:rsid w:val="00026C97"/>
    <w:rsid w:val="000276B1"/>
    <w:rsid w:val="00027B8A"/>
    <w:rsid w:val="0003064B"/>
    <w:rsid w:val="000310CE"/>
    <w:rsid w:val="0003361F"/>
    <w:rsid w:val="00034869"/>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56D"/>
    <w:rsid w:val="00093C00"/>
    <w:rsid w:val="00094395"/>
    <w:rsid w:val="00096507"/>
    <w:rsid w:val="000A07CC"/>
    <w:rsid w:val="000A35F7"/>
    <w:rsid w:val="000A3742"/>
    <w:rsid w:val="000A3A0D"/>
    <w:rsid w:val="000B07E4"/>
    <w:rsid w:val="000B0F13"/>
    <w:rsid w:val="000B42A8"/>
    <w:rsid w:val="000B515C"/>
    <w:rsid w:val="000B5B2C"/>
    <w:rsid w:val="000B7212"/>
    <w:rsid w:val="000B75A7"/>
    <w:rsid w:val="000C0CF0"/>
    <w:rsid w:val="000C1D1A"/>
    <w:rsid w:val="000C1E7F"/>
    <w:rsid w:val="000C57A0"/>
    <w:rsid w:val="000C61E4"/>
    <w:rsid w:val="000C6ACE"/>
    <w:rsid w:val="000D03EF"/>
    <w:rsid w:val="000D1687"/>
    <w:rsid w:val="000D3509"/>
    <w:rsid w:val="000D5A1E"/>
    <w:rsid w:val="000D652D"/>
    <w:rsid w:val="000D6EC3"/>
    <w:rsid w:val="000E0AAF"/>
    <w:rsid w:val="000E1A7C"/>
    <w:rsid w:val="000E2D3E"/>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2D36"/>
    <w:rsid w:val="00125249"/>
    <w:rsid w:val="001260B2"/>
    <w:rsid w:val="001316B1"/>
    <w:rsid w:val="00131B78"/>
    <w:rsid w:val="00131CF9"/>
    <w:rsid w:val="0013343C"/>
    <w:rsid w:val="001336A2"/>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827DC"/>
    <w:rsid w:val="0018292C"/>
    <w:rsid w:val="00182C74"/>
    <w:rsid w:val="00184B26"/>
    <w:rsid w:val="00186FB3"/>
    <w:rsid w:val="0018731E"/>
    <w:rsid w:val="00187883"/>
    <w:rsid w:val="00191D1D"/>
    <w:rsid w:val="00193F7C"/>
    <w:rsid w:val="001961D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69DB"/>
    <w:rsid w:val="001B7813"/>
    <w:rsid w:val="001C0424"/>
    <w:rsid w:val="001C04E8"/>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2BC3"/>
    <w:rsid w:val="001E3075"/>
    <w:rsid w:val="001E4513"/>
    <w:rsid w:val="001E4643"/>
    <w:rsid w:val="001E5901"/>
    <w:rsid w:val="001E6A00"/>
    <w:rsid w:val="001E742A"/>
    <w:rsid w:val="001F1187"/>
    <w:rsid w:val="001F1859"/>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07196"/>
    <w:rsid w:val="0021182D"/>
    <w:rsid w:val="0021324B"/>
    <w:rsid w:val="00213401"/>
    <w:rsid w:val="00214A2E"/>
    <w:rsid w:val="00215830"/>
    <w:rsid w:val="00215D94"/>
    <w:rsid w:val="00215EA8"/>
    <w:rsid w:val="002165DE"/>
    <w:rsid w:val="002167DA"/>
    <w:rsid w:val="00217B42"/>
    <w:rsid w:val="00220956"/>
    <w:rsid w:val="00230B2D"/>
    <w:rsid w:val="002311FE"/>
    <w:rsid w:val="002320B2"/>
    <w:rsid w:val="0023312F"/>
    <w:rsid w:val="002331BE"/>
    <w:rsid w:val="002337BE"/>
    <w:rsid w:val="00233A58"/>
    <w:rsid w:val="0023485A"/>
    <w:rsid w:val="0023507D"/>
    <w:rsid w:val="0023607C"/>
    <w:rsid w:val="00236428"/>
    <w:rsid w:val="00240B97"/>
    <w:rsid w:val="002434BC"/>
    <w:rsid w:val="00243ADE"/>
    <w:rsid w:val="002458F0"/>
    <w:rsid w:val="00245C7B"/>
    <w:rsid w:val="00246F21"/>
    <w:rsid w:val="00250CD2"/>
    <w:rsid w:val="002510A2"/>
    <w:rsid w:val="00252960"/>
    <w:rsid w:val="00253829"/>
    <w:rsid w:val="002550F9"/>
    <w:rsid w:val="00255964"/>
    <w:rsid w:val="0025769C"/>
    <w:rsid w:val="002607A3"/>
    <w:rsid w:val="00261D1C"/>
    <w:rsid w:val="00262A07"/>
    <w:rsid w:val="0026522B"/>
    <w:rsid w:val="0026569C"/>
    <w:rsid w:val="00265CF7"/>
    <w:rsid w:val="00271215"/>
    <w:rsid w:val="002716CF"/>
    <w:rsid w:val="00272CBA"/>
    <w:rsid w:val="00273136"/>
    <w:rsid w:val="0027328F"/>
    <w:rsid w:val="00274E64"/>
    <w:rsid w:val="00275ED1"/>
    <w:rsid w:val="00281224"/>
    <w:rsid w:val="00281DBD"/>
    <w:rsid w:val="00282908"/>
    <w:rsid w:val="00283587"/>
    <w:rsid w:val="002835B5"/>
    <w:rsid w:val="00283E9E"/>
    <w:rsid w:val="0029252E"/>
    <w:rsid w:val="0029257D"/>
    <w:rsid w:val="002957E9"/>
    <w:rsid w:val="00296443"/>
    <w:rsid w:val="0029644C"/>
    <w:rsid w:val="0029677A"/>
    <w:rsid w:val="002A12F7"/>
    <w:rsid w:val="002A2446"/>
    <w:rsid w:val="002A3F89"/>
    <w:rsid w:val="002A5F3C"/>
    <w:rsid w:val="002A648C"/>
    <w:rsid w:val="002B05EF"/>
    <w:rsid w:val="002B1A0C"/>
    <w:rsid w:val="002B63C5"/>
    <w:rsid w:val="002B6536"/>
    <w:rsid w:val="002C08A2"/>
    <w:rsid w:val="002C0B29"/>
    <w:rsid w:val="002C0C02"/>
    <w:rsid w:val="002C34D8"/>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3C3B"/>
    <w:rsid w:val="002E4961"/>
    <w:rsid w:val="002E5013"/>
    <w:rsid w:val="002E5A94"/>
    <w:rsid w:val="002E5DEF"/>
    <w:rsid w:val="002F05BB"/>
    <w:rsid w:val="002F0771"/>
    <w:rsid w:val="002F0ABA"/>
    <w:rsid w:val="002F0FF2"/>
    <w:rsid w:val="002F40AD"/>
    <w:rsid w:val="002F4C15"/>
    <w:rsid w:val="002F4F98"/>
    <w:rsid w:val="002F6956"/>
    <w:rsid w:val="00301238"/>
    <w:rsid w:val="003015B7"/>
    <w:rsid w:val="003031D5"/>
    <w:rsid w:val="003042EA"/>
    <w:rsid w:val="00304EFC"/>
    <w:rsid w:val="00305487"/>
    <w:rsid w:val="0030575A"/>
    <w:rsid w:val="00305A04"/>
    <w:rsid w:val="00306656"/>
    <w:rsid w:val="00306769"/>
    <w:rsid w:val="00306A97"/>
    <w:rsid w:val="0030707A"/>
    <w:rsid w:val="003070CF"/>
    <w:rsid w:val="003107E8"/>
    <w:rsid w:val="00311BC7"/>
    <w:rsid w:val="00312B11"/>
    <w:rsid w:val="003132B5"/>
    <w:rsid w:val="00313965"/>
    <w:rsid w:val="00313CF3"/>
    <w:rsid w:val="00314617"/>
    <w:rsid w:val="00314D2A"/>
    <w:rsid w:val="003154F9"/>
    <w:rsid w:val="003158AB"/>
    <w:rsid w:val="00317A25"/>
    <w:rsid w:val="00320201"/>
    <w:rsid w:val="00321375"/>
    <w:rsid w:val="00321525"/>
    <w:rsid w:val="00322A21"/>
    <w:rsid w:val="00324040"/>
    <w:rsid w:val="00325CA1"/>
    <w:rsid w:val="0032606A"/>
    <w:rsid w:val="00327607"/>
    <w:rsid w:val="003303F8"/>
    <w:rsid w:val="003335A8"/>
    <w:rsid w:val="003347E8"/>
    <w:rsid w:val="00337D25"/>
    <w:rsid w:val="00337D3D"/>
    <w:rsid w:val="00341FAC"/>
    <w:rsid w:val="003431EE"/>
    <w:rsid w:val="003439AC"/>
    <w:rsid w:val="00345FB7"/>
    <w:rsid w:val="00346219"/>
    <w:rsid w:val="00346C42"/>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755"/>
    <w:rsid w:val="00375BBD"/>
    <w:rsid w:val="0037731F"/>
    <w:rsid w:val="00380DDB"/>
    <w:rsid w:val="00381ECF"/>
    <w:rsid w:val="00386454"/>
    <w:rsid w:val="00386988"/>
    <w:rsid w:val="0038742B"/>
    <w:rsid w:val="00387465"/>
    <w:rsid w:val="00390C68"/>
    <w:rsid w:val="00391F29"/>
    <w:rsid w:val="0039406A"/>
    <w:rsid w:val="00395756"/>
    <w:rsid w:val="0039679B"/>
    <w:rsid w:val="00396D05"/>
    <w:rsid w:val="003A20BF"/>
    <w:rsid w:val="003A33D9"/>
    <w:rsid w:val="003A426A"/>
    <w:rsid w:val="003A4796"/>
    <w:rsid w:val="003A4B04"/>
    <w:rsid w:val="003A4B30"/>
    <w:rsid w:val="003A4B4A"/>
    <w:rsid w:val="003A5511"/>
    <w:rsid w:val="003A60EA"/>
    <w:rsid w:val="003A67BB"/>
    <w:rsid w:val="003A6EFA"/>
    <w:rsid w:val="003A7AD3"/>
    <w:rsid w:val="003B139C"/>
    <w:rsid w:val="003B13D7"/>
    <w:rsid w:val="003B1E2A"/>
    <w:rsid w:val="003B217D"/>
    <w:rsid w:val="003B2471"/>
    <w:rsid w:val="003B3041"/>
    <w:rsid w:val="003B32BE"/>
    <w:rsid w:val="003B4197"/>
    <w:rsid w:val="003B4CF5"/>
    <w:rsid w:val="003B5919"/>
    <w:rsid w:val="003B79E5"/>
    <w:rsid w:val="003B7B44"/>
    <w:rsid w:val="003C24EB"/>
    <w:rsid w:val="003C35C5"/>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3555"/>
    <w:rsid w:val="003E43EB"/>
    <w:rsid w:val="003E47B4"/>
    <w:rsid w:val="003F19D4"/>
    <w:rsid w:val="003F2778"/>
    <w:rsid w:val="003F2DAE"/>
    <w:rsid w:val="003F4857"/>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4645"/>
    <w:rsid w:val="00426C41"/>
    <w:rsid w:val="004305A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683"/>
    <w:rsid w:val="004B48F1"/>
    <w:rsid w:val="004B589C"/>
    <w:rsid w:val="004B6CD0"/>
    <w:rsid w:val="004B6CEC"/>
    <w:rsid w:val="004B6E3B"/>
    <w:rsid w:val="004B7B05"/>
    <w:rsid w:val="004C5015"/>
    <w:rsid w:val="004C5502"/>
    <w:rsid w:val="004C57F4"/>
    <w:rsid w:val="004C5E19"/>
    <w:rsid w:val="004C5ECD"/>
    <w:rsid w:val="004D0CB6"/>
    <w:rsid w:val="004D10DF"/>
    <w:rsid w:val="004D322A"/>
    <w:rsid w:val="004D336F"/>
    <w:rsid w:val="004D5E52"/>
    <w:rsid w:val="004D6103"/>
    <w:rsid w:val="004D6AE3"/>
    <w:rsid w:val="004D7916"/>
    <w:rsid w:val="004E4AAB"/>
    <w:rsid w:val="004E4EF6"/>
    <w:rsid w:val="004E5062"/>
    <w:rsid w:val="004E5345"/>
    <w:rsid w:val="004E6D28"/>
    <w:rsid w:val="004E6FA7"/>
    <w:rsid w:val="004F08E3"/>
    <w:rsid w:val="004F17F2"/>
    <w:rsid w:val="004F3F2D"/>
    <w:rsid w:val="004F4617"/>
    <w:rsid w:val="004F4F8D"/>
    <w:rsid w:val="004F5009"/>
    <w:rsid w:val="004F50D5"/>
    <w:rsid w:val="004F516A"/>
    <w:rsid w:val="004F6FE7"/>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7D1"/>
    <w:rsid w:val="005225E4"/>
    <w:rsid w:val="00523FFD"/>
    <w:rsid w:val="0052446A"/>
    <w:rsid w:val="005260FB"/>
    <w:rsid w:val="00530079"/>
    <w:rsid w:val="0053106E"/>
    <w:rsid w:val="005323A1"/>
    <w:rsid w:val="0053276D"/>
    <w:rsid w:val="00535021"/>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2017"/>
    <w:rsid w:val="005621CC"/>
    <w:rsid w:val="0056461E"/>
    <w:rsid w:val="00564AAB"/>
    <w:rsid w:val="005654F6"/>
    <w:rsid w:val="00566394"/>
    <w:rsid w:val="0057005C"/>
    <w:rsid w:val="00571060"/>
    <w:rsid w:val="00571632"/>
    <w:rsid w:val="00571F10"/>
    <w:rsid w:val="0057537E"/>
    <w:rsid w:val="005760B7"/>
    <w:rsid w:val="00581156"/>
    <w:rsid w:val="00582A4E"/>
    <w:rsid w:val="00582EB8"/>
    <w:rsid w:val="00583B32"/>
    <w:rsid w:val="00583E64"/>
    <w:rsid w:val="00584743"/>
    <w:rsid w:val="00585271"/>
    <w:rsid w:val="005854D1"/>
    <w:rsid w:val="005856FB"/>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5BD"/>
    <w:rsid w:val="005C2AA8"/>
    <w:rsid w:val="005C358E"/>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13669"/>
    <w:rsid w:val="00614F58"/>
    <w:rsid w:val="00620AA9"/>
    <w:rsid w:val="00620FD0"/>
    <w:rsid w:val="00622297"/>
    <w:rsid w:val="0062417C"/>
    <w:rsid w:val="006242A6"/>
    <w:rsid w:val="0062438C"/>
    <w:rsid w:val="00624A09"/>
    <w:rsid w:val="00624F43"/>
    <w:rsid w:val="00625CCD"/>
    <w:rsid w:val="00625FBD"/>
    <w:rsid w:val="006262EB"/>
    <w:rsid w:val="00626D30"/>
    <w:rsid w:val="00630953"/>
    <w:rsid w:val="00631655"/>
    <w:rsid w:val="00633BF7"/>
    <w:rsid w:val="00636742"/>
    <w:rsid w:val="00640487"/>
    <w:rsid w:val="00640CFD"/>
    <w:rsid w:val="00642917"/>
    <w:rsid w:val="00643AE7"/>
    <w:rsid w:val="00651CA4"/>
    <w:rsid w:val="0065212D"/>
    <w:rsid w:val="006523C8"/>
    <w:rsid w:val="00656602"/>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0C7"/>
    <w:rsid w:val="006905E4"/>
    <w:rsid w:val="0069206F"/>
    <w:rsid w:val="0069237B"/>
    <w:rsid w:val="00692F5F"/>
    <w:rsid w:val="0069775D"/>
    <w:rsid w:val="00697A24"/>
    <w:rsid w:val="006A2912"/>
    <w:rsid w:val="006A5354"/>
    <w:rsid w:val="006A6A9C"/>
    <w:rsid w:val="006B11B2"/>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1F2C"/>
    <w:rsid w:val="006F29C4"/>
    <w:rsid w:val="006F40B8"/>
    <w:rsid w:val="006F55FE"/>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2F7F"/>
    <w:rsid w:val="00714391"/>
    <w:rsid w:val="00714CE5"/>
    <w:rsid w:val="007159D0"/>
    <w:rsid w:val="007176F5"/>
    <w:rsid w:val="007201C3"/>
    <w:rsid w:val="00720840"/>
    <w:rsid w:val="007252D2"/>
    <w:rsid w:val="00727608"/>
    <w:rsid w:val="00727FB8"/>
    <w:rsid w:val="00730157"/>
    <w:rsid w:val="007311A9"/>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50372"/>
    <w:rsid w:val="0075154E"/>
    <w:rsid w:val="00751BDD"/>
    <w:rsid w:val="00752979"/>
    <w:rsid w:val="0075449E"/>
    <w:rsid w:val="007617B0"/>
    <w:rsid w:val="00761B00"/>
    <w:rsid w:val="007621E2"/>
    <w:rsid w:val="00763AD6"/>
    <w:rsid w:val="007652DC"/>
    <w:rsid w:val="00765FE8"/>
    <w:rsid w:val="00766971"/>
    <w:rsid w:val="00766E15"/>
    <w:rsid w:val="00766F8B"/>
    <w:rsid w:val="00767959"/>
    <w:rsid w:val="0077069D"/>
    <w:rsid w:val="00771575"/>
    <w:rsid w:val="00772C10"/>
    <w:rsid w:val="007734BF"/>
    <w:rsid w:val="00773B9B"/>
    <w:rsid w:val="007752FD"/>
    <w:rsid w:val="00775D91"/>
    <w:rsid w:val="0077621F"/>
    <w:rsid w:val="00776CBB"/>
    <w:rsid w:val="00777E65"/>
    <w:rsid w:val="0078408F"/>
    <w:rsid w:val="00784938"/>
    <w:rsid w:val="007855B5"/>
    <w:rsid w:val="007901C5"/>
    <w:rsid w:val="00791FDE"/>
    <w:rsid w:val="0079328E"/>
    <w:rsid w:val="007944B0"/>
    <w:rsid w:val="0079518C"/>
    <w:rsid w:val="007952C8"/>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48A2"/>
    <w:rsid w:val="007D68AC"/>
    <w:rsid w:val="007D774B"/>
    <w:rsid w:val="007E003E"/>
    <w:rsid w:val="007E0EA2"/>
    <w:rsid w:val="007F0960"/>
    <w:rsid w:val="007F13B6"/>
    <w:rsid w:val="007F2826"/>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6CD"/>
    <w:rsid w:val="00813E59"/>
    <w:rsid w:val="008143B2"/>
    <w:rsid w:val="008144BA"/>
    <w:rsid w:val="00814B0F"/>
    <w:rsid w:val="00814EEA"/>
    <w:rsid w:val="00815485"/>
    <w:rsid w:val="008161DF"/>
    <w:rsid w:val="00816CAC"/>
    <w:rsid w:val="008208FB"/>
    <w:rsid w:val="00822352"/>
    <w:rsid w:val="0082345A"/>
    <w:rsid w:val="00823EAD"/>
    <w:rsid w:val="00824E71"/>
    <w:rsid w:val="00830046"/>
    <w:rsid w:val="00831746"/>
    <w:rsid w:val="00831912"/>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3D51"/>
    <w:rsid w:val="00864C13"/>
    <w:rsid w:val="0086622C"/>
    <w:rsid w:val="00866717"/>
    <w:rsid w:val="00866F54"/>
    <w:rsid w:val="00867900"/>
    <w:rsid w:val="00870167"/>
    <w:rsid w:val="00871D07"/>
    <w:rsid w:val="00873362"/>
    <w:rsid w:val="00873C9A"/>
    <w:rsid w:val="00876BD4"/>
    <w:rsid w:val="00876C3D"/>
    <w:rsid w:val="00877B95"/>
    <w:rsid w:val="00877C38"/>
    <w:rsid w:val="00880B20"/>
    <w:rsid w:val="00881D96"/>
    <w:rsid w:val="0088362A"/>
    <w:rsid w:val="00883860"/>
    <w:rsid w:val="008852B6"/>
    <w:rsid w:val="0088719C"/>
    <w:rsid w:val="008927FC"/>
    <w:rsid w:val="00893517"/>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AD7"/>
    <w:rsid w:val="008C7F90"/>
    <w:rsid w:val="008D2E13"/>
    <w:rsid w:val="008D4360"/>
    <w:rsid w:val="008D6585"/>
    <w:rsid w:val="008E1C7D"/>
    <w:rsid w:val="008E25E0"/>
    <w:rsid w:val="008E43EA"/>
    <w:rsid w:val="008E64A7"/>
    <w:rsid w:val="008F0FFF"/>
    <w:rsid w:val="008F342A"/>
    <w:rsid w:val="008F621D"/>
    <w:rsid w:val="008F64EC"/>
    <w:rsid w:val="008F6A6D"/>
    <w:rsid w:val="008F7772"/>
    <w:rsid w:val="00900384"/>
    <w:rsid w:val="00900500"/>
    <w:rsid w:val="0090393C"/>
    <w:rsid w:val="00903BF1"/>
    <w:rsid w:val="009064F8"/>
    <w:rsid w:val="0090677A"/>
    <w:rsid w:val="00906A96"/>
    <w:rsid w:val="00912D51"/>
    <w:rsid w:val="00913373"/>
    <w:rsid w:val="00913B08"/>
    <w:rsid w:val="00914346"/>
    <w:rsid w:val="00917CCE"/>
    <w:rsid w:val="009206E8"/>
    <w:rsid w:val="00923162"/>
    <w:rsid w:val="009242DF"/>
    <w:rsid w:val="00924954"/>
    <w:rsid w:val="0092579E"/>
    <w:rsid w:val="009258BB"/>
    <w:rsid w:val="0092665C"/>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10B2"/>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048C"/>
    <w:rsid w:val="00994105"/>
    <w:rsid w:val="009944A3"/>
    <w:rsid w:val="00994F3C"/>
    <w:rsid w:val="0099527D"/>
    <w:rsid w:val="00995940"/>
    <w:rsid w:val="00996CFC"/>
    <w:rsid w:val="009976DD"/>
    <w:rsid w:val="00997A26"/>
    <w:rsid w:val="009A28AC"/>
    <w:rsid w:val="009A467B"/>
    <w:rsid w:val="009B23EB"/>
    <w:rsid w:val="009B3FE9"/>
    <w:rsid w:val="009B5AB2"/>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56"/>
    <w:rsid w:val="009F3D89"/>
    <w:rsid w:val="009F591F"/>
    <w:rsid w:val="009F6214"/>
    <w:rsid w:val="009F6763"/>
    <w:rsid w:val="009F767C"/>
    <w:rsid w:val="009F769F"/>
    <w:rsid w:val="00A00983"/>
    <w:rsid w:val="00A01E42"/>
    <w:rsid w:val="00A020E5"/>
    <w:rsid w:val="00A02BC0"/>
    <w:rsid w:val="00A038A5"/>
    <w:rsid w:val="00A0396D"/>
    <w:rsid w:val="00A03FCF"/>
    <w:rsid w:val="00A04B0D"/>
    <w:rsid w:val="00A0597B"/>
    <w:rsid w:val="00A069F2"/>
    <w:rsid w:val="00A07ACF"/>
    <w:rsid w:val="00A107F8"/>
    <w:rsid w:val="00A10BD7"/>
    <w:rsid w:val="00A10FCD"/>
    <w:rsid w:val="00A11124"/>
    <w:rsid w:val="00A112BD"/>
    <w:rsid w:val="00A1171E"/>
    <w:rsid w:val="00A13321"/>
    <w:rsid w:val="00A142EA"/>
    <w:rsid w:val="00A149CA"/>
    <w:rsid w:val="00A15170"/>
    <w:rsid w:val="00A15D75"/>
    <w:rsid w:val="00A163DB"/>
    <w:rsid w:val="00A2127C"/>
    <w:rsid w:val="00A25108"/>
    <w:rsid w:val="00A2553E"/>
    <w:rsid w:val="00A25F27"/>
    <w:rsid w:val="00A27074"/>
    <w:rsid w:val="00A27228"/>
    <w:rsid w:val="00A27F36"/>
    <w:rsid w:val="00A33898"/>
    <w:rsid w:val="00A3437D"/>
    <w:rsid w:val="00A35C0D"/>
    <w:rsid w:val="00A37204"/>
    <w:rsid w:val="00A3725A"/>
    <w:rsid w:val="00A37DCF"/>
    <w:rsid w:val="00A42378"/>
    <w:rsid w:val="00A44A7B"/>
    <w:rsid w:val="00A45D92"/>
    <w:rsid w:val="00A4609C"/>
    <w:rsid w:val="00A469C1"/>
    <w:rsid w:val="00A47DFD"/>
    <w:rsid w:val="00A50EE6"/>
    <w:rsid w:val="00A51B71"/>
    <w:rsid w:val="00A53F9F"/>
    <w:rsid w:val="00A55215"/>
    <w:rsid w:val="00A5548E"/>
    <w:rsid w:val="00A563B5"/>
    <w:rsid w:val="00A56DE8"/>
    <w:rsid w:val="00A57187"/>
    <w:rsid w:val="00A60805"/>
    <w:rsid w:val="00A62A9D"/>
    <w:rsid w:val="00A62D65"/>
    <w:rsid w:val="00A634ED"/>
    <w:rsid w:val="00A70F2C"/>
    <w:rsid w:val="00A72879"/>
    <w:rsid w:val="00A7349B"/>
    <w:rsid w:val="00A74097"/>
    <w:rsid w:val="00A7465D"/>
    <w:rsid w:val="00A7534D"/>
    <w:rsid w:val="00A754FF"/>
    <w:rsid w:val="00A7584A"/>
    <w:rsid w:val="00A7665D"/>
    <w:rsid w:val="00A76A76"/>
    <w:rsid w:val="00A7732F"/>
    <w:rsid w:val="00A77A66"/>
    <w:rsid w:val="00A80020"/>
    <w:rsid w:val="00A80B9C"/>
    <w:rsid w:val="00A81551"/>
    <w:rsid w:val="00A828BD"/>
    <w:rsid w:val="00A82B0B"/>
    <w:rsid w:val="00A85BDE"/>
    <w:rsid w:val="00A87284"/>
    <w:rsid w:val="00A87980"/>
    <w:rsid w:val="00A9271C"/>
    <w:rsid w:val="00A9279B"/>
    <w:rsid w:val="00A93306"/>
    <w:rsid w:val="00A93525"/>
    <w:rsid w:val="00A93742"/>
    <w:rsid w:val="00A965A2"/>
    <w:rsid w:val="00AA08A0"/>
    <w:rsid w:val="00AA1251"/>
    <w:rsid w:val="00AA1598"/>
    <w:rsid w:val="00AA26DA"/>
    <w:rsid w:val="00AA29E9"/>
    <w:rsid w:val="00AA2D96"/>
    <w:rsid w:val="00AA67DB"/>
    <w:rsid w:val="00AA693C"/>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4640"/>
    <w:rsid w:val="00AD5703"/>
    <w:rsid w:val="00AE061D"/>
    <w:rsid w:val="00AE089B"/>
    <w:rsid w:val="00AE116A"/>
    <w:rsid w:val="00AE3065"/>
    <w:rsid w:val="00AE3172"/>
    <w:rsid w:val="00AE3DBB"/>
    <w:rsid w:val="00AE466A"/>
    <w:rsid w:val="00AE641D"/>
    <w:rsid w:val="00AE719D"/>
    <w:rsid w:val="00AE7634"/>
    <w:rsid w:val="00AE7BC6"/>
    <w:rsid w:val="00AF35D9"/>
    <w:rsid w:val="00B01156"/>
    <w:rsid w:val="00B0116E"/>
    <w:rsid w:val="00B02A2B"/>
    <w:rsid w:val="00B04EF2"/>
    <w:rsid w:val="00B05DB6"/>
    <w:rsid w:val="00B0735F"/>
    <w:rsid w:val="00B1055F"/>
    <w:rsid w:val="00B13A42"/>
    <w:rsid w:val="00B13EF7"/>
    <w:rsid w:val="00B141D4"/>
    <w:rsid w:val="00B15B3F"/>
    <w:rsid w:val="00B17D4C"/>
    <w:rsid w:val="00B22913"/>
    <w:rsid w:val="00B31AF3"/>
    <w:rsid w:val="00B31C6B"/>
    <w:rsid w:val="00B326F0"/>
    <w:rsid w:val="00B33127"/>
    <w:rsid w:val="00B350DE"/>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92"/>
    <w:rsid w:val="00B62D0F"/>
    <w:rsid w:val="00B63DF3"/>
    <w:rsid w:val="00B64F43"/>
    <w:rsid w:val="00B650B8"/>
    <w:rsid w:val="00B67235"/>
    <w:rsid w:val="00B67619"/>
    <w:rsid w:val="00B67650"/>
    <w:rsid w:val="00B700CB"/>
    <w:rsid w:val="00B701E5"/>
    <w:rsid w:val="00B7169C"/>
    <w:rsid w:val="00B72ABA"/>
    <w:rsid w:val="00B7428F"/>
    <w:rsid w:val="00B74CD3"/>
    <w:rsid w:val="00B74D1D"/>
    <w:rsid w:val="00B74D7E"/>
    <w:rsid w:val="00B775B7"/>
    <w:rsid w:val="00B82AC6"/>
    <w:rsid w:val="00B84092"/>
    <w:rsid w:val="00B848B4"/>
    <w:rsid w:val="00B85834"/>
    <w:rsid w:val="00B87A97"/>
    <w:rsid w:val="00B87B21"/>
    <w:rsid w:val="00B923B0"/>
    <w:rsid w:val="00B9344D"/>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193"/>
    <w:rsid w:val="00BE7ACD"/>
    <w:rsid w:val="00BE7CBF"/>
    <w:rsid w:val="00BF0D3F"/>
    <w:rsid w:val="00BF1AA4"/>
    <w:rsid w:val="00BF26F8"/>
    <w:rsid w:val="00BF2844"/>
    <w:rsid w:val="00BF305A"/>
    <w:rsid w:val="00BF4409"/>
    <w:rsid w:val="00BF553C"/>
    <w:rsid w:val="00BF7023"/>
    <w:rsid w:val="00BF751E"/>
    <w:rsid w:val="00BF7EE8"/>
    <w:rsid w:val="00C01E76"/>
    <w:rsid w:val="00C04315"/>
    <w:rsid w:val="00C04937"/>
    <w:rsid w:val="00C05701"/>
    <w:rsid w:val="00C06419"/>
    <w:rsid w:val="00C07997"/>
    <w:rsid w:val="00C11793"/>
    <w:rsid w:val="00C11E1D"/>
    <w:rsid w:val="00C12FE6"/>
    <w:rsid w:val="00C15A20"/>
    <w:rsid w:val="00C15EF5"/>
    <w:rsid w:val="00C16793"/>
    <w:rsid w:val="00C17121"/>
    <w:rsid w:val="00C209A3"/>
    <w:rsid w:val="00C20F56"/>
    <w:rsid w:val="00C22647"/>
    <w:rsid w:val="00C252EF"/>
    <w:rsid w:val="00C25516"/>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374E"/>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4D77"/>
    <w:rsid w:val="00C753F8"/>
    <w:rsid w:val="00C77DDB"/>
    <w:rsid w:val="00C81D27"/>
    <w:rsid w:val="00C82BFF"/>
    <w:rsid w:val="00C82FFF"/>
    <w:rsid w:val="00C84220"/>
    <w:rsid w:val="00C863C7"/>
    <w:rsid w:val="00C864DA"/>
    <w:rsid w:val="00C92E9F"/>
    <w:rsid w:val="00C932AC"/>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0F3"/>
    <w:rsid w:val="00CD5D26"/>
    <w:rsid w:val="00CD5D34"/>
    <w:rsid w:val="00CD5D97"/>
    <w:rsid w:val="00CD6CD7"/>
    <w:rsid w:val="00CD7487"/>
    <w:rsid w:val="00CE0E96"/>
    <w:rsid w:val="00CE1082"/>
    <w:rsid w:val="00CE2207"/>
    <w:rsid w:val="00CE23CF"/>
    <w:rsid w:val="00CE331D"/>
    <w:rsid w:val="00CE5508"/>
    <w:rsid w:val="00CE5855"/>
    <w:rsid w:val="00CE5CBD"/>
    <w:rsid w:val="00CE5CD1"/>
    <w:rsid w:val="00CE75F6"/>
    <w:rsid w:val="00CF1035"/>
    <w:rsid w:val="00CF1515"/>
    <w:rsid w:val="00CF3E9B"/>
    <w:rsid w:val="00CF45D1"/>
    <w:rsid w:val="00D01106"/>
    <w:rsid w:val="00D011AB"/>
    <w:rsid w:val="00D01540"/>
    <w:rsid w:val="00D04A60"/>
    <w:rsid w:val="00D05621"/>
    <w:rsid w:val="00D05EBA"/>
    <w:rsid w:val="00D06EA4"/>
    <w:rsid w:val="00D10D79"/>
    <w:rsid w:val="00D12F03"/>
    <w:rsid w:val="00D17C69"/>
    <w:rsid w:val="00D17E20"/>
    <w:rsid w:val="00D2015D"/>
    <w:rsid w:val="00D20278"/>
    <w:rsid w:val="00D214C4"/>
    <w:rsid w:val="00D215C9"/>
    <w:rsid w:val="00D229B7"/>
    <w:rsid w:val="00D248B3"/>
    <w:rsid w:val="00D254DC"/>
    <w:rsid w:val="00D264F2"/>
    <w:rsid w:val="00D2684A"/>
    <w:rsid w:val="00D316D4"/>
    <w:rsid w:val="00D338AF"/>
    <w:rsid w:val="00D34251"/>
    <w:rsid w:val="00D34892"/>
    <w:rsid w:val="00D3504E"/>
    <w:rsid w:val="00D3592D"/>
    <w:rsid w:val="00D35B50"/>
    <w:rsid w:val="00D40802"/>
    <w:rsid w:val="00D40D74"/>
    <w:rsid w:val="00D41E04"/>
    <w:rsid w:val="00D41EF4"/>
    <w:rsid w:val="00D4202C"/>
    <w:rsid w:val="00D4405D"/>
    <w:rsid w:val="00D4505E"/>
    <w:rsid w:val="00D451D6"/>
    <w:rsid w:val="00D461B4"/>
    <w:rsid w:val="00D465C3"/>
    <w:rsid w:val="00D51F7D"/>
    <w:rsid w:val="00D53C22"/>
    <w:rsid w:val="00D55EB6"/>
    <w:rsid w:val="00D56C70"/>
    <w:rsid w:val="00D57ACD"/>
    <w:rsid w:val="00D57D7D"/>
    <w:rsid w:val="00D61C3A"/>
    <w:rsid w:val="00D62510"/>
    <w:rsid w:val="00D6614F"/>
    <w:rsid w:val="00D66973"/>
    <w:rsid w:val="00D6731F"/>
    <w:rsid w:val="00D71486"/>
    <w:rsid w:val="00D71FF7"/>
    <w:rsid w:val="00D736BF"/>
    <w:rsid w:val="00D75234"/>
    <w:rsid w:val="00D75DD9"/>
    <w:rsid w:val="00D81E53"/>
    <w:rsid w:val="00D82104"/>
    <w:rsid w:val="00D82A13"/>
    <w:rsid w:val="00D82F8D"/>
    <w:rsid w:val="00D84D27"/>
    <w:rsid w:val="00D868AD"/>
    <w:rsid w:val="00D86EA8"/>
    <w:rsid w:val="00D87607"/>
    <w:rsid w:val="00D90126"/>
    <w:rsid w:val="00D90224"/>
    <w:rsid w:val="00D9046D"/>
    <w:rsid w:val="00D90803"/>
    <w:rsid w:val="00D92233"/>
    <w:rsid w:val="00D94A71"/>
    <w:rsid w:val="00D97847"/>
    <w:rsid w:val="00DA05B0"/>
    <w:rsid w:val="00DA0A54"/>
    <w:rsid w:val="00DA142D"/>
    <w:rsid w:val="00DA2AD1"/>
    <w:rsid w:val="00DA2FDC"/>
    <w:rsid w:val="00DA37B8"/>
    <w:rsid w:val="00DA3801"/>
    <w:rsid w:val="00DA496A"/>
    <w:rsid w:val="00DA5947"/>
    <w:rsid w:val="00DA7288"/>
    <w:rsid w:val="00DB0D66"/>
    <w:rsid w:val="00DB0EC2"/>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0C"/>
    <w:rsid w:val="00E064A4"/>
    <w:rsid w:val="00E06AF9"/>
    <w:rsid w:val="00E07F5E"/>
    <w:rsid w:val="00E10549"/>
    <w:rsid w:val="00E10A8A"/>
    <w:rsid w:val="00E12C71"/>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4C9D"/>
    <w:rsid w:val="00E45813"/>
    <w:rsid w:val="00E45F4E"/>
    <w:rsid w:val="00E4603C"/>
    <w:rsid w:val="00E46A2F"/>
    <w:rsid w:val="00E4747E"/>
    <w:rsid w:val="00E4783E"/>
    <w:rsid w:val="00E51248"/>
    <w:rsid w:val="00E5134E"/>
    <w:rsid w:val="00E52D1D"/>
    <w:rsid w:val="00E534E7"/>
    <w:rsid w:val="00E547E2"/>
    <w:rsid w:val="00E61500"/>
    <w:rsid w:val="00E63E97"/>
    <w:rsid w:val="00E6477F"/>
    <w:rsid w:val="00E66021"/>
    <w:rsid w:val="00E6617B"/>
    <w:rsid w:val="00E66FF8"/>
    <w:rsid w:val="00E67930"/>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60AC"/>
    <w:rsid w:val="00E978C4"/>
    <w:rsid w:val="00E97F5A"/>
    <w:rsid w:val="00EA1F61"/>
    <w:rsid w:val="00EA4D83"/>
    <w:rsid w:val="00EA5A49"/>
    <w:rsid w:val="00EA6034"/>
    <w:rsid w:val="00EA609C"/>
    <w:rsid w:val="00EA6DC9"/>
    <w:rsid w:val="00EB00F4"/>
    <w:rsid w:val="00EB0BA3"/>
    <w:rsid w:val="00EB10CC"/>
    <w:rsid w:val="00EB263E"/>
    <w:rsid w:val="00EB350E"/>
    <w:rsid w:val="00EB409C"/>
    <w:rsid w:val="00EB497D"/>
    <w:rsid w:val="00EB6B6B"/>
    <w:rsid w:val="00EC04ED"/>
    <w:rsid w:val="00EC0D21"/>
    <w:rsid w:val="00EC2A33"/>
    <w:rsid w:val="00EC2C8A"/>
    <w:rsid w:val="00EC2D34"/>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6184"/>
    <w:rsid w:val="00EE7173"/>
    <w:rsid w:val="00EE7F2A"/>
    <w:rsid w:val="00EF3505"/>
    <w:rsid w:val="00EF753D"/>
    <w:rsid w:val="00EF7FC2"/>
    <w:rsid w:val="00F0198D"/>
    <w:rsid w:val="00F01F44"/>
    <w:rsid w:val="00F02F9F"/>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0B2B"/>
    <w:rsid w:val="00F5108B"/>
    <w:rsid w:val="00F5119C"/>
    <w:rsid w:val="00F545A4"/>
    <w:rsid w:val="00F55E6B"/>
    <w:rsid w:val="00F56985"/>
    <w:rsid w:val="00F603EE"/>
    <w:rsid w:val="00F6052E"/>
    <w:rsid w:val="00F60A2D"/>
    <w:rsid w:val="00F62179"/>
    <w:rsid w:val="00F625AF"/>
    <w:rsid w:val="00F63698"/>
    <w:rsid w:val="00F66B03"/>
    <w:rsid w:val="00F70CE2"/>
    <w:rsid w:val="00F71913"/>
    <w:rsid w:val="00F71B39"/>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6EE4"/>
    <w:rsid w:val="00F87499"/>
    <w:rsid w:val="00F921F6"/>
    <w:rsid w:val="00F935F5"/>
    <w:rsid w:val="00F93974"/>
    <w:rsid w:val="00F940DB"/>
    <w:rsid w:val="00F9450A"/>
    <w:rsid w:val="00F95AF5"/>
    <w:rsid w:val="00F96283"/>
    <w:rsid w:val="00FA0293"/>
    <w:rsid w:val="00FA0DDC"/>
    <w:rsid w:val="00FA10FE"/>
    <w:rsid w:val="00FA1370"/>
    <w:rsid w:val="00FA1512"/>
    <w:rsid w:val="00FA1530"/>
    <w:rsid w:val="00FA3C6D"/>
    <w:rsid w:val="00FA76CF"/>
    <w:rsid w:val="00FB174F"/>
    <w:rsid w:val="00FB456B"/>
    <w:rsid w:val="00FB4D77"/>
    <w:rsid w:val="00FB74F3"/>
    <w:rsid w:val="00FB75CB"/>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references">
    <w:name w:val="references"/>
    <w:uiPriority w:val="99"/>
    <w:rsid w:val="00CF3E9B"/>
    <w:pPr>
      <w:numPr>
        <w:numId w:val="5"/>
      </w:numPr>
      <w:spacing w:after="50" w:line="180" w:lineRule="exact"/>
      <w:jc w:val="both"/>
    </w:pPr>
    <w:rPr>
      <w:rFonts w:ascii="Times New Roman" w:eastAsia="MS Mincho" w:hAnsi="Times New Roman" w:cs="Times New Roman"/>
      <w:noProof/>
      <w:kern w:val="0"/>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B2757-4CBA-4EC5-9ED1-E22AFA724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1240</Words>
  <Characters>7073</Characters>
  <Application>Microsoft Office Word</Application>
  <DocSecurity>0</DocSecurity>
  <Lines>58</Lines>
  <Paragraphs>16</Paragraphs>
  <ScaleCrop>false</ScaleCrop>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19</cp:revision>
  <dcterms:created xsi:type="dcterms:W3CDTF">2019-02-13T01:10:00Z</dcterms:created>
  <dcterms:modified xsi:type="dcterms:W3CDTF">2019-02-15T07:50:00Z</dcterms:modified>
</cp:coreProperties>
</file>