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5E3" w:rsidRPr="00EC625F" w:rsidRDefault="00551F1E" w:rsidP="000B35E3">
      <w:pPr>
        <w:pStyle w:val="Header"/>
        <w:tabs>
          <w:tab w:val="left" w:pos="8190"/>
        </w:tabs>
        <w:spacing w:after="0" w:afterAutospacing="0"/>
        <w:rPr>
          <w:rFonts w:cs="Arial"/>
          <w:iCs/>
          <w:noProof w:val="0"/>
          <w:sz w:val="28"/>
          <w:szCs w:val="28"/>
          <w:lang w:val="en-US"/>
        </w:rPr>
      </w:pPr>
      <w:bookmarkStart w:id="0" w:name="OLE_LINK3"/>
      <w:r w:rsidRPr="00EC625F">
        <w:rPr>
          <w:rFonts w:eastAsia="MS Gothic" w:cs="Arial"/>
          <w:noProof w:val="0"/>
          <w:sz w:val="28"/>
          <w:szCs w:val="28"/>
          <w:lang w:val="en-US"/>
        </w:rPr>
        <w:t>3</w:t>
      </w:r>
      <w:r w:rsidR="000B35E3" w:rsidRPr="00EC625F">
        <w:rPr>
          <w:rFonts w:eastAsia="MS Gothic" w:cs="Arial"/>
          <w:noProof w:val="0"/>
          <w:sz w:val="28"/>
          <w:szCs w:val="28"/>
          <w:lang w:val="en-US"/>
        </w:rPr>
        <w:t>GPP TSG RAN WG1#9</w:t>
      </w:r>
      <w:r w:rsidR="00F43352">
        <w:rPr>
          <w:rFonts w:eastAsia="MS Gothic" w:cs="Arial"/>
          <w:noProof w:val="0"/>
          <w:sz w:val="28"/>
          <w:szCs w:val="28"/>
          <w:lang w:val="en-US"/>
        </w:rPr>
        <w:t>1</w:t>
      </w:r>
      <w:r w:rsidR="000B35E3" w:rsidRPr="00EC625F">
        <w:rPr>
          <w:rFonts w:eastAsia="MS Gothic" w:cs="Arial"/>
          <w:noProof w:val="0"/>
          <w:sz w:val="28"/>
          <w:szCs w:val="28"/>
          <w:lang w:val="en-US"/>
        </w:rPr>
        <w:t xml:space="preserve"> Meeting </w:t>
      </w:r>
      <w:r w:rsidR="000B35E3" w:rsidRPr="00EC625F">
        <w:rPr>
          <w:rFonts w:eastAsia="MS Gothic" w:cs="Arial"/>
          <w:noProof w:val="0"/>
          <w:sz w:val="28"/>
          <w:szCs w:val="28"/>
          <w:lang w:val="en-US"/>
        </w:rPr>
        <w:tab/>
      </w:r>
      <w:r w:rsidR="001A4354" w:rsidRPr="001A4354">
        <w:rPr>
          <w:rFonts w:eastAsia="MS Gothic" w:cs="Arial"/>
          <w:iCs/>
          <w:noProof w:val="0"/>
          <w:sz w:val="28"/>
          <w:szCs w:val="28"/>
          <w:lang w:val="en-US"/>
        </w:rPr>
        <w:t>R1-1720618</w:t>
      </w:r>
    </w:p>
    <w:p w:rsidR="00004B52" w:rsidRPr="00EC625F" w:rsidRDefault="00F43352" w:rsidP="000B35E3">
      <w:pPr>
        <w:pStyle w:val="Header"/>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Reno</w:t>
      </w:r>
      <w:r w:rsidR="000B35E3" w:rsidRPr="00EC625F">
        <w:rPr>
          <w:rFonts w:eastAsia="SimSun" w:cs="Arial"/>
          <w:sz w:val="28"/>
          <w:szCs w:val="28"/>
          <w:lang w:val="en-US" w:eastAsia="zh-CN"/>
        </w:rPr>
        <w:t xml:space="preserve">, </w:t>
      </w:r>
      <w:r>
        <w:rPr>
          <w:rFonts w:eastAsia="SimSun" w:cs="Arial"/>
          <w:sz w:val="28"/>
          <w:szCs w:val="28"/>
          <w:lang w:val="en-US" w:eastAsia="zh-CN"/>
        </w:rPr>
        <w:t>USA</w:t>
      </w:r>
      <w:r w:rsidR="000B35E3" w:rsidRPr="00EC625F">
        <w:rPr>
          <w:rFonts w:eastAsia="SimSun" w:cs="Arial"/>
          <w:sz w:val="28"/>
          <w:szCs w:val="28"/>
          <w:lang w:val="en-US" w:eastAsia="zh-CN"/>
        </w:rPr>
        <w:t xml:space="preserve">, </w:t>
      </w:r>
      <w:r>
        <w:rPr>
          <w:rFonts w:eastAsia="SimSun" w:cs="Arial"/>
          <w:sz w:val="28"/>
          <w:szCs w:val="28"/>
          <w:lang w:val="en-US" w:eastAsia="zh-CN"/>
        </w:rPr>
        <w:t>27</w:t>
      </w:r>
      <w:r w:rsidRPr="00F43352">
        <w:rPr>
          <w:rFonts w:eastAsia="SimSun" w:cs="Arial"/>
          <w:sz w:val="28"/>
          <w:szCs w:val="28"/>
          <w:vertAlign w:val="superscript"/>
          <w:lang w:val="en-US" w:eastAsia="zh-CN"/>
        </w:rPr>
        <w:t>th</w:t>
      </w:r>
      <w:r>
        <w:rPr>
          <w:rFonts w:eastAsia="SimSun" w:cs="Arial"/>
          <w:sz w:val="28"/>
          <w:szCs w:val="28"/>
          <w:lang w:val="en-US" w:eastAsia="zh-CN"/>
        </w:rPr>
        <w:t xml:space="preserve"> November- 1 December 2017</w:t>
      </w:r>
    </w:p>
    <w:p w:rsidR="00004B52" w:rsidRPr="00EC625F" w:rsidRDefault="00004B52" w:rsidP="0060799C">
      <w:pPr>
        <w:pStyle w:val="Header"/>
        <w:tabs>
          <w:tab w:val="right" w:pos="10206"/>
        </w:tabs>
        <w:spacing w:after="0" w:afterAutospacing="0"/>
        <w:rPr>
          <w:rFonts w:eastAsia="MS Gothic" w:cs="Arial"/>
          <w:noProof w:val="0"/>
          <w:sz w:val="28"/>
          <w:szCs w:val="28"/>
          <w:lang w:val="en-US"/>
        </w:rPr>
      </w:pPr>
    </w:p>
    <w:p w:rsidR="00004B52" w:rsidRPr="00EC625F"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EC625F">
        <w:rPr>
          <w:rFonts w:ascii="Arial" w:hAnsi="Arial" w:cs="Arial"/>
          <w:b/>
          <w:sz w:val="28"/>
          <w:szCs w:val="28"/>
          <w:lang w:val="en-US"/>
        </w:rPr>
        <w:t>Source:</w:t>
      </w:r>
      <w:r w:rsidRPr="00EC625F">
        <w:rPr>
          <w:rFonts w:ascii="Arial" w:hAnsi="Arial" w:cs="Arial"/>
          <w:b/>
          <w:sz w:val="28"/>
          <w:szCs w:val="28"/>
          <w:lang w:val="en-US"/>
        </w:rPr>
        <w:tab/>
      </w:r>
      <w:r w:rsidR="00042247" w:rsidRPr="00EC625F">
        <w:rPr>
          <w:rFonts w:ascii="Arial" w:hAnsi="Arial" w:cs="Arial"/>
          <w:b/>
          <w:sz w:val="28"/>
          <w:szCs w:val="28"/>
          <w:lang w:val="en-US"/>
        </w:rPr>
        <w:t>S</w:t>
      </w:r>
      <w:r w:rsidR="00042247" w:rsidRPr="00EC625F">
        <w:rPr>
          <w:rFonts w:ascii="Arial" w:eastAsia="MS Mincho" w:hAnsi="Arial" w:cs="Arial"/>
          <w:b/>
          <w:sz w:val="28"/>
          <w:szCs w:val="28"/>
          <w:lang w:val="en-US"/>
        </w:rPr>
        <w:t>harp</w:t>
      </w:r>
      <w:r w:rsidR="001A4354">
        <w:rPr>
          <w:rFonts w:ascii="Arial" w:eastAsia="MS Mincho" w:hAnsi="Arial" w:cs="Arial"/>
          <w:b/>
          <w:sz w:val="28"/>
          <w:szCs w:val="28"/>
          <w:lang w:val="en-US"/>
        </w:rPr>
        <w:t>, APT</w:t>
      </w:r>
    </w:p>
    <w:p w:rsidR="00004B52" w:rsidRPr="00896EF0" w:rsidRDefault="00004B52" w:rsidP="0060799C">
      <w:pPr>
        <w:spacing w:after="0" w:afterAutospacing="0"/>
        <w:ind w:left="1985" w:hangingChars="706" w:hanging="1985"/>
        <w:rPr>
          <w:rFonts w:ascii="Arial" w:eastAsia="MS Mincho" w:hAnsi="Arial" w:cs="Arial"/>
          <w:b/>
          <w:sz w:val="28"/>
          <w:szCs w:val="28"/>
          <w:lang w:val="en-US"/>
        </w:rPr>
      </w:pPr>
      <w:r w:rsidRPr="00EC625F">
        <w:rPr>
          <w:rFonts w:ascii="Arial" w:hAnsi="Arial" w:cs="Arial"/>
          <w:b/>
          <w:sz w:val="28"/>
          <w:szCs w:val="28"/>
          <w:lang w:val="en-US"/>
        </w:rPr>
        <w:t>Title:</w:t>
      </w:r>
      <w:r w:rsidRPr="00EC625F">
        <w:rPr>
          <w:rFonts w:ascii="Arial" w:hAnsi="Arial" w:cs="Arial"/>
          <w:b/>
          <w:sz w:val="28"/>
          <w:szCs w:val="28"/>
          <w:lang w:val="en-US"/>
        </w:rPr>
        <w:tab/>
      </w:r>
      <w:r w:rsidR="00896EF0">
        <w:rPr>
          <w:rFonts w:ascii="Arial" w:hAnsi="Arial" w:cs="Arial"/>
          <w:b/>
          <w:sz w:val="28"/>
          <w:szCs w:val="28"/>
          <w:lang w:val="en-US"/>
        </w:rPr>
        <w:t xml:space="preserve">Transmission Repetition </w:t>
      </w:r>
      <w:r w:rsidR="00896EF0">
        <w:rPr>
          <w:rFonts w:ascii="Arial" w:hAnsi="Arial" w:cs="Arial"/>
          <w:b/>
          <w:i/>
          <w:sz w:val="28"/>
          <w:szCs w:val="28"/>
          <w:lang w:val="en-US"/>
        </w:rPr>
        <w:t>and</w:t>
      </w:r>
      <w:r w:rsidR="00896EF0">
        <w:rPr>
          <w:rFonts w:ascii="Arial" w:hAnsi="Arial" w:cs="Arial"/>
          <w:b/>
          <w:sz w:val="28"/>
          <w:szCs w:val="28"/>
          <w:lang w:val="en-US"/>
        </w:rPr>
        <w:t xml:space="preserve"> Slot Aggregation</w:t>
      </w:r>
    </w:p>
    <w:p w:rsidR="00004B52" w:rsidRPr="00EC625F" w:rsidRDefault="00004B52" w:rsidP="0060799C">
      <w:pPr>
        <w:spacing w:after="0" w:afterAutospacing="0"/>
        <w:ind w:left="1985" w:hangingChars="706" w:hanging="1985"/>
        <w:rPr>
          <w:rFonts w:ascii="Arial" w:eastAsiaTheme="minorEastAsia" w:hAnsi="Arial" w:cs="Arial"/>
          <w:b/>
          <w:sz w:val="28"/>
          <w:szCs w:val="28"/>
          <w:lang w:val="en-US" w:eastAsia="zh-CN"/>
        </w:rPr>
      </w:pPr>
      <w:r w:rsidRPr="00EC625F">
        <w:rPr>
          <w:rFonts w:ascii="Arial" w:hAnsi="Arial" w:cs="Arial"/>
          <w:b/>
          <w:sz w:val="28"/>
          <w:szCs w:val="28"/>
          <w:lang w:val="en-US"/>
        </w:rPr>
        <w:t>Agenda Item:</w:t>
      </w:r>
      <w:r w:rsidRPr="00EC625F">
        <w:rPr>
          <w:rFonts w:ascii="Arial" w:hAnsi="Arial" w:cs="Arial"/>
          <w:b/>
          <w:sz w:val="28"/>
          <w:szCs w:val="28"/>
          <w:lang w:val="en-US"/>
        </w:rPr>
        <w:tab/>
      </w:r>
      <w:r w:rsidR="00F43352">
        <w:rPr>
          <w:rFonts w:ascii="Arial" w:hAnsi="Arial" w:cs="Arial"/>
          <w:b/>
          <w:sz w:val="28"/>
          <w:szCs w:val="28"/>
          <w:lang w:val="en-US"/>
        </w:rPr>
        <w:t>7</w:t>
      </w:r>
      <w:r w:rsidR="007B4F16" w:rsidRPr="00EC625F">
        <w:rPr>
          <w:rFonts w:ascii="Arial" w:hAnsi="Arial" w:cs="Arial"/>
          <w:b/>
          <w:sz w:val="28"/>
          <w:szCs w:val="28"/>
          <w:lang w:val="en-US"/>
        </w:rPr>
        <w:t>.</w:t>
      </w:r>
      <w:r w:rsidR="00F43352">
        <w:rPr>
          <w:rFonts w:ascii="Arial" w:hAnsi="Arial" w:cs="Arial"/>
          <w:b/>
          <w:sz w:val="28"/>
          <w:szCs w:val="28"/>
          <w:lang w:val="en-US"/>
        </w:rPr>
        <w:t>3</w:t>
      </w:r>
      <w:r w:rsidR="007B4F16" w:rsidRPr="00EC625F">
        <w:rPr>
          <w:rFonts w:ascii="Arial" w:hAnsi="Arial" w:cs="Arial"/>
          <w:b/>
          <w:sz w:val="28"/>
          <w:szCs w:val="28"/>
          <w:lang w:val="en-US"/>
        </w:rPr>
        <w:t>.</w:t>
      </w:r>
      <w:r w:rsidR="00FC4A2E" w:rsidRPr="00EC625F">
        <w:rPr>
          <w:rFonts w:ascii="Arial" w:hAnsi="Arial" w:cs="Arial"/>
          <w:b/>
          <w:sz w:val="28"/>
          <w:szCs w:val="28"/>
          <w:lang w:val="en-US"/>
        </w:rPr>
        <w:t>3</w:t>
      </w:r>
      <w:r w:rsidR="007B4F16" w:rsidRPr="00EC625F">
        <w:rPr>
          <w:rFonts w:ascii="Arial" w:hAnsi="Arial" w:cs="Arial"/>
          <w:b/>
          <w:sz w:val="28"/>
          <w:szCs w:val="28"/>
          <w:lang w:val="en-US"/>
        </w:rPr>
        <w:t>.</w:t>
      </w:r>
      <w:r w:rsidR="00F43352">
        <w:rPr>
          <w:rFonts w:ascii="Arial" w:hAnsi="Arial" w:cs="Arial"/>
          <w:b/>
          <w:sz w:val="28"/>
          <w:szCs w:val="28"/>
          <w:lang w:val="en-US"/>
        </w:rPr>
        <w:t>4</w:t>
      </w:r>
    </w:p>
    <w:p w:rsidR="00004B52" w:rsidRPr="00EC625F" w:rsidRDefault="00004B52" w:rsidP="0060799C">
      <w:pPr>
        <w:pBdr>
          <w:bottom w:val="single" w:sz="12" w:space="1" w:color="auto"/>
        </w:pBdr>
        <w:ind w:left="1985" w:hangingChars="706" w:hanging="1985"/>
        <w:rPr>
          <w:rFonts w:ascii="Arial" w:hAnsi="Arial" w:cs="Arial"/>
          <w:b/>
          <w:sz w:val="28"/>
          <w:szCs w:val="28"/>
          <w:lang w:val="en-US"/>
        </w:rPr>
      </w:pPr>
      <w:r w:rsidRPr="00EC625F">
        <w:rPr>
          <w:rFonts w:ascii="Arial" w:hAnsi="Arial" w:cs="Arial"/>
          <w:b/>
          <w:sz w:val="28"/>
          <w:szCs w:val="28"/>
          <w:lang w:val="en-US"/>
        </w:rPr>
        <w:t>Document for:</w:t>
      </w:r>
      <w:r w:rsidRPr="00EC625F">
        <w:rPr>
          <w:rFonts w:ascii="Arial" w:hAnsi="Arial" w:cs="Arial"/>
          <w:b/>
          <w:sz w:val="28"/>
          <w:szCs w:val="28"/>
          <w:lang w:val="en-US"/>
        </w:rPr>
        <w:tab/>
        <w:t>Discussion</w:t>
      </w:r>
      <w:bookmarkStart w:id="2" w:name="DocumentFor"/>
      <w:bookmarkEnd w:id="2"/>
      <w:r w:rsidR="00DF7448" w:rsidRPr="00EC625F">
        <w:rPr>
          <w:rFonts w:ascii="Arial" w:hAnsi="Arial" w:cs="Arial"/>
          <w:b/>
          <w:sz w:val="28"/>
          <w:szCs w:val="28"/>
          <w:lang w:val="en-US"/>
        </w:rPr>
        <w:t xml:space="preserve"> and Decision</w:t>
      </w:r>
    </w:p>
    <w:p w:rsidR="00004B52" w:rsidRDefault="00004B52" w:rsidP="0060799C">
      <w:pPr>
        <w:pStyle w:val="Heading1"/>
        <w:spacing w:after="180"/>
        <w:rPr>
          <w:lang w:val="en-US"/>
        </w:rPr>
      </w:pPr>
      <w:r w:rsidRPr="00EC625F">
        <w:rPr>
          <w:lang w:val="en-US"/>
        </w:rPr>
        <w:t>Introduction</w:t>
      </w:r>
      <w:bookmarkEnd w:id="1"/>
    </w:p>
    <w:p w:rsidR="00F43352" w:rsidRDefault="00F43352" w:rsidP="00F43352">
      <w:pPr>
        <w:rPr>
          <w:lang w:val="en-US"/>
        </w:rPr>
      </w:pPr>
      <w:r>
        <w:rPr>
          <w:lang w:val="en-US"/>
        </w:rPr>
        <w:t>It seems that every time somebody brings up something to do with transmission repetitions and grant-based/grant free access there is some kind of objection to that feature with slot aggregation and boom! The topic is shut down.  Many man hours have been lost on such trivia.</w:t>
      </w:r>
    </w:p>
    <w:p w:rsidR="00F43352" w:rsidRDefault="00F43352" w:rsidP="00F43352">
      <w:pPr>
        <w:rPr>
          <w:lang w:val="en-US"/>
        </w:rPr>
      </w:pPr>
      <w:r>
        <w:rPr>
          <w:lang w:val="en-US"/>
        </w:rPr>
        <w:t>Well, this contribution aims to put an end to all that, at least for the topic at hand, and why not?   We show that the use cases for "K Repetitions" of a slot and slot aggregation are actually different.  We also propose that signaling be provided so there is a unified solution and everyone is happy.</w:t>
      </w:r>
    </w:p>
    <w:p w:rsidR="002257BD" w:rsidRPr="00F43352" w:rsidRDefault="002257BD" w:rsidP="00F43352">
      <w:pPr>
        <w:rPr>
          <w:lang w:val="en-US"/>
        </w:rPr>
      </w:pPr>
      <w:r>
        <w:rPr>
          <w:lang w:val="en-US"/>
        </w:rPr>
        <w:t>First, though, we'll review some of the relevant agreements and contributions from meetings past, and highlight the use cases mentioned for slot aggregation and K Repetitions</w:t>
      </w:r>
    </w:p>
    <w:p w:rsidR="00554214" w:rsidRDefault="00F43352" w:rsidP="00554214">
      <w:pPr>
        <w:pStyle w:val="Heading1"/>
        <w:spacing w:after="180"/>
        <w:rPr>
          <w:lang w:val="en-US"/>
        </w:rPr>
      </w:pPr>
      <w:r>
        <w:rPr>
          <w:lang w:val="en-US"/>
        </w:rPr>
        <w:t>Slot Aggregation and K Repetitions</w:t>
      </w:r>
      <w:r w:rsidR="002257BD">
        <w:rPr>
          <w:lang w:val="en-US"/>
        </w:rPr>
        <w:t>: Previous Agreements</w:t>
      </w:r>
      <w:r w:rsidR="003A5793">
        <w:rPr>
          <w:lang w:val="en-US"/>
        </w:rPr>
        <w:t>,</w:t>
      </w:r>
      <w:r w:rsidR="002257BD">
        <w:rPr>
          <w:lang w:val="en-US"/>
        </w:rPr>
        <w:t xml:space="preserve"> Relevant Contributions</w:t>
      </w:r>
      <w:r w:rsidR="003A5793">
        <w:rPr>
          <w:lang w:val="en-US"/>
        </w:rPr>
        <w:t>, and Proposal</w:t>
      </w:r>
    </w:p>
    <w:p w:rsidR="002257BD" w:rsidRDefault="002257BD" w:rsidP="002257BD"/>
    <w:p w:rsidR="002257BD" w:rsidRPr="00C72C7A" w:rsidRDefault="002257BD" w:rsidP="002257BD">
      <w:pPr>
        <w:rPr>
          <w:b/>
          <w:sz w:val="36"/>
        </w:rPr>
      </w:pPr>
      <w:r w:rsidRPr="00C72C7A">
        <w:rPr>
          <w:b/>
          <w:sz w:val="36"/>
        </w:rPr>
        <w:t>RAN1 #86</w:t>
      </w:r>
      <w:r>
        <w:rPr>
          <w:b/>
          <w:sz w:val="36"/>
        </w:rPr>
        <w:t>bis</w:t>
      </w:r>
    </w:p>
    <w:p w:rsidR="002257BD" w:rsidRDefault="002257BD" w:rsidP="002257BD"/>
    <w:p w:rsidR="002257BD" w:rsidRPr="00806112" w:rsidRDefault="002257BD" w:rsidP="002257BD">
      <w:pPr>
        <w:rPr>
          <w:b/>
        </w:rPr>
      </w:pPr>
      <w:r w:rsidRPr="00806112">
        <w:rPr>
          <w:b/>
        </w:rPr>
        <w:t>R1-1610129 Summary of [86-19] Discussion on Slot Structure Use Cases</w:t>
      </w:r>
    </w:p>
    <w:p w:rsidR="002257BD" w:rsidRDefault="002257BD" w:rsidP="002257BD">
      <w:pPr>
        <w:tabs>
          <w:tab w:val="left" w:pos="9091"/>
        </w:tabs>
      </w:pPr>
      <w:r>
        <w:t>"The slot lengths among companies seemed almost evenly divided between 7 and 14 symbols, with a slight majority opting for 14 slots. It was widely accepted that slot aggregation should be supported e.g., through dynamic L1 indication of semi-static RRC signaling. For cases where companies sought 14, it was clear from some proposals that the intention was to have more flexibility as well as less signaling overhead by exploiting more symbols. It is not clear 7-symbol slot aggregation would accomplish the same, although this ultimately would depend on the specification of structures and how they would be configured."</w:t>
      </w:r>
    </w:p>
    <w:p w:rsidR="002257BD" w:rsidRDefault="002257BD" w:rsidP="002257BD"/>
    <w:p w:rsidR="002257BD" w:rsidRDefault="002257BD" w:rsidP="002257BD"/>
    <w:p w:rsidR="002257BD" w:rsidRPr="00F81B19" w:rsidRDefault="002257BD" w:rsidP="002257BD">
      <w:pPr>
        <w:rPr>
          <w:rFonts w:eastAsia="MS Mincho"/>
        </w:rPr>
      </w:pPr>
      <w:r w:rsidRPr="00F81B19">
        <w:rPr>
          <w:rFonts w:eastAsia="MS Mincho" w:hint="eastAsia"/>
          <w:highlight w:val="green"/>
        </w:rPr>
        <w:t>Agreements:</w:t>
      </w:r>
    </w:p>
    <w:p w:rsidR="002257BD" w:rsidRPr="00F81B19" w:rsidRDefault="002257BD" w:rsidP="002257BD">
      <w:pPr>
        <w:pStyle w:val="ListParagraph"/>
        <w:numPr>
          <w:ilvl w:val="0"/>
          <w:numId w:val="34"/>
        </w:numPr>
        <w:overflowPunct w:val="0"/>
        <w:autoSpaceDE w:val="0"/>
        <w:autoSpaceDN w:val="0"/>
        <w:adjustRightInd w:val="0"/>
        <w:snapToGrid/>
        <w:spacing w:after="180" w:afterAutospacing="0"/>
        <w:ind w:firstLineChars="0"/>
        <w:contextualSpacing/>
        <w:jc w:val="left"/>
        <w:textAlignment w:val="baseline"/>
        <w:rPr>
          <w:lang w:val="en-US"/>
        </w:rPr>
      </w:pPr>
      <w:r w:rsidRPr="00F81B19">
        <w:rPr>
          <w:rFonts w:hint="eastAsia"/>
          <w:lang w:val="en-US"/>
        </w:rPr>
        <w:lastRenderedPageBreak/>
        <w:t>S</w:t>
      </w:r>
      <w:r w:rsidRPr="00F81B19">
        <w:rPr>
          <w:lang w:val="en-US"/>
        </w:rPr>
        <w:t xml:space="preserve">lot aggregation is </w:t>
      </w:r>
      <w:r w:rsidRPr="00F81B19">
        <w:rPr>
          <w:rFonts w:hint="eastAsia"/>
          <w:lang w:val="en-US"/>
        </w:rPr>
        <w:t>supported</w:t>
      </w:r>
    </w:p>
    <w:p w:rsidR="002257BD" w:rsidRPr="00F81B19" w:rsidRDefault="002257BD" w:rsidP="002257BD">
      <w:pPr>
        <w:pStyle w:val="ListParagraph"/>
        <w:numPr>
          <w:ilvl w:val="0"/>
          <w:numId w:val="34"/>
        </w:numPr>
        <w:overflowPunct w:val="0"/>
        <w:autoSpaceDE w:val="0"/>
        <w:autoSpaceDN w:val="0"/>
        <w:adjustRightInd w:val="0"/>
        <w:snapToGrid/>
        <w:spacing w:after="180" w:afterAutospacing="0"/>
        <w:ind w:firstLineChars="0"/>
        <w:contextualSpacing/>
        <w:jc w:val="left"/>
        <w:textAlignment w:val="baseline"/>
        <w:rPr>
          <w:lang w:val="en-US"/>
        </w:rPr>
      </w:pPr>
      <w:r w:rsidRPr="00F81B19">
        <w:rPr>
          <w:rFonts w:hint="eastAsia"/>
          <w:lang w:val="en-US"/>
        </w:rPr>
        <w:t xml:space="preserve">Data transmission can be scheduled to </w:t>
      </w:r>
      <w:r w:rsidRPr="00F81B19">
        <w:rPr>
          <w:lang w:val="en-US"/>
        </w:rPr>
        <w:t>span</w:t>
      </w:r>
      <w:r w:rsidRPr="00F81B19">
        <w:rPr>
          <w:rFonts w:hint="eastAsia"/>
          <w:lang w:val="en-US"/>
        </w:rPr>
        <w:t xml:space="preserve"> one or multiple slots</w:t>
      </w:r>
    </w:p>
    <w:p w:rsidR="002257BD" w:rsidRDefault="002257BD" w:rsidP="002257BD"/>
    <w:p w:rsidR="002257BD" w:rsidRPr="00806112" w:rsidRDefault="002257BD" w:rsidP="002257BD">
      <w:pPr>
        <w:rPr>
          <w:b/>
        </w:rPr>
      </w:pPr>
      <w:r w:rsidRPr="00806112">
        <w:rPr>
          <w:b/>
        </w:rPr>
        <w:t>R1-1609618</w:t>
      </w:r>
      <w:r w:rsidRPr="00806112">
        <w:rPr>
          <w:b/>
        </w:rPr>
        <w:tab/>
        <w:t>On slots and mini-slots  Ericsson</w:t>
      </w:r>
    </w:p>
    <w:p w:rsidR="002257BD" w:rsidRPr="00D35026" w:rsidRDefault="002257BD" w:rsidP="002257BD">
      <w:pPr>
        <w:pStyle w:val="BodyText"/>
      </w:pPr>
      <w:r>
        <w:t>The slot/mini-slot structures should support the following:</w:t>
      </w:r>
    </w:p>
    <w:p w:rsidR="002257BD" w:rsidRPr="0008538A" w:rsidRDefault="002257BD" w:rsidP="002257BD">
      <w:pPr>
        <w:pStyle w:val="BodyText"/>
        <w:numPr>
          <w:ilvl w:val="0"/>
          <w:numId w:val="35"/>
        </w:numPr>
      </w:pPr>
      <w:r w:rsidRPr="0008538A">
        <w:t>Slot size suitable for MBB traffic</w:t>
      </w:r>
    </w:p>
    <w:p w:rsidR="002257BD" w:rsidRPr="0008538A" w:rsidRDefault="002257BD" w:rsidP="002257BD">
      <w:pPr>
        <w:pStyle w:val="BodyText"/>
        <w:numPr>
          <w:ilvl w:val="0"/>
          <w:numId w:val="35"/>
        </w:numPr>
      </w:pPr>
      <w:r w:rsidRPr="0008538A">
        <w:t>Subframe boundary aligned to a slot boundary</w:t>
      </w:r>
    </w:p>
    <w:p w:rsidR="002257BD" w:rsidRPr="0008538A" w:rsidRDefault="002257BD" w:rsidP="002257BD">
      <w:pPr>
        <w:pStyle w:val="BodyText"/>
        <w:numPr>
          <w:ilvl w:val="0"/>
          <w:numId w:val="35"/>
        </w:numPr>
      </w:pPr>
      <w:r w:rsidRPr="0008538A">
        <w:t>Mini-slot with small size suitable for URLLC traffic</w:t>
      </w:r>
    </w:p>
    <w:p w:rsidR="002257BD" w:rsidRPr="0008538A" w:rsidRDefault="002257BD" w:rsidP="002257BD">
      <w:pPr>
        <w:pStyle w:val="BodyText"/>
        <w:numPr>
          <w:ilvl w:val="0"/>
          <w:numId w:val="35"/>
        </w:numPr>
      </w:pPr>
      <w:r w:rsidRPr="0008538A">
        <w:t>Possibility to start transmission on “any” OFDM symbol (for URLLC and operation in unlicensed bands)</w:t>
      </w:r>
    </w:p>
    <w:p w:rsidR="002257BD" w:rsidRPr="0008538A" w:rsidRDefault="002257BD" w:rsidP="002257BD">
      <w:pPr>
        <w:pStyle w:val="BodyText"/>
        <w:numPr>
          <w:ilvl w:val="0"/>
          <w:numId w:val="35"/>
        </w:numPr>
      </w:pPr>
      <w:r w:rsidRPr="0008538A">
        <w:t>Possibility to schedule individual slots</w:t>
      </w:r>
    </w:p>
    <w:p w:rsidR="002257BD" w:rsidRPr="0008538A" w:rsidRDefault="002257BD" w:rsidP="002257BD">
      <w:pPr>
        <w:pStyle w:val="BodyText"/>
        <w:numPr>
          <w:ilvl w:val="0"/>
          <w:numId w:val="35"/>
        </w:numPr>
      </w:pPr>
      <w:r w:rsidRPr="0008538A">
        <w:t>Possibility to schedule multiple slots at a single control occasion</w:t>
      </w:r>
    </w:p>
    <w:p w:rsidR="002257BD" w:rsidRPr="0008538A" w:rsidRDefault="002257BD" w:rsidP="002257BD">
      <w:pPr>
        <w:pStyle w:val="BodyText"/>
        <w:numPr>
          <w:ilvl w:val="0"/>
          <w:numId w:val="35"/>
        </w:numPr>
      </w:pPr>
      <w:r w:rsidRPr="0008538A">
        <w:t>Both individual control of different slots and “slot aggregation” for longer durations</w:t>
      </w:r>
    </w:p>
    <w:p w:rsidR="002257BD" w:rsidRPr="0008538A" w:rsidRDefault="002257BD" w:rsidP="002257BD">
      <w:pPr>
        <w:pStyle w:val="BodyText"/>
        <w:numPr>
          <w:ilvl w:val="0"/>
          <w:numId w:val="35"/>
        </w:numPr>
      </w:pPr>
      <w:r w:rsidRPr="0008538A">
        <w:t>Possibility for fast feedback at the end of a slot</w:t>
      </w:r>
    </w:p>
    <w:p w:rsidR="002257BD" w:rsidRPr="0008538A" w:rsidRDefault="002257BD" w:rsidP="002257BD">
      <w:pPr>
        <w:pStyle w:val="BodyText"/>
        <w:numPr>
          <w:ilvl w:val="0"/>
          <w:numId w:val="35"/>
        </w:numPr>
      </w:pPr>
      <w:r w:rsidRPr="0008538A">
        <w:t>Possibility to schedule individual mini-slots</w:t>
      </w:r>
    </w:p>
    <w:p w:rsidR="002257BD" w:rsidRPr="0008538A" w:rsidRDefault="002257BD" w:rsidP="002257BD">
      <w:pPr>
        <w:pStyle w:val="BodyText"/>
        <w:numPr>
          <w:ilvl w:val="0"/>
          <w:numId w:val="35"/>
        </w:numPr>
      </w:pPr>
      <w:r w:rsidRPr="0008538A">
        <w:t>Possibility for fast feedback at the end of a mini-slot (?)</w:t>
      </w:r>
    </w:p>
    <w:p w:rsidR="002257BD" w:rsidRDefault="002257BD" w:rsidP="002257BD">
      <w:pPr>
        <w:pStyle w:val="BodyText"/>
        <w:numPr>
          <w:ilvl w:val="0"/>
          <w:numId w:val="35"/>
        </w:numPr>
      </w:pPr>
      <w:r w:rsidRPr="0008538A">
        <w:t>Possibility to run the system such that (some</w:t>
      </w:r>
      <w:r>
        <w:t xml:space="preserve"> of the</w:t>
      </w:r>
      <w:r w:rsidRPr="0008538A">
        <w:t>) UL feedback never collides with DL from other cells in TDD</w:t>
      </w:r>
    </w:p>
    <w:p w:rsidR="002257BD" w:rsidRDefault="002257BD" w:rsidP="002257BD">
      <w:pPr>
        <w:rPr>
          <w:lang w:val="en-US"/>
        </w:rPr>
      </w:pPr>
    </w:p>
    <w:p w:rsidR="00896EF0" w:rsidRPr="002A762E" w:rsidRDefault="00896EF0" w:rsidP="00896EF0">
      <w:pPr>
        <w:rPr>
          <w:b/>
          <w:sz w:val="36"/>
        </w:rPr>
      </w:pPr>
      <w:r w:rsidRPr="002A762E">
        <w:rPr>
          <w:b/>
          <w:sz w:val="36"/>
        </w:rPr>
        <w:t>RAN1 #88</w:t>
      </w:r>
    </w:p>
    <w:p w:rsidR="00896EF0" w:rsidRPr="002A6805" w:rsidRDefault="00896EF0" w:rsidP="00896EF0">
      <w:pPr>
        <w:rPr>
          <w:rFonts w:eastAsia="MS Mincho"/>
          <w:lang w:val="en-US"/>
        </w:rPr>
      </w:pPr>
      <w:r w:rsidRPr="002A6805">
        <w:rPr>
          <w:rFonts w:eastAsia="MS Mincho" w:hint="eastAsia"/>
          <w:highlight w:val="green"/>
          <w:lang w:val="en-US"/>
        </w:rPr>
        <w:t>Agreements:</w:t>
      </w:r>
    </w:p>
    <w:p w:rsidR="00896EF0" w:rsidRDefault="00896EF0" w:rsidP="00896EF0">
      <w:pPr>
        <w:pStyle w:val="ListParagraph"/>
        <w:numPr>
          <w:ilvl w:val="0"/>
          <w:numId w:val="36"/>
        </w:numPr>
        <w:overflowPunct w:val="0"/>
        <w:autoSpaceDE w:val="0"/>
        <w:autoSpaceDN w:val="0"/>
        <w:adjustRightInd w:val="0"/>
        <w:snapToGrid/>
        <w:spacing w:after="180" w:afterAutospacing="0"/>
        <w:ind w:firstLineChars="0"/>
        <w:contextualSpacing/>
        <w:jc w:val="left"/>
        <w:textAlignment w:val="baseline"/>
        <w:rPr>
          <w:rFonts w:eastAsia="MS Mincho"/>
          <w:lang w:val="en-US"/>
        </w:rPr>
      </w:pPr>
      <w:r w:rsidRPr="002A6805">
        <w:rPr>
          <w:rFonts w:eastAsia="MS Mincho"/>
          <w:lang w:val="en-US"/>
        </w:rPr>
        <w:t xml:space="preserve">For DL DMRS port multiplexing, FDM (including comb), CDM (including OCC and Cyclic </w:t>
      </w:r>
      <w:r>
        <w:rPr>
          <w:rFonts w:eastAsia="MS Mincho"/>
          <w:lang w:val="en-US"/>
        </w:rPr>
        <w:t>…</w:t>
      </w:r>
    </w:p>
    <w:p w:rsidR="00896EF0" w:rsidRPr="00896EF0" w:rsidRDefault="00896EF0" w:rsidP="00896EF0">
      <w:pPr>
        <w:overflowPunct w:val="0"/>
        <w:autoSpaceDE w:val="0"/>
        <w:autoSpaceDN w:val="0"/>
        <w:adjustRightInd w:val="0"/>
        <w:snapToGrid/>
        <w:spacing w:after="180" w:afterAutospacing="0"/>
        <w:contextualSpacing/>
        <w:jc w:val="left"/>
        <w:textAlignment w:val="baseline"/>
        <w:rPr>
          <w:rFonts w:eastAsia="MS Mincho"/>
          <w:lang w:val="en-US"/>
        </w:rPr>
      </w:pPr>
    </w:p>
    <w:p w:rsidR="00896EF0" w:rsidRPr="002A6805" w:rsidRDefault="00896EF0" w:rsidP="00896EF0">
      <w:pPr>
        <w:pStyle w:val="ListParagraph"/>
        <w:numPr>
          <w:ilvl w:val="0"/>
          <w:numId w:val="36"/>
        </w:numPr>
        <w:overflowPunct w:val="0"/>
        <w:autoSpaceDE w:val="0"/>
        <w:autoSpaceDN w:val="0"/>
        <w:adjustRightInd w:val="0"/>
        <w:snapToGrid/>
        <w:spacing w:after="180" w:afterAutospacing="0"/>
        <w:ind w:firstLineChars="0"/>
        <w:contextualSpacing/>
        <w:jc w:val="left"/>
        <w:textAlignment w:val="baseline"/>
        <w:rPr>
          <w:rFonts w:eastAsia="MS Mincho"/>
          <w:lang w:val="en-US"/>
        </w:rPr>
      </w:pPr>
      <w:r w:rsidRPr="002A6805">
        <w:rPr>
          <w:rFonts w:eastAsia="MS Mincho"/>
          <w:lang w:val="en-US"/>
        </w:rPr>
        <w:t>Support DMRS bundling in time domain</w:t>
      </w:r>
    </w:p>
    <w:p w:rsidR="00896EF0" w:rsidRPr="002A6805" w:rsidRDefault="00896EF0" w:rsidP="00896EF0">
      <w:pPr>
        <w:pStyle w:val="ListParagraph"/>
        <w:numPr>
          <w:ilvl w:val="1"/>
          <w:numId w:val="36"/>
        </w:numPr>
        <w:overflowPunct w:val="0"/>
        <w:autoSpaceDE w:val="0"/>
        <w:autoSpaceDN w:val="0"/>
        <w:adjustRightInd w:val="0"/>
        <w:snapToGrid/>
        <w:spacing w:after="180" w:afterAutospacing="0"/>
        <w:ind w:firstLineChars="0"/>
        <w:contextualSpacing/>
        <w:jc w:val="left"/>
        <w:textAlignment w:val="baseline"/>
        <w:rPr>
          <w:rFonts w:eastAsia="MS Mincho"/>
          <w:lang w:val="en-US"/>
        </w:rPr>
      </w:pPr>
      <w:r w:rsidRPr="002A6805">
        <w:rPr>
          <w:rFonts w:eastAsia="MS Mincho"/>
          <w:lang w:val="en-US"/>
        </w:rPr>
        <w:t>At least time domain bundling with slot aggregation of DL-only slots is supported</w:t>
      </w:r>
    </w:p>
    <w:p w:rsidR="00896EF0" w:rsidRPr="002A6805" w:rsidRDefault="00896EF0" w:rsidP="00896EF0">
      <w:pPr>
        <w:pStyle w:val="ListParagraph"/>
        <w:numPr>
          <w:ilvl w:val="1"/>
          <w:numId w:val="36"/>
        </w:numPr>
        <w:overflowPunct w:val="0"/>
        <w:autoSpaceDE w:val="0"/>
        <w:autoSpaceDN w:val="0"/>
        <w:adjustRightInd w:val="0"/>
        <w:snapToGrid/>
        <w:spacing w:after="180" w:afterAutospacing="0"/>
        <w:ind w:firstLineChars="0"/>
        <w:contextualSpacing/>
        <w:jc w:val="left"/>
        <w:textAlignment w:val="baseline"/>
        <w:rPr>
          <w:rFonts w:eastAsia="MS Mincho"/>
          <w:lang w:val="en-US"/>
        </w:rPr>
      </w:pPr>
      <w:r w:rsidRPr="002A6805">
        <w:rPr>
          <w:rFonts w:eastAsia="MS Mincho"/>
          <w:lang w:val="en-US"/>
        </w:rPr>
        <w:t xml:space="preserve">DMRS pattern within </w:t>
      </w:r>
      <w:r w:rsidRPr="002A6805">
        <w:rPr>
          <w:rFonts w:eastAsia="MS Mincho" w:hint="eastAsia"/>
          <w:lang w:val="en-US"/>
        </w:rPr>
        <w:t>the first</w:t>
      </w:r>
      <w:r w:rsidRPr="002A6805">
        <w:rPr>
          <w:rFonts w:eastAsia="MS Mincho"/>
          <w:lang w:val="en-US"/>
        </w:rPr>
        <w:t xml:space="preserve"> slot is not impacted by the time domain DMRS bundling</w:t>
      </w:r>
    </w:p>
    <w:p w:rsidR="00896EF0" w:rsidRPr="002A6805" w:rsidRDefault="00896EF0" w:rsidP="00896EF0">
      <w:pPr>
        <w:pStyle w:val="ListParagraph"/>
        <w:numPr>
          <w:ilvl w:val="1"/>
          <w:numId w:val="36"/>
        </w:numPr>
        <w:overflowPunct w:val="0"/>
        <w:autoSpaceDE w:val="0"/>
        <w:autoSpaceDN w:val="0"/>
        <w:adjustRightInd w:val="0"/>
        <w:snapToGrid/>
        <w:spacing w:after="180" w:afterAutospacing="0"/>
        <w:ind w:firstLineChars="0"/>
        <w:contextualSpacing/>
        <w:jc w:val="left"/>
        <w:textAlignment w:val="baseline"/>
        <w:rPr>
          <w:rFonts w:eastAsia="MS Mincho"/>
          <w:lang w:val="en-US"/>
        </w:rPr>
      </w:pPr>
      <w:r w:rsidRPr="002A6805">
        <w:rPr>
          <w:rFonts w:eastAsia="MS Mincho" w:hint="eastAsia"/>
          <w:lang w:val="en-US"/>
        </w:rPr>
        <w:t xml:space="preserve">FFS: </w:t>
      </w:r>
      <w:r w:rsidRPr="002A6805">
        <w:rPr>
          <w:rFonts w:eastAsia="MS Mincho"/>
          <w:lang w:val="en-US"/>
        </w:rPr>
        <w:t>Consider further overhead reduction of DMRS in case of bundling in time domain</w:t>
      </w:r>
    </w:p>
    <w:p w:rsidR="00896EF0" w:rsidRPr="002A6805" w:rsidRDefault="00896EF0" w:rsidP="00896EF0">
      <w:pPr>
        <w:pStyle w:val="ListParagraph"/>
        <w:numPr>
          <w:ilvl w:val="0"/>
          <w:numId w:val="36"/>
        </w:numPr>
        <w:overflowPunct w:val="0"/>
        <w:autoSpaceDE w:val="0"/>
        <w:autoSpaceDN w:val="0"/>
        <w:adjustRightInd w:val="0"/>
        <w:snapToGrid/>
        <w:spacing w:after="180" w:afterAutospacing="0"/>
        <w:ind w:firstLineChars="0"/>
        <w:contextualSpacing/>
        <w:jc w:val="left"/>
        <w:textAlignment w:val="baseline"/>
        <w:rPr>
          <w:rFonts w:eastAsia="MS Mincho"/>
          <w:lang w:val="en-US"/>
        </w:rPr>
      </w:pPr>
      <w:r w:rsidRPr="002A6805">
        <w:rPr>
          <w:rFonts w:eastAsia="MS Mincho"/>
        </w:rPr>
        <w:t xml:space="preserve">Consider whether to use </w:t>
      </w:r>
      <w:r w:rsidRPr="002A6805">
        <w:rPr>
          <w:rFonts w:eastAsia="MS Mincho"/>
          <w:lang w:val="en-US"/>
        </w:rPr>
        <w:t xml:space="preserve">mechanism of UE-assisted DMRS configuration. </w:t>
      </w:r>
    </w:p>
    <w:p w:rsidR="00896EF0" w:rsidRPr="002A6805" w:rsidRDefault="00896EF0" w:rsidP="00896EF0">
      <w:pPr>
        <w:pStyle w:val="ListParagraph"/>
        <w:numPr>
          <w:ilvl w:val="0"/>
          <w:numId w:val="36"/>
        </w:numPr>
        <w:overflowPunct w:val="0"/>
        <w:autoSpaceDE w:val="0"/>
        <w:autoSpaceDN w:val="0"/>
        <w:adjustRightInd w:val="0"/>
        <w:snapToGrid/>
        <w:spacing w:after="180" w:afterAutospacing="0"/>
        <w:ind w:firstLineChars="0"/>
        <w:contextualSpacing/>
        <w:jc w:val="left"/>
        <w:textAlignment w:val="baseline"/>
        <w:rPr>
          <w:rFonts w:eastAsia="MS Mincho"/>
          <w:lang w:val="en-US"/>
        </w:rPr>
      </w:pPr>
      <w:r w:rsidRPr="002A6805">
        <w:rPr>
          <w:rFonts w:eastAsia="MS Mincho"/>
          <w:lang w:val="en-US"/>
        </w:rPr>
        <w:lastRenderedPageBreak/>
        <w:t>Consider  whether to use UE-assisted configuration of PRG size</w:t>
      </w:r>
    </w:p>
    <w:p w:rsidR="002257BD" w:rsidRDefault="002257BD" w:rsidP="002257BD">
      <w:pPr>
        <w:rPr>
          <w:lang w:val="en-US"/>
        </w:rPr>
      </w:pPr>
    </w:p>
    <w:p w:rsidR="00896EF0" w:rsidRPr="00896EF0" w:rsidRDefault="00896EF0" w:rsidP="00896EF0">
      <w:pPr>
        <w:rPr>
          <w:b/>
        </w:rPr>
      </w:pPr>
      <w:r w:rsidRPr="00896EF0">
        <w:rPr>
          <w:b/>
        </w:rPr>
        <w:t>R1-1702638</w:t>
      </w:r>
      <w:r w:rsidRPr="00896EF0">
        <w:rPr>
          <w:b/>
        </w:rPr>
        <w:tab/>
        <w:t>Slot Aggregation</w:t>
      </w:r>
      <w:r w:rsidRPr="00896EF0">
        <w:rPr>
          <w:b/>
        </w:rPr>
        <w:tab/>
        <w:t>Qualcomm Incorporated</w:t>
      </w:r>
    </w:p>
    <w:p w:rsidR="00896EF0" w:rsidRDefault="00896EF0" w:rsidP="00896EF0">
      <w:r>
        <w:t>There are several use cases which may necessitate the use of slot aggregation based on UE capability in terms of the processing timeline, mmW operation, larger gap requirements, etc…</w:t>
      </w:r>
    </w:p>
    <w:p w:rsidR="00896EF0" w:rsidRDefault="00896EF0" w:rsidP="00896EF0">
      <w:r>
        <w:t xml:space="preserve">In rural/suburban deployments where far away gNBs can have LOS-like conditions with propagation loss close to free space, DL to UL interference can be of concern. Antenna downtilting should help limit the reach of the gNB transmissions and limit the interference impact. However, in certain cases, the transmissions of a faraway gNB can reach the gNB of interest with some propagation delay and can interfere with the UL reception from UEs served by this gNB, ... For sufficient protection, the gap would need to be larger than the 1-way propagation delay between the gNBs. As an example, transmission from a 20 km away gNB would arrive with 67 </w:t>
      </w:r>
      <w:r w:rsidRPr="00896EF0">
        <w:rPr>
          <w:rFonts w:ascii="Symbol" w:hAnsi="Symbol"/>
        </w:rPr>
        <w:t></w:t>
      </w:r>
      <w:r>
        <w:t xml:space="preserve">s delay and can significantly interfere with the UL reception unless there is sufficient gap allocated. </w:t>
      </w:r>
    </w:p>
    <w:p w:rsidR="002257BD" w:rsidRDefault="002257BD" w:rsidP="002257BD">
      <w:pPr>
        <w:rPr>
          <w:lang w:val="en-US"/>
        </w:rPr>
      </w:pPr>
    </w:p>
    <w:p w:rsidR="00896EF0" w:rsidRPr="00896EF0" w:rsidRDefault="00896EF0" w:rsidP="00896EF0">
      <w:pPr>
        <w:rPr>
          <w:b/>
        </w:rPr>
      </w:pPr>
      <w:r w:rsidRPr="00896EF0">
        <w:rPr>
          <w:b/>
        </w:rPr>
        <w:t>R1-1702992</w:t>
      </w:r>
      <w:r w:rsidRPr="00896EF0">
        <w:rPr>
          <w:b/>
        </w:rPr>
        <w:tab/>
        <w:t>Slot Aggregation</w:t>
      </w:r>
      <w:r w:rsidRPr="00896EF0">
        <w:rPr>
          <w:b/>
        </w:rPr>
        <w:tab/>
        <w:t>Samsung</w:t>
      </w:r>
    </w:p>
    <w:p w:rsidR="00896EF0" w:rsidRDefault="00896EF0" w:rsidP="00896EF0">
      <w:pPr>
        <w:spacing w:before="60" w:line="288" w:lineRule="auto"/>
        <w:rPr>
          <w:color w:val="000000" w:themeColor="text1"/>
          <w:lang w:eastAsia="ko-KR"/>
        </w:rPr>
      </w:pPr>
      <w:r>
        <w:rPr>
          <w:color w:val="000000" w:themeColor="text1"/>
          <w:lang w:eastAsia="ko-KR"/>
        </w:rPr>
        <w:t>Control signalling overhead for scheduling can be reduced from slot aggregation where the amount of overhead reduction is in proportion to the number of aggregated slots. The conceivable options for slot aggregation are as follow:</w:t>
      </w:r>
    </w:p>
    <w:p w:rsidR="00896EF0" w:rsidRDefault="00896EF0" w:rsidP="00896EF0">
      <w:pPr>
        <w:spacing w:before="60" w:line="288" w:lineRule="auto"/>
        <w:rPr>
          <w:color w:val="000000" w:themeColor="text1"/>
          <w:lang w:eastAsia="ko-KR"/>
        </w:rPr>
      </w:pPr>
      <w:r w:rsidRPr="005B7BCA">
        <w:rPr>
          <w:b/>
          <w:color w:val="000000" w:themeColor="text1"/>
          <w:lang w:eastAsia="ko-KR"/>
        </w:rPr>
        <w:t>Option 1:</w:t>
      </w:r>
      <w:r w:rsidRPr="005B7BCA">
        <w:rPr>
          <w:color w:val="000000" w:themeColor="text1"/>
          <w:lang w:eastAsia="ko-KR"/>
        </w:rPr>
        <w:t xml:space="preserve"> Single scheduling grant in a slot schedules </w:t>
      </w:r>
      <w:r w:rsidRPr="00D5478E">
        <w:rPr>
          <w:i/>
          <w:color w:val="000000" w:themeColor="text1"/>
          <w:lang w:eastAsia="ko-KR"/>
        </w:rPr>
        <w:t>N</w:t>
      </w:r>
      <w:r w:rsidRPr="005B7BCA">
        <w:rPr>
          <w:color w:val="000000" w:themeColor="text1"/>
          <w:lang w:eastAsia="ko-KR"/>
        </w:rPr>
        <w:t xml:space="preserve"> (</w:t>
      </w:r>
      <w:r w:rsidRPr="00D5478E">
        <w:rPr>
          <w:i/>
          <w:color w:val="000000" w:themeColor="text1"/>
          <w:lang w:eastAsia="ko-KR"/>
        </w:rPr>
        <w:t>N</w:t>
      </w:r>
      <w:r w:rsidRPr="00685716">
        <w:rPr>
          <w:lang w:eastAsia="ko-KR"/>
        </w:rPr>
        <w:sym w:font="Symbol" w:char="F0B3"/>
      </w:r>
      <w:r w:rsidRPr="005B7BCA">
        <w:rPr>
          <w:color w:val="000000" w:themeColor="text1"/>
          <w:lang w:eastAsia="ko-KR"/>
        </w:rPr>
        <w:t xml:space="preserve">1) </w:t>
      </w:r>
      <w:r>
        <w:rPr>
          <w:color w:val="000000" w:themeColor="text1"/>
          <w:lang w:eastAsia="ko-KR"/>
        </w:rPr>
        <w:t>T</w:t>
      </w:r>
      <w:r w:rsidRPr="005B7BCA">
        <w:rPr>
          <w:color w:val="000000" w:themeColor="text1"/>
          <w:lang w:eastAsia="ko-KR"/>
        </w:rPr>
        <w:t xml:space="preserve">ransport </w:t>
      </w:r>
      <w:r>
        <w:rPr>
          <w:color w:val="000000" w:themeColor="text1"/>
          <w:lang w:eastAsia="ko-KR"/>
        </w:rPr>
        <w:t>B</w:t>
      </w:r>
      <w:r w:rsidRPr="005B7BCA">
        <w:rPr>
          <w:color w:val="000000" w:themeColor="text1"/>
          <w:lang w:eastAsia="ko-KR"/>
        </w:rPr>
        <w:t>lock</w:t>
      </w:r>
      <w:r>
        <w:rPr>
          <w:color w:val="000000" w:themeColor="text1"/>
          <w:lang w:eastAsia="ko-KR"/>
        </w:rPr>
        <w:t xml:space="preserve"> (TB)</w:t>
      </w:r>
      <w:r w:rsidRPr="005B7BCA">
        <w:rPr>
          <w:color w:val="000000" w:themeColor="text1"/>
          <w:lang w:eastAsia="ko-KR"/>
        </w:rPr>
        <w:t xml:space="preserve"> transmissions in </w:t>
      </w:r>
      <w:r w:rsidRPr="00D5478E">
        <w:rPr>
          <w:i/>
          <w:color w:val="000000" w:themeColor="text1"/>
          <w:lang w:eastAsia="ko-KR"/>
        </w:rPr>
        <w:t>N</w:t>
      </w:r>
      <w:r w:rsidRPr="005B7BCA">
        <w:rPr>
          <w:color w:val="000000" w:themeColor="text1"/>
          <w:lang w:eastAsia="ko-KR"/>
        </w:rPr>
        <w:t xml:space="preserve"> slots (i.e. an independent transport block per slot)</w:t>
      </w:r>
    </w:p>
    <w:p w:rsidR="00896EF0" w:rsidRDefault="00896EF0" w:rsidP="00896EF0">
      <w:pPr>
        <w:pStyle w:val="ListParagraph"/>
        <w:numPr>
          <w:ilvl w:val="0"/>
          <w:numId w:val="37"/>
        </w:numPr>
        <w:snapToGrid/>
        <w:spacing w:before="60" w:after="180" w:afterAutospacing="0" w:line="288" w:lineRule="auto"/>
        <w:ind w:firstLineChars="0"/>
        <w:rPr>
          <w:color w:val="000000" w:themeColor="text1"/>
          <w:lang w:eastAsia="ko-KR"/>
        </w:rPr>
      </w:pPr>
      <w:r>
        <w:rPr>
          <w:color w:val="000000" w:themeColor="text1"/>
          <w:lang w:eastAsia="ko-KR"/>
        </w:rPr>
        <w:t>Each TB is mapped on each slot and associated with its own HARQ process.</w:t>
      </w:r>
    </w:p>
    <w:p w:rsidR="00896EF0" w:rsidRPr="005B7BCA" w:rsidRDefault="00896EF0" w:rsidP="00896EF0">
      <w:pPr>
        <w:pStyle w:val="ListParagraph"/>
        <w:numPr>
          <w:ilvl w:val="0"/>
          <w:numId w:val="37"/>
        </w:numPr>
        <w:snapToGrid/>
        <w:spacing w:before="60" w:after="180" w:afterAutospacing="0" w:line="288" w:lineRule="auto"/>
        <w:ind w:firstLineChars="0"/>
        <w:rPr>
          <w:color w:val="000000" w:themeColor="text1"/>
          <w:lang w:eastAsia="ko-KR"/>
        </w:rPr>
      </w:pPr>
      <w:r w:rsidRPr="00D5478E">
        <w:rPr>
          <w:i/>
          <w:color w:val="000000" w:themeColor="text1"/>
          <w:lang w:eastAsia="ko-KR"/>
        </w:rPr>
        <w:t>N</w:t>
      </w:r>
      <w:r>
        <w:rPr>
          <w:color w:val="000000" w:themeColor="text1"/>
          <w:lang w:eastAsia="ko-KR"/>
        </w:rPr>
        <w:t xml:space="preserve"> HARQ-ACKs are feedbacked in response to </w:t>
      </w:r>
      <w:r w:rsidRPr="00D5478E">
        <w:rPr>
          <w:i/>
          <w:color w:val="000000" w:themeColor="text1"/>
          <w:lang w:eastAsia="ko-KR"/>
        </w:rPr>
        <w:t>N</w:t>
      </w:r>
      <w:r>
        <w:rPr>
          <w:color w:val="000000" w:themeColor="text1"/>
          <w:lang w:eastAsia="ko-KR"/>
        </w:rPr>
        <w:t xml:space="preserve"> TBs.</w:t>
      </w:r>
    </w:p>
    <w:p w:rsidR="00896EF0" w:rsidRPr="00685716" w:rsidRDefault="00896EF0" w:rsidP="00896EF0">
      <w:pPr>
        <w:pStyle w:val="ListParagraph"/>
        <w:numPr>
          <w:ilvl w:val="0"/>
          <w:numId w:val="37"/>
        </w:numPr>
        <w:snapToGrid/>
        <w:spacing w:before="60" w:after="180" w:afterAutospacing="0" w:line="288" w:lineRule="auto"/>
        <w:ind w:firstLineChars="0"/>
        <w:rPr>
          <w:color w:val="000000" w:themeColor="text1"/>
          <w:lang w:eastAsia="ko-KR"/>
        </w:rPr>
      </w:pPr>
      <w:r>
        <w:rPr>
          <w:rFonts w:hint="eastAsia"/>
          <w:color w:val="000000" w:themeColor="text1"/>
          <w:lang w:eastAsia="ko-KR"/>
        </w:rPr>
        <w:t>L</w:t>
      </w:r>
      <w:r>
        <w:rPr>
          <w:color w:val="000000" w:themeColor="text1"/>
          <w:lang w:eastAsia="ko-KR"/>
        </w:rPr>
        <w:t>TE eLAA adopted option 1 as a multi-subframe scheduling operation.</w:t>
      </w:r>
    </w:p>
    <w:p w:rsidR="00896EF0" w:rsidRPr="000B32E5" w:rsidRDefault="00896EF0" w:rsidP="00896EF0">
      <w:pPr>
        <w:spacing w:before="60" w:line="288" w:lineRule="auto"/>
        <w:rPr>
          <w:b/>
          <w:color w:val="000000" w:themeColor="text1"/>
          <w:lang w:eastAsia="ko-KR"/>
        </w:rPr>
      </w:pPr>
      <w:r w:rsidRPr="000B32E5">
        <w:rPr>
          <w:b/>
          <w:color w:val="000000" w:themeColor="text1"/>
          <w:lang w:eastAsia="ko-KR"/>
        </w:rPr>
        <w:t xml:space="preserve">Option 2: </w:t>
      </w:r>
      <w:r w:rsidRPr="000B32E5">
        <w:rPr>
          <w:color w:val="000000" w:themeColor="text1"/>
          <w:lang w:eastAsia="ko-KR"/>
        </w:rPr>
        <w:t xml:space="preserve">Single scheduling grant in a slot schedules the same Transport Block (TB) transmissions in </w:t>
      </w:r>
      <w:r w:rsidRPr="000B32E5">
        <w:rPr>
          <w:i/>
          <w:color w:val="000000" w:themeColor="text1"/>
          <w:lang w:eastAsia="ko-KR"/>
        </w:rPr>
        <w:t>N</w:t>
      </w:r>
      <w:r w:rsidRPr="000B32E5">
        <w:rPr>
          <w:color w:val="000000" w:themeColor="text1"/>
          <w:lang w:eastAsia="ko-KR"/>
        </w:rPr>
        <w:t xml:space="preserve"> slots (i.e. same transport block with RV change in each slot)</w:t>
      </w:r>
    </w:p>
    <w:p w:rsidR="00896EF0" w:rsidRDefault="00896EF0" w:rsidP="00896EF0">
      <w:pPr>
        <w:pStyle w:val="ListParagraph"/>
        <w:numPr>
          <w:ilvl w:val="0"/>
          <w:numId w:val="37"/>
        </w:numPr>
        <w:snapToGrid/>
        <w:spacing w:before="60" w:after="180" w:afterAutospacing="0" w:line="288" w:lineRule="auto"/>
        <w:ind w:firstLineChars="0"/>
        <w:rPr>
          <w:color w:val="000000" w:themeColor="text1"/>
          <w:lang w:eastAsia="ko-KR"/>
        </w:rPr>
      </w:pPr>
      <w:r>
        <w:rPr>
          <w:color w:val="000000" w:themeColor="text1"/>
          <w:lang w:eastAsia="ko-KR"/>
        </w:rPr>
        <w:t>The same TB is mapped on each slot possibly with varying redundancy version (RV)</w:t>
      </w:r>
    </w:p>
    <w:p w:rsidR="00896EF0" w:rsidRDefault="00896EF0" w:rsidP="00896EF0">
      <w:pPr>
        <w:pStyle w:val="ListParagraph"/>
        <w:numPr>
          <w:ilvl w:val="0"/>
          <w:numId w:val="37"/>
        </w:numPr>
        <w:snapToGrid/>
        <w:spacing w:before="60" w:after="180" w:afterAutospacing="0" w:line="288" w:lineRule="auto"/>
        <w:ind w:firstLineChars="0"/>
        <w:rPr>
          <w:color w:val="000000" w:themeColor="text1"/>
          <w:lang w:eastAsia="ko-KR"/>
        </w:rPr>
      </w:pPr>
      <w:r>
        <w:rPr>
          <w:color w:val="000000" w:themeColor="text1"/>
          <w:lang w:eastAsia="ko-KR"/>
        </w:rPr>
        <w:t xml:space="preserve">The TB (i.e. the same across </w:t>
      </w:r>
      <w:r w:rsidRPr="009231E7">
        <w:rPr>
          <w:i/>
          <w:color w:val="000000" w:themeColor="text1"/>
          <w:lang w:eastAsia="ko-KR"/>
        </w:rPr>
        <w:t>N</w:t>
      </w:r>
      <w:r>
        <w:rPr>
          <w:color w:val="000000" w:themeColor="text1"/>
          <w:lang w:eastAsia="ko-KR"/>
        </w:rPr>
        <w:t xml:space="preserve"> slots) is associated with a single HARQ process. </w:t>
      </w:r>
    </w:p>
    <w:p w:rsidR="00896EF0" w:rsidRPr="001F305C" w:rsidRDefault="00896EF0" w:rsidP="00896EF0">
      <w:pPr>
        <w:pStyle w:val="ListParagraph"/>
        <w:numPr>
          <w:ilvl w:val="0"/>
          <w:numId w:val="37"/>
        </w:numPr>
        <w:snapToGrid/>
        <w:spacing w:before="60" w:after="180" w:afterAutospacing="0" w:line="288" w:lineRule="auto"/>
        <w:ind w:firstLineChars="0"/>
        <w:rPr>
          <w:color w:val="000000" w:themeColor="text1"/>
          <w:lang w:eastAsia="ko-KR"/>
        </w:rPr>
      </w:pPr>
      <w:r>
        <w:rPr>
          <w:color w:val="000000" w:themeColor="text1"/>
          <w:lang w:eastAsia="ko-KR"/>
        </w:rPr>
        <w:t>A</w:t>
      </w:r>
      <w:r>
        <w:rPr>
          <w:rFonts w:hint="eastAsia"/>
          <w:color w:val="000000" w:themeColor="text1"/>
          <w:lang w:eastAsia="ko-KR"/>
        </w:rPr>
        <w:t xml:space="preserve"> </w:t>
      </w:r>
      <w:r>
        <w:rPr>
          <w:color w:val="000000" w:themeColor="text1"/>
          <w:lang w:eastAsia="ko-KR"/>
        </w:rPr>
        <w:t>single HARQ-ACK is feedbacked in response to the TB.</w:t>
      </w:r>
    </w:p>
    <w:p w:rsidR="00896EF0" w:rsidRDefault="00896EF0" w:rsidP="00896EF0">
      <w:pPr>
        <w:pStyle w:val="ListParagraph"/>
        <w:numPr>
          <w:ilvl w:val="0"/>
          <w:numId w:val="37"/>
        </w:numPr>
        <w:snapToGrid/>
        <w:spacing w:before="60" w:after="180" w:afterAutospacing="0" w:line="288" w:lineRule="auto"/>
        <w:ind w:firstLineChars="0"/>
        <w:rPr>
          <w:color w:val="000000" w:themeColor="text1"/>
          <w:lang w:eastAsia="ko-KR"/>
        </w:rPr>
      </w:pPr>
      <w:r>
        <w:rPr>
          <w:color w:val="000000" w:themeColor="text1"/>
          <w:lang w:eastAsia="ko-KR"/>
        </w:rPr>
        <w:lastRenderedPageBreak/>
        <w:t>LTE TTI bundling and eMTC work in accordance with option 2. That is, the coverage extension would be the main benefit of option 2.</w:t>
      </w:r>
    </w:p>
    <w:p w:rsidR="00896EF0" w:rsidRPr="000B32E5" w:rsidRDefault="00896EF0" w:rsidP="00896EF0">
      <w:pPr>
        <w:spacing w:before="60" w:line="288" w:lineRule="auto"/>
        <w:rPr>
          <w:color w:val="000000" w:themeColor="text1"/>
          <w:lang w:eastAsia="ko-KR"/>
        </w:rPr>
      </w:pPr>
      <w:r w:rsidRPr="000B32E5">
        <w:rPr>
          <w:b/>
          <w:color w:val="000000" w:themeColor="text1"/>
          <w:lang w:eastAsia="ko-KR"/>
        </w:rPr>
        <w:t xml:space="preserve">Option 3: </w:t>
      </w:r>
      <w:r w:rsidRPr="000B32E5">
        <w:rPr>
          <w:color w:val="000000" w:themeColor="text1"/>
          <w:lang w:eastAsia="ko-KR"/>
        </w:rPr>
        <w:t xml:space="preserve">Single scheduling grant in a slot schedules a single Transport Block (TB) transmission in </w:t>
      </w:r>
      <w:r w:rsidRPr="000B32E5">
        <w:rPr>
          <w:i/>
          <w:color w:val="000000" w:themeColor="text1"/>
          <w:lang w:eastAsia="ko-KR"/>
        </w:rPr>
        <w:t>N</w:t>
      </w:r>
      <w:r w:rsidRPr="000B32E5">
        <w:rPr>
          <w:color w:val="000000" w:themeColor="text1"/>
          <w:lang w:eastAsia="ko-KR"/>
        </w:rPr>
        <w:t xml:space="preserve"> slots (i.e. a single transport block across </w:t>
      </w:r>
      <w:r w:rsidRPr="000B32E5">
        <w:rPr>
          <w:i/>
          <w:color w:val="000000" w:themeColor="text1"/>
          <w:lang w:eastAsia="ko-KR"/>
        </w:rPr>
        <w:t>N</w:t>
      </w:r>
      <w:r w:rsidRPr="000B32E5">
        <w:rPr>
          <w:color w:val="000000" w:themeColor="text1"/>
          <w:lang w:eastAsia="ko-KR"/>
        </w:rPr>
        <w:t xml:space="preserve"> slots)</w:t>
      </w:r>
    </w:p>
    <w:p w:rsidR="00896EF0" w:rsidRDefault="00896EF0" w:rsidP="00896EF0">
      <w:pPr>
        <w:pStyle w:val="ListParagraph"/>
        <w:numPr>
          <w:ilvl w:val="0"/>
          <w:numId w:val="37"/>
        </w:numPr>
        <w:snapToGrid/>
        <w:spacing w:before="60" w:after="180" w:afterAutospacing="0" w:line="288" w:lineRule="auto"/>
        <w:ind w:firstLineChars="0"/>
        <w:rPr>
          <w:color w:val="000000" w:themeColor="text1"/>
          <w:lang w:eastAsia="ko-KR"/>
        </w:rPr>
      </w:pPr>
      <w:r>
        <w:rPr>
          <w:color w:val="000000" w:themeColor="text1"/>
          <w:lang w:eastAsia="ko-KR"/>
        </w:rPr>
        <w:t xml:space="preserve">The TB is mapped across </w:t>
      </w:r>
      <w:r w:rsidRPr="00D5478E">
        <w:rPr>
          <w:i/>
          <w:color w:val="000000" w:themeColor="text1"/>
          <w:lang w:eastAsia="ko-KR"/>
        </w:rPr>
        <w:t>N</w:t>
      </w:r>
      <w:r>
        <w:rPr>
          <w:color w:val="000000" w:themeColor="text1"/>
          <w:lang w:eastAsia="ko-KR"/>
        </w:rPr>
        <w:t xml:space="preserve"> slots and associated with a single HARQ process.</w:t>
      </w:r>
    </w:p>
    <w:p w:rsidR="00896EF0" w:rsidRDefault="00896EF0" w:rsidP="00896EF0">
      <w:pPr>
        <w:pStyle w:val="ListParagraph"/>
        <w:numPr>
          <w:ilvl w:val="0"/>
          <w:numId w:val="37"/>
        </w:numPr>
        <w:snapToGrid/>
        <w:spacing w:before="60" w:after="180" w:afterAutospacing="0" w:line="288" w:lineRule="auto"/>
        <w:ind w:firstLineChars="0"/>
        <w:rPr>
          <w:color w:val="000000" w:themeColor="text1"/>
          <w:lang w:eastAsia="ko-KR"/>
        </w:rPr>
      </w:pPr>
      <w:r>
        <w:rPr>
          <w:color w:val="000000" w:themeColor="text1"/>
          <w:lang w:eastAsia="ko-KR"/>
        </w:rPr>
        <w:t>The TBS is relatively larger in proportion to the number of aggregated slots.</w:t>
      </w:r>
    </w:p>
    <w:p w:rsidR="00896EF0" w:rsidRPr="001F305C" w:rsidRDefault="00896EF0" w:rsidP="00896EF0">
      <w:pPr>
        <w:pStyle w:val="ListParagraph"/>
        <w:numPr>
          <w:ilvl w:val="0"/>
          <w:numId w:val="37"/>
        </w:numPr>
        <w:snapToGrid/>
        <w:spacing w:before="60" w:after="180" w:afterAutospacing="0" w:line="288" w:lineRule="auto"/>
        <w:ind w:firstLineChars="0"/>
        <w:rPr>
          <w:color w:val="000000" w:themeColor="text1"/>
          <w:lang w:eastAsia="ko-KR"/>
        </w:rPr>
      </w:pPr>
      <w:r>
        <w:rPr>
          <w:color w:val="000000" w:themeColor="text1"/>
          <w:lang w:eastAsia="ko-KR"/>
        </w:rPr>
        <w:t>A</w:t>
      </w:r>
      <w:r>
        <w:rPr>
          <w:rFonts w:hint="eastAsia"/>
          <w:color w:val="000000" w:themeColor="text1"/>
          <w:lang w:eastAsia="ko-KR"/>
        </w:rPr>
        <w:t xml:space="preserve"> </w:t>
      </w:r>
      <w:r>
        <w:rPr>
          <w:color w:val="000000" w:themeColor="text1"/>
          <w:lang w:eastAsia="ko-KR"/>
        </w:rPr>
        <w:t>single HARQ-ACK is feedbacked in response to the TB.</w:t>
      </w:r>
    </w:p>
    <w:p w:rsidR="002257BD" w:rsidRDefault="00896EF0" w:rsidP="002257BD">
      <w:pPr>
        <w:rPr>
          <w:lang w:val="en-US"/>
        </w:rPr>
      </w:pPr>
      <w:r w:rsidRPr="00896EF0">
        <w:rPr>
          <w:b/>
          <w:lang w:val="en-US"/>
        </w:rPr>
        <w:t>RAN1 #AH1 NR</w:t>
      </w:r>
      <w:r>
        <w:rPr>
          <w:lang w:val="en-US"/>
        </w:rPr>
        <w:t xml:space="preserve"> </w:t>
      </w:r>
    </w:p>
    <w:p w:rsidR="0043554A" w:rsidRPr="0043554A" w:rsidRDefault="0043554A" w:rsidP="0043554A">
      <w:pPr>
        <w:rPr>
          <w:rFonts w:asciiTheme="majorHAnsi" w:hAnsiTheme="majorHAnsi" w:cstheme="majorHAnsi"/>
          <w:b/>
          <w:i/>
        </w:rPr>
      </w:pPr>
      <w:r>
        <w:rPr>
          <w:rFonts w:asciiTheme="majorHAnsi" w:eastAsia="Batang" w:hAnsiTheme="majorHAnsi" w:cstheme="majorHAnsi"/>
          <w:b/>
          <w:i/>
          <w:sz w:val="20"/>
          <w:szCs w:val="24"/>
          <w:lang w:eastAsia="en-US"/>
        </w:rPr>
        <w:t xml:space="preserve">5.1.3.3 DL/UL </w:t>
      </w:r>
      <w:r w:rsidRPr="0043554A">
        <w:rPr>
          <w:rFonts w:asciiTheme="majorHAnsi" w:eastAsia="Batang" w:hAnsiTheme="majorHAnsi" w:cstheme="majorHAnsi"/>
          <w:b/>
          <w:i/>
          <w:sz w:val="20"/>
          <w:szCs w:val="24"/>
          <w:lang w:eastAsia="en-US"/>
        </w:rPr>
        <w:t xml:space="preserve">data scheduling </w:t>
      </w:r>
      <w:r w:rsidRPr="0043554A">
        <w:rPr>
          <w:rFonts w:asciiTheme="majorHAnsi" w:eastAsia="MS Mincho" w:hAnsiTheme="majorHAnsi" w:cstheme="majorHAnsi"/>
          <w:b/>
          <w:i/>
          <w:sz w:val="20"/>
          <w:szCs w:val="24"/>
        </w:rPr>
        <w:t xml:space="preserve">and HARQ </w:t>
      </w:r>
      <w:r w:rsidRPr="0043554A">
        <w:rPr>
          <w:rFonts w:asciiTheme="majorHAnsi" w:eastAsia="Batang" w:hAnsiTheme="majorHAnsi" w:cstheme="majorHAnsi"/>
          <w:b/>
          <w:i/>
          <w:sz w:val="20"/>
          <w:szCs w:val="24"/>
          <w:lang w:eastAsia="en-US"/>
        </w:rPr>
        <w:t>procedure</w:t>
      </w:r>
    </w:p>
    <w:p w:rsidR="0043554A" w:rsidRPr="00BE11EE" w:rsidRDefault="0043554A" w:rsidP="0043554A">
      <w:pPr>
        <w:rPr>
          <w:rFonts w:eastAsia="MS Mincho"/>
        </w:rPr>
      </w:pPr>
      <w:r w:rsidRPr="00BE11EE">
        <w:rPr>
          <w:rFonts w:eastAsia="MS Mincho" w:hint="eastAsia"/>
          <w:highlight w:val="green"/>
        </w:rPr>
        <w:t>Agreements:</w:t>
      </w:r>
    </w:p>
    <w:p w:rsidR="0043554A" w:rsidRPr="00BE11EE" w:rsidRDefault="0043554A" w:rsidP="0043554A">
      <w:pPr>
        <w:pStyle w:val="ListParagraph"/>
        <w:numPr>
          <w:ilvl w:val="0"/>
          <w:numId w:val="38"/>
        </w:numPr>
        <w:overflowPunct w:val="0"/>
        <w:autoSpaceDE w:val="0"/>
        <w:autoSpaceDN w:val="0"/>
        <w:adjustRightInd w:val="0"/>
        <w:snapToGrid/>
        <w:spacing w:after="180" w:afterAutospacing="0"/>
        <w:ind w:left="210" w:firstLineChars="0" w:hanging="210"/>
        <w:contextualSpacing/>
        <w:jc w:val="left"/>
        <w:textAlignment w:val="baseline"/>
        <w:rPr>
          <w:rFonts w:eastAsia="MS Mincho"/>
          <w:lang w:val="en-US"/>
        </w:rPr>
      </w:pPr>
      <w:r w:rsidRPr="00BE11EE">
        <w:rPr>
          <w:rFonts w:eastAsia="MS Mincho"/>
          <w:bCs/>
          <w:lang w:val="en-US"/>
        </w:rPr>
        <w:t xml:space="preserve">For an UL transmission scheme </w:t>
      </w:r>
      <w:r w:rsidRPr="00BE11EE">
        <w:rPr>
          <w:rFonts w:eastAsia="MS Mincho" w:hint="eastAsia"/>
          <w:bCs/>
          <w:lang w:val="en-US"/>
        </w:rPr>
        <w:t>with/</w:t>
      </w:r>
      <w:r w:rsidRPr="00BE11EE">
        <w:rPr>
          <w:rFonts w:eastAsia="MS Mincho"/>
          <w:bCs/>
          <w:lang w:val="en-US"/>
        </w:rPr>
        <w:t>without grant</w:t>
      </w:r>
    </w:p>
    <w:p w:rsidR="0043554A" w:rsidRPr="00BE11EE" w:rsidRDefault="0043554A" w:rsidP="0043554A">
      <w:pPr>
        <w:pStyle w:val="ListParagraph"/>
        <w:numPr>
          <w:ilvl w:val="2"/>
          <w:numId w:val="38"/>
        </w:numPr>
        <w:overflowPunct w:val="0"/>
        <w:autoSpaceDE w:val="0"/>
        <w:autoSpaceDN w:val="0"/>
        <w:adjustRightInd w:val="0"/>
        <w:snapToGrid/>
        <w:spacing w:after="180" w:afterAutospacing="0"/>
        <w:ind w:firstLineChars="0"/>
        <w:contextualSpacing/>
        <w:jc w:val="left"/>
        <w:textAlignment w:val="baseline"/>
        <w:rPr>
          <w:rFonts w:eastAsia="MS Mincho"/>
          <w:lang w:val="en-US"/>
        </w:rPr>
      </w:pPr>
      <w:r w:rsidRPr="00BE11EE">
        <w:rPr>
          <w:rFonts w:eastAsia="MS Mincho"/>
          <w:bCs/>
          <w:lang w:val="en-US"/>
        </w:rPr>
        <w:t xml:space="preserve">K </w:t>
      </w:r>
      <w:r w:rsidRPr="00BE11EE">
        <w:rPr>
          <w:rFonts w:eastAsia="MS Mincho" w:hint="eastAsia"/>
          <w:bCs/>
          <w:lang w:val="en-US"/>
        </w:rPr>
        <w:t xml:space="preserve">repetitions including initial transmission (with the same or different RV and FFS with different MCS) </w:t>
      </w:r>
      <w:r w:rsidRPr="00BE11EE">
        <w:rPr>
          <w:rFonts w:eastAsia="MS Mincho"/>
          <w:bCs/>
          <w:lang w:val="en-US"/>
        </w:rPr>
        <w:t>(K&gt;=</w:t>
      </w:r>
      <w:r w:rsidRPr="00BE11EE">
        <w:rPr>
          <w:rFonts w:eastAsia="MS Mincho" w:hint="eastAsia"/>
          <w:bCs/>
          <w:lang w:val="en-US"/>
        </w:rPr>
        <w:t>1</w:t>
      </w:r>
      <w:r w:rsidRPr="00BE11EE">
        <w:rPr>
          <w:rFonts w:eastAsia="MS Mincho"/>
          <w:bCs/>
          <w:lang w:val="en-US"/>
        </w:rPr>
        <w:t>) for the same</w:t>
      </w:r>
      <w:r>
        <w:rPr>
          <w:rFonts w:eastAsia="MS Mincho"/>
          <w:bCs/>
          <w:lang w:val="en-US"/>
        </w:rPr>
        <w:t xml:space="preserve"> transport block are supported</w:t>
      </w:r>
    </w:p>
    <w:p w:rsidR="0043554A" w:rsidRPr="00BE11EE" w:rsidRDefault="0043554A" w:rsidP="0043554A">
      <w:pPr>
        <w:pStyle w:val="ListParagraph"/>
        <w:numPr>
          <w:ilvl w:val="3"/>
          <w:numId w:val="38"/>
        </w:numPr>
        <w:overflowPunct w:val="0"/>
        <w:autoSpaceDE w:val="0"/>
        <w:autoSpaceDN w:val="0"/>
        <w:adjustRightInd w:val="0"/>
        <w:snapToGrid/>
        <w:spacing w:after="180" w:afterAutospacing="0"/>
        <w:ind w:firstLineChars="0"/>
        <w:contextualSpacing/>
        <w:jc w:val="left"/>
        <w:textAlignment w:val="baseline"/>
        <w:rPr>
          <w:rFonts w:eastAsia="MS Mincho"/>
          <w:lang w:val="en-US"/>
        </w:rPr>
      </w:pPr>
      <w:r w:rsidRPr="00BE11EE">
        <w:rPr>
          <w:rFonts w:eastAsia="MS Mincho"/>
          <w:lang w:val="en-US"/>
        </w:rPr>
        <w:t>FFS the way K is determined</w:t>
      </w:r>
    </w:p>
    <w:p w:rsidR="0043554A" w:rsidRPr="00BE11EE" w:rsidRDefault="0043554A" w:rsidP="0043554A">
      <w:pPr>
        <w:pStyle w:val="ListParagraph"/>
        <w:numPr>
          <w:ilvl w:val="3"/>
          <w:numId w:val="38"/>
        </w:numPr>
        <w:overflowPunct w:val="0"/>
        <w:autoSpaceDE w:val="0"/>
        <w:autoSpaceDN w:val="0"/>
        <w:adjustRightInd w:val="0"/>
        <w:snapToGrid/>
        <w:spacing w:after="180" w:afterAutospacing="0"/>
        <w:ind w:firstLineChars="0"/>
        <w:contextualSpacing/>
        <w:jc w:val="left"/>
        <w:textAlignment w:val="baseline"/>
        <w:rPr>
          <w:rFonts w:eastAsia="MS Mincho"/>
          <w:b/>
          <w:lang w:val="en-US"/>
        </w:rPr>
      </w:pPr>
      <w:r w:rsidRPr="00BE11EE">
        <w:rPr>
          <w:rFonts w:eastAsia="MS Mincho"/>
          <w:bCs/>
          <w:lang w:val="en-US"/>
        </w:rPr>
        <w:t>FFS: hopping mechanisms over the transmissions</w:t>
      </w:r>
    </w:p>
    <w:p w:rsidR="00896EF0" w:rsidRDefault="00896EF0" w:rsidP="002257BD">
      <w:pPr>
        <w:rPr>
          <w:lang w:val="en-US"/>
        </w:rPr>
      </w:pPr>
    </w:p>
    <w:p w:rsidR="0043554A" w:rsidRDefault="0043554A" w:rsidP="002257BD">
      <w:r>
        <w:rPr>
          <w:lang w:val="en-US"/>
        </w:rPr>
        <w:t xml:space="preserve">The </w:t>
      </w:r>
      <w:r w:rsidR="00884BB1">
        <w:rPr>
          <w:lang w:val="en-US"/>
        </w:rPr>
        <w:t>c</w:t>
      </w:r>
      <w:r>
        <w:rPr>
          <w:lang w:val="en-US"/>
        </w:rPr>
        <w:t xml:space="preserve">ontext </w:t>
      </w:r>
      <w:r w:rsidR="00884BB1">
        <w:rPr>
          <w:lang w:val="en-US"/>
        </w:rPr>
        <w:t xml:space="preserve">in which this agreement was made </w:t>
      </w:r>
      <w:r>
        <w:rPr>
          <w:lang w:val="en-US"/>
        </w:rPr>
        <w:t>was in the area of URLLC transmission</w:t>
      </w:r>
      <w:r w:rsidR="00884BB1">
        <w:rPr>
          <w:lang w:val="en-US"/>
        </w:rPr>
        <w:t>, especially contemporaneously with eMBB</w:t>
      </w:r>
      <w:r w:rsidR="00540A28">
        <w:rPr>
          <w:lang w:val="en-US"/>
        </w:rPr>
        <w:t xml:space="preserve"> transmission as well as grant-free access.</w:t>
      </w:r>
      <w:r w:rsidR="0021012A">
        <w:rPr>
          <w:lang w:val="en-US"/>
        </w:rPr>
        <w:t xml:space="preserve"> (See </w:t>
      </w:r>
      <w:r w:rsidR="00D0347C">
        <w:fldChar w:fldCharType="begin"/>
      </w:r>
      <w:r w:rsidR="00D0347C">
        <w:rPr>
          <w:lang w:val="en-US"/>
        </w:rPr>
        <w:instrText xml:space="preserve"> REF _Ref498519109 \r \h </w:instrText>
      </w:r>
      <w:r w:rsidR="00D0347C">
        <w:fldChar w:fldCharType="separate"/>
      </w:r>
      <w:r w:rsidR="00D0347C">
        <w:rPr>
          <w:lang w:val="en-US"/>
        </w:rPr>
        <w:t>[11]</w:t>
      </w:r>
      <w:r w:rsidR="00D0347C">
        <w:fldChar w:fldCharType="end"/>
      </w:r>
      <w:r w:rsidR="00D0347C">
        <w:t>.</w:t>
      </w:r>
      <w:r w:rsidR="0021012A" w:rsidRPr="0021012A">
        <w:t>)</w:t>
      </w:r>
    </w:p>
    <w:p w:rsidR="00D0347C" w:rsidRDefault="00D0347C" w:rsidP="002257BD"/>
    <w:p w:rsidR="008620D3" w:rsidRDefault="00D0347C" w:rsidP="00D0347C">
      <w:pPr>
        <w:pStyle w:val="ListParagraph"/>
        <w:numPr>
          <w:ilvl w:val="0"/>
          <w:numId w:val="39"/>
        </w:numPr>
        <w:ind w:firstLineChars="0"/>
        <w:rPr>
          <w:lang w:val="en-US"/>
        </w:rPr>
      </w:pPr>
      <w:r>
        <w:rPr>
          <w:lang w:val="en-US"/>
        </w:rPr>
        <w:t>Slot Aggregation and Repetitions of Grant-based/Grant-free transmissions evolved separately in the course of</w:t>
      </w:r>
      <w:r w:rsidR="008620D3">
        <w:rPr>
          <w:lang w:val="en-US"/>
        </w:rPr>
        <w:t xml:space="preserve"> separate</w:t>
      </w:r>
      <w:r>
        <w:rPr>
          <w:lang w:val="en-US"/>
        </w:rPr>
        <w:t xml:space="preserve"> discussions </w:t>
      </w:r>
      <w:r w:rsidR="008620D3">
        <w:rPr>
          <w:lang w:val="en-US"/>
        </w:rPr>
        <w:t>on scheduling Grant-based Access and URLLC/Grant-free access respectively.</w:t>
      </w:r>
    </w:p>
    <w:p w:rsidR="00D0347C" w:rsidRDefault="008620D3" w:rsidP="00D316F6">
      <w:pPr>
        <w:pStyle w:val="ListParagraph"/>
        <w:numPr>
          <w:ilvl w:val="1"/>
          <w:numId w:val="39"/>
        </w:numPr>
        <w:ind w:firstLineChars="0"/>
        <w:rPr>
          <w:lang w:val="en-US"/>
        </w:rPr>
      </w:pPr>
      <w:r>
        <w:rPr>
          <w:lang w:val="en-US"/>
        </w:rPr>
        <w:t>The use case for repetition involved the ultra-reliable part of URLLC, in cases where low latency may not be an issue or where repetition may or may not be achieved in the frequency domain.</w:t>
      </w:r>
    </w:p>
    <w:p w:rsidR="008620D3" w:rsidRDefault="008620D3" w:rsidP="00D316F6">
      <w:pPr>
        <w:pStyle w:val="ListParagraph"/>
        <w:numPr>
          <w:ilvl w:val="1"/>
          <w:numId w:val="39"/>
        </w:numPr>
        <w:ind w:firstLineChars="0"/>
        <w:rPr>
          <w:lang w:val="en-US"/>
        </w:rPr>
      </w:pPr>
      <w:r>
        <w:rPr>
          <w:lang w:val="en-US"/>
        </w:rPr>
        <w:t>The use case for slot aggregation involved inter-cell interferen</w:t>
      </w:r>
      <w:r w:rsidR="00254367">
        <w:rPr>
          <w:lang w:val="en-US"/>
        </w:rPr>
        <w:t>ce issues that would arise from, among other things, inter-cell interference issues that might arise in the use of self-contained subframes.</w:t>
      </w:r>
    </w:p>
    <w:p w:rsidR="00DF0B79" w:rsidRPr="00DF0B79" w:rsidRDefault="00D316F6" w:rsidP="00DF0B79">
      <w:pPr>
        <w:pStyle w:val="ListParagraph"/>
        <w:numPr>
          <w:ilvl w:val="0"/>
          <w:numId w:val="39"/>
        </w:numPr>
        <w:ind w:firstLineChars="0"/>
        <w:rPr>
          <w:lang w:val="en-US"/>
        </w:rPr>
      </w:pPr>
      <w:r>
        <w:rPr>
          <w:lang w:val="en-US"/>
        </w:rPr>
        <w:t>However the fact that Slot Aggregation and Repetition serve potentially different objectives does not rule out the possibility of a unified solution.</w:t>
      </w:r>
      <w:r w:rsidR="00DF0B79">
        <w:rPr>
          <w:lang w:val="en-US"/>
        </w:rPr>
        <w:t xml:space="preserve">  This unified solution would allow for a unified signaling frame work for multi-subframe transmission, including repeated codeword transmission, for grant-based and grant-free access.</w:t>
      </w:r>
    </w:p>
    <w:p w:rsidR="00A21218" w:rsidRPr="00DF0B79" w:rsidRDefault="00DF0B79" w:rsidP="009748B9">
      <w:pPr>
        <w:pStyle w:val="ListParagraph"/>
        <w:numPr>
          <w:ilvl w:val="1"/>
          <w:numId w:val="39"/>
        </w:numPr>
        <w:ind w:firstLineChars="0"/>
        <w:rPr>
          <w:b/>
          <w:lang w:val="en-US"/>
        </w:rPr>
      </w:pPr>
      <w:r w:rsidRPr="00DF0B79">
        <w:rPr>
          <w:lang w:val="en-US"/>
        </w:rPr>
        <w:lastRenderedPageBreak/>
        <w:t xml:space="preserve">This unified solution would allow both scheduled transmission of consecutive </w:t>
      </w:r>
      <w:r>
        <w:rPr>
          <w:lang w:val="en-US"/>
        </w:rPr>
        <w:t>slots and subframes and repetition of</w:t>
      </w:r>
      <w:r w:rsidRPr="00DF0B79">
        <w:rPr>
          <w:lang w:val="en-US"/>
        </w:rPr>
        <w:t xml:space="preserve"> codewords which may or may not be contiguous</w:t>
      </w:r>
      <w:r w:rsidR="00D316F6" w:rsidRPr="00DF0B79">
        <w:rPr>
          <w:lang w:val="en-US"/>
        </w:rPr>
        <w:t xml:space="preserve"> </w:t>
      </w:r>
      <w:r w:rsidRPr="00DF0B79">
        <w:rPr>
          <w:lang w:val="en-US"/>
        </w:rPr>
        <w:t>in time</w:t>
      </w:r>
      <w:r>
        <w:rPr>
          <w:lang w:val="en-US"/>
        </w:rPr>
        <w:t>.</w:t>
      </w:r>
    </w:p>
    <w:p w:rsidR="00540A28" w:rsidRDefault="003A5793" w:rsidP="002257BD">
      <w:pPr>
        <w:rPr>
          <w:lang w:val="en-US"/>
        </w:rPr>
      </w:pPr>
      <w:r w:rsidRPr="003A5793">
        <w:rPr>
          <w:b/>
          <w:lang w:val="en-US"/>
        </w:rPr>
        <w:t>Proposal</w:t>
      </w:r>
      <w:r w:rsidR="00A21218">
        <w:rPr>
          <w:b/>
          <w:lang w:val="en-US"/>
        </w:rPr>
        <w:t>:</w:t>
      </w:r>
    </w:p>
    <w:p w:rsidR="00DF0B79" w:rsidRPr="00DF0B79" w:rsidRDefault="00DF0B79" w:rsidP="00DF0B79">
      <w:pPr>
        <w:rPr>
          <w:b/>
          <w:lang w:val="en-US"/>
        </w:rPr>
      </w:pPr>
      <w:r w:rsidRPr="00DF0B79">
        <w:rPr>
          <w:lang w:val="en-US"/>
        </w:rPr>
        <w:t xml:space="preserve">A unified solution to scheduling of consecutive </w:t>
      </w:r>
      <w:r>
        <w:rPr>
          <w:lang w:val="en-US"/>
        </w:rPr>
        <w:t xml:space="preserve">slots and </w:t>
      </w:r>
      <w:r w:rsidRPr="00DF0B79">
        <w:rPr>
          <w:lang w:val="en-US"/>
        </w:rPr>
        <w:t xml:space="preserve">subframes should be specified, both for L1 </w:t>
      </w:r>
      <w:r>
        <w:rPr>
          <w:lang w:val="en-US"/>
        </w:rPr>
        <w:t xml:space="preserve">signaling </w:t>
      </w:r>
      <w:r w:rsidRPr="00DF0B79">
        <w:rPr>
          <w:lang w:val="en-US"/>
        </w:rPr>
        <w:t xml:space="preserve">and </w:t>
      </w:r>
      <w:r>
        <w:rPr>
          <w:lang w:val="en-US"/>
        </w:rPr>
        <w:t xml:space="preserve">for </w:t>
      </w:r>
      <w:r w:rsidRPr="00DF0B79">
        <w:rPr>
          <w:lang w:val="en-US"/>
        </w:rPr>
        <w:t xml:space="preserve">higher layer </w:t>
      </w:r>
      <w:r>
        <w:rPr>
          <w:lang w:val="en-US"/>
        </w:rPr>
        <w:t>(re)</w:t>
      </w:r>
      <w:r w:rsidRPr="00DF0B79">
        <w:rPr>
          <w:lang w:val="en-US"/>
        </w:rPr>
        <w:t xml:space="preserve">configuration.  </w:t>
      </w:r>
      <w:r>
        <w:rPr>
          <w:lang w:val="en-US"/>
        </w:rPr>
        <w:t>This scheduling of</w:t>
      </w:r>
      <w:r w:rsidRPr="00DF0B79">
        <w:rPr>
          <w:lang w:val="en-US"/>
        </w:rPr>
        <w:t xml:space="preserve"> consecutive slots</w:t>
      </w:r>
      <w:r>
        <w:rPr>
          <w:lang w:val="en-US"/>
        </w:rPr>
        <w:t>, resources</w:t>
      </w:r>
      <w:r w:rsidRPr="00DF0B79">
        <w:rPr>
          <w:lang w:val="en-US"/>
        </w:rPr>
        <w:t xml:space="preserve"> and subframes </w:t>
      </w:r>
      <w:r>
        <w:rPr>
          <w:lang w:val="en-US"/>
        </w:rPr>
        <w:t xml:space="preserve">which can include </w:t>
      </w:r>
      <w:r w:rsidRPr="00DF0B79">
        <w:rPr>
          <w:lang w:val="en-US"/>
        </w:rPr>
        <w:t>repetition of codewords may or may not be contiguous in time.</w:t>
      </w:r>
    </w:p>
    <w:p w:rsidR="00A21218" w:rsidRPr="00A21218" w:rsidRDefault="00A21218" w:rsidP="002257BD">
      <w:pPr>
        <w:rPr>
          <w:lang w:val="en-US"/>
        </w:rPr>
      </w:pPr>
    </w:p>
    <w:p w:rsidR="00540A28" w:rsidRDefault="00540A28" w:rsidP="002257BD">
      <w:pPr>
        <w:rPr>
          <w:lang w:val="en-US"/>
        </w:rPr>
      </w:pPr>
    </w:p>
    <w:p w:rsidR="00F43352" w:rsidRDefault="00F43352" w:rsidP="00D521DD">
      <w:pPr>
        <w:pStyle w:val="Heading1"/>
        <w:spacing w:after="180"/>
        <w:rPr>
          <w:lang w:val="en-US"/>
        </w:rPr>
      </w:pPr>
      <w:r w:rsidRPr="00F43352">
        <w:rPr>
          <w:lang w:val="en-US"/>
        </w:rPr>
        <w:t>Conclusions</w:t>
      </w:r>
    </w:p>
    <w:p w:rsidR="004E532D" w:rsidRPr="004E532D" w:rsidRDefault="004E532D" w:rsidP="004E532D">
      <w:pPr>
        <w:rPr>
          <w:lang w:val="en-US"/>
        </w:rPr>
      </w:pPr>
      <w:r>
        <w:rPr>
          <w:lang w:val="en-US"/>
        </w:rPr>
        <w:t xml:space="preserve">We recommend the Proposal </w:t>
      </w:r>
      <w:r w:rsidR="005B7454">
        <w:rPr>
          <w:lang w:val="en-US"/>
        </w:rPr>
        <w:t>a</w:t>
      </w:r>
      <w:bookmarkStart w:id="3" w:name="_GoBack"/>
      <w:bookmarkEnd w:id="3"/>
      <w:r>
        <w:rPr>
          <w:lang w:val="en-US"/>
        </w:rPr>
        <w:t>bove be adopted by RAN1.</w:t>
      </w:r>
    </w:p>
    <w:p w:rsidR="00D521DD" w:rsidRPr="00EC625F" w:rsidRDefault="00D521DD" w:rsidP="00D521DD">
      <w:pPr>
        <w:pStyle w:val="Heading1"/>
        <w:spacing w:after="180"/>
        <w:rPr>
          <w:rStyle w:val="Strong"/>
          <w:lang w:val="en-US"/>
        </w:rPr>
      </w:pPr>
      <w:r w:rsidRPr="00EC625F">
        <w:rPr>
          <w:lang w:val="en-US"/>
        </w:rPr>
        <w:t>References</w:t>
      </w:r>
    </w:p>
    <w:p w:rsidR="00550809" w:rsidRPr="00896EF0" w:rsidRDefault="002257BD" w:rsidP="00A259C3">
      <w:pPr>
        <w:pStyle w:val="textintend2"/>
      </w:pPr>
      <w:r w:rsidRPr="00896EF0">
        <w:t>RAN1 #86bis Chairman's Report</w:t>
      </w:r>
    </w:p>
    <w:p w:rsidR="002257BD" w:rsidRDefault="002257BD" w:rsidP="002257BD">
      <w:pPr>
        <w:pStyle w:val="textintend2"/>
      </w:pPr>
      <w:r w:rsidRPr="0070214D">
        <w:t>R1-1610129</w:t>
      </w:r>
      <w:r>
        <w:t xml:space="preserve">,  </w:t>
      </w:r>
      <w:r w:rsidRPr="0070214D">
        <w:t>Summary of [86-19] Discussion on Slot Structure Use Cases</w:t>
      </w:r>
      <w:r>
        <w:t>, Qualcomm</w:t>
      </w:r>
    </w:p>
    <w:p w:rsidR="00806112" w:rsidRPr="00806112" w:rsidRDefault="00806112" w:rsidP="00806112">
      <w:pPr>
        <w:pStyle w:val="textintend2"/>
      </w:pPr>
      <w:r w:rsidRPr="00806112">
        <w:t>R1-1609618</w:t>
      </w:r>
      <w:r w:rsidRPr="00806112">
        <w:tab/>
        <w:t>On slots and mini-slots</w:t>
      </w:r>
      <w:r w:rsidR="00896EF0">
        <w:t xml:space="preserve">, </w:t>
      </w:r>
      <w:r w:rsidRPr="00806112">
        <w:t>Ericsson</w:t>
      </w:r>
      <w:r w:rsidR="00896EF0">
        <w:t>, RAN1 #86bis</w:t>
      </w:r>
    </w:p>
    <w:p w:rsidR="002257BD" w:rsidRDefault="00806112" w:rsidP="00A259C3">
      <w:pPr>
        <w:pStyle w:val="textintend2"/>
      </w:pPr>
      <w:r>
        <w:t>RAN1 #87 Chairman's Report</w:t>
      </w:r>
    </w:p>
    <w:p w:rsidR="00BC221A" w:rsidRDefault="00806112" w:rsidP="00806112">
      <w:pPr>
        <w:pStyle w:val="textintend2"/>
      </w:pPr>
      <w:r w:rsidRPr="00806112">
        <w:t>R1-1613630</w:t>
      </w:r>
      <w:r w:rsidRPr="00806112">
        <w:tab/>
        <w:t>Outcome from offline discussion about mini slots</w:t>
      </w:r>
      <w:r w:rsidRPr="00806112">
        <w:tab/>
        <w:t>ZTE, ZTE Microelectronics, Intel, Interdigital, Ericsson, Motorola, Nokia, ASB, Samsung, Panasonic, LGE, Huawei, Hi Silicon, CATT, Docomo</w:t>
      </w:r>
      <w:r w:rsidR="00896EF0">
        <w:t>, RAN1 #87</w:t>
      </w:r>
    </w:p>
    <w:p w:rsidR="00896EF0" w:rsidRPr="00896EF0" w:rsidRDefault="00896EF0" w:rsidP="00896EF0">
      <w:pPr>
        <w:pStyle w:val="textintend2"/>
      </w:pPr>
      <w:r>
        <w:t xml:space="preserve">RAN1 </w:t>
      </w:r>
      <w:r w:rsidRPr="00806112">
        <w:rPr>
          <w:b/>
        </w:rPr>
        <w:t>#</w:t>
      </w:r>
      <w:r>
        <w:t>88</w:t>
      </w:r>
      <w:r w:rsidRPr="00896EF0">
        <w:t xml:space="preserve"> Chairman's Report</w:t>
      </w:r>
    </w:p>
    <w:p w:rsidR="00896EF0" w:rsidRDefault="00896EF0" w:rsidP="008620D3">
      <w:pPr>
        <w:pStyle w:val="textintend2"/>
      </w:pPr>
      <w:r w:rsidRPr="00305D61">
        <w:t>R1-1702992</w:t>
      </w:r>
      <w:r>
        <w:tab/>
      </w:r>
      <w:r w:rsidRPr="00305D61">
        <w:t>Slot Aggregation</w:t>
      </w:r>
      <w:r>
        <w:tab/>
      </w:r>
      <w:r w:rsidRPr="00305D61">
        <w:t>Samsung</w:t>
      </w:r>
      <w:r>
        <w:t>, RAN1 #88</w:t>
      </w:r>
    </w:p>
    <w:p w:rsidR="00896EF0" w:rsidRDefault="00896EF0" w:rsidP="00896EF0">
      <w:pPr>
        <w:pStyle w:val="textintend2"/>
      </w:pPr>
      <w:r w:rsidRPr="00896EF0">
        <w:t>R1-1702638</w:t>
      </w:r>
      <w:r w:rsidRPr="00896EF0">
        <w:tab/>
        <w:t>Slot Aggregation</w:t>
      </w:r>
      <w:r w:rsidRPr="00896EF0">
        <w:tab/>
        <w:t>Qualcomm Incorporated</w:t>
      </w:r>
      <w:r>
        <w:t>, RAN1 #88</w:t>
      </w:r>
    </w:p>
    <w:p w:rsidR="00D0347C" w:rsidRDefault="00D0347C" w:rsidP="00896EF0">
      <w:pPr>
        <w:pStyle w:val="textintend2"/>
      </w:pPr>
      <w:r>
        <w:t>RAN1 AH1 NR January 2017 Chairman's Report</w:t>
      </w:r>
    </w:p>
    <w:p w:rsidR="00D0347C" w:rsidRPr="00896EF0" w:rsidRDefault="00D0347C" w:rsidP="00D0347C">
      <w:pPr>
        <w:pStyle w:val="textintend2"/>
      </w:pPr>
      <w:bookmarkStart w:id="4" w:name="_Ref498519109"/>
      <w:r w:rsidRPr="0021012A">
        <w:t>R1-170131</w:t>
      </w:r>
      <w:r>
        <w:t xml:space="preserve">9 </w:t>
      </w:r>
      <w:r w:rsidRPr="00D0347C">
        <w:t>WF on consecutive transmission for URLLC</w:t>
      </w:r>
      <w:r w:rsidRPr="00D0347C">
        <w:tab/>
        <w:t>Huawei, HiSilicon, Ericsson, NTT Docomo, Spreadtrum, Intel</w:t>
      </w:r>
      <w:bookmarkEnd w:id="4"/>
    </w:p>
    <w:p w:rsidR="00806112" w:rsidRPr="00EC625F" w:rsidRDefault="00806112" w:rsidP="00D0347C">
      <w:pPr>
        <w:pStyle w:val="textintend2"/>
        <w:numPr>
          <w:ilvl w:val="0"/>
          <w:numId w:val="0"/>
        </w:numPr>
        <w:ind w:left="420" w:hanging="420"/>
      </w:pPr>
    </w:p>
    <w:sectPr w:rsidR="00806112" w:rsidRPr="00EC625F"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0A92" w:rsidRDefault="00990A92">
      <w:r>
        <w:separator/>
      </w:r>
    </w:p>
  </w:endnote>
  <w:endnote w:type="continuationSeparator" w:id="0">
    <w:p w:rsidR="00990A92" w:rsidRDefault="00990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Gothic">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MS PMincho">
    <w:panose1 w:val="02020600040205080304"/>
    <w:charset w:val="80"/>
    <w:family w:val="roma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07CF" w:rsidRDefault="007962D1">
    <w:pPr>
      <w:pStyle w:val="Footer"/>
      <w:jc w:val="center"/>
    </w:pPr>
    <w:r>
      <w:rPr>
        <w:b/>
      </w:rPr>
      <w:fldChar w:fldCharType="begin"/>
    </w:r>
    <w:r w:rsidR="00C907CF">
      <w:rPr>
        <w:b/>
      </w:rPr>
      <w:instrText>PAGE</w:instrText>
    </w:r>
    <w:r>
      <w:rPr>
        <w:b/>
      </w:rPr>
      <w:fldChar w:fldCharType="separate"/>
    </w:r>
    <w:r w:rsidR="005B7454">
      <w:rPr>
        <w:b/>
        <w:noProof/>
      </w:rPr>
      <w:t>5</w:t>
    </w:r>
    <w:r>
      <w:rPr>
        <w:b/>
      </w:rPr>
      <w:fldChar w:fldCharType="end"/>
    </w:r>
  </w:p>
  <w:p w:rsidR="00C907CF" w:rsidRDefault="00C907CF">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0A92" w:rsidRDefault="00990A92">
      <w:r>
        <w:separator/>
      </w:r>
    </w:p>
  </w:footnote>
  <w:footnote w:type="continuationSeparator" w:id="0">
    <w:p w:rsidR="00990A92" w:rsidRDefault="00990A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F2BB2"/>
    <w:multiLevelType w:val="hybridMultilevel"/>
    <w:tmpl w:val="06EE3F7E"/>
    <w:lvl w:ilvl="0" w:tplc="5C7A3878">
      <w:start w:val="1"/>
      <w:numFmt w:val="bullet"/>
      <w:lvlText w:val="•"/>
      <w:lvlJc w:val="left"/>
      <w:pPr>
        <w:tabs>
          <w:tab w:val="num" w:pos="720"/>
        </w:tabs>
        <w:ind w:left="720" w:hanging="360"/>
      </w:pPr>
      <w:rPr>
        <w:rFonts w:ascii="Arial" w:hAnsi="Arial" w:cs="Times New Roman" w:hint="default"/>
      </w:rPr>
    </w:lvl>
    <w:lvl w:ilvl="1" w:tplc="041D0001">
      <w:start w:val="1"/>
      <w:numFmt w:val="bullet"/>
      <w:lvlText w:val=""/>
      <w:lvlJc w:val="left"/>
      <w:pPr>
        <w:tabs>
          <w:tab w:val="num" w:pos="1440"/>
        </w:tabs>
        <w:ind w:left="1440" w:hanging="360"/>
      </w:pPr>
      <w:rPr>
        <w:rFonts w:ascii="Symbol" w:hAnsi="Symbol" w:hint="default"/>
      </w:rPr>
    </w:lvl>
    <w:lvl w:ilvl="2" w:tplc="7CFE7CE8">
      <w:start w:val="2730"/>
      <w:numFmt w:val="bullet"/>
      <w:lvlText w:val="•"/>
      <w:lvlJc w:val="left"/>
      <w:pPr>
        <w:tabs>
          <w:tab w:val="num" w:pos="2160"/>
        </w:tabs>
        <w:ind w:left="2160" w:hanging="360"/>
      </w:pPr>
      <w:rPr>
        <w:rFonts w:ascii="Arial" w:hAnsi="Arial" w:cs="Times New Roman" w:hint="default"/>
      </w:rPr>
    </w:lvl>
    <w:lvl w:ilvl="3" w:tplc="76BC9800">
      <w:start w:val="1"/>
      <w:numFmt w:val="bullet"/>
      <w:lvlText w:val="•"/>
      <w:lvlJc w:val="left"/>
      <w:pPr>
        <w:tabs>
          <w:tab w:val="num" w:pos="2880"/>
        </w:tabs>
        <w:ind w:left="2880" w:hanging="360"/>
      </w:pPr>
      <w:rPr>
        <w:rFonts w:ascii="Arial" w:hAnsi="Arial" w:cs="Times New Roman" w:hint="default"/>
      </w:rPr>
    </w:lvl>
    <w:lvl w:ilvl="4" w:tplc="9C668060">
      <w:start w:val="1"/>
      <w:numFmt w:val="bullet"/>
      <w:lvlText w:val="•"/>
      <w:lvlJc w:val="left"/>
      <w:pPr>
        <w:tabs>
          <w:tab w:val="num" w:pos="3600"/>
        </w:tabs>
        <w:ind w:left="3600" w:hanging="360"/>
      </w:pPr>
      <w:rPr>
        <w:rFonts w:ascii="Arial" w:hAnsi="Arial" w:cs="Times New Roman" w:hint="default"/>
      </w:rPr>
    </w:lvl>
    <w:lvl w:ilvl="5" w:tplc="4E7C779E">
      <w:start w:val="1"/>
      <w:numFmt w:val="bullet"/>
      <w:lvlText w:val="•"/>
      <w:lvlJc w:val="left"/>
      <w:pPr>
        <w:tabs>
          <w:tab w:val="num" w:pos="4320"/>
        </w:tabs>
        <w:ind w:left="4320" w:hanging="360"/>
      </w:pPr>
      <w:rPr>
        <w:rFonts w:ascii="Arial" w:hAnsi="Arial" w:cs="Times New Roman" w:hint="default"/>
      </w:rPr>
    </w:lvl>
    <w:lvl w:ilvl="6" w:tplc="8434259E">
      <w:start w:val="1"/>
      <w:numFmt w:val="bullet"/>
      <w:lvlText w:val="•"/>
      <w:lvlJc w:val="left"/>
      <w:pPr>
        <w:tabs>
          <w:tab w:val="num" w:pos="5040"/>
        </w:tabs>
        <w:ind w:left="5040" w:hanging="360"/>
      </w:pPr>
      <w:rPr>
        <w:rFonts w:ascii="Arial" w:hAnsi="Arial" w:cs="Times New Roman" w:hint="default"/>
      </w:rPr>
    </w:lvl>
    <w:lvl w:ilvl="7" w:tplc="68980D82">
      <w:start w:val="1"/>
      <w:numFmt w:val="bullet"/>
      <w:lvlText w:val="•"/>
      <w:lvlJc w:val="left"/>
      <w:pPr>
        <w:tabs>
          <w:tab w:val="num" w:pos="5760"/>
        </w:tabs>
        <w:ind w:left="5760" w:hanging="360"/>
      </w:pPr>
      <w:rPr>
        <w:rFonts w:ascii="Arial" w:hAnsi="Arial" w:cs="Times New Roman" w:hint="default"/>
      </w:rPr>
    </w:lvl>
    <w:lvl w:ilvl="8" w:tplc="7BE467D8">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1A7366"/>
    <w:multiLevelType w:val="hybridMultilevel"/>
    <w:tmpl w:val="AFF620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0E156DDC"/>
    <w:multiLevelType w:val="hybridMultilevel"/>
    <w:tmpl w:val="D73A5DB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44662C"/>
    <w:multiLevelType w:val="hybridMultilevel"/>
    <w:tmpl w:val="3EEC55D4"/>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4"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7DD22B6"/>
    <w:multiLevelType w:val="hybridMultilevel"/>
    <w:tmpl w:val="1B62E2BC"/>
    <w:lvl w:ilvl="0" w:tplc="EC74CA64">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D951FB2"/>
    <w:multiLevelType w:val="hybridMultilevel"/>
    <w:tmpl w:val="62782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EC337DB"/>
    <w:multiLevelType w:val="hybridMultilevel"/>
    <w:tmpl w:val="27B48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02604B"/>
    <w:multiLevelType w:val="hybridMultilevel"/>
    <w:tmpl w:val="CD2CAC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3157D4"/>
    <w:multiLevelType w:val="multilevel"/>
    <w:tmpl w:val="5FA242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3261"/>
        </w:tabs>
        <w:ind w:left="3261"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6073654"/>
    <w:multiLevelType w:val="hybridMultilevel"/>
    <w:tmpl w:val="DCB2386A"/>
    <w:lvl w:ilvl="0" w:tplc="B6080298">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F7D3252"/>
    <w:multiLevelType w:val="hybridMultilevel"/>
    <w:tmpl w:val="32AE85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4"/>
  </w:num>
  <w:num w:numId="3">
    <w:abstractNumId w:val="13"/>
  </w:num>
  <w:num w:numId="4">
    <w:abstractNumId w:val="31"/>
  </w:num>
  <w:num w:numId="5">
    <w:abstractNumId w:val="19"/>
  </w:num>
  <w:num w:numId="6">
    <w:abstractNumId w:val="20"/>
  </w:num>
  <w:num w:numId="7">
    <w:abstractNumId w:val="16"/>
  </w:num>
  <w:num w:numId="8">
    <w:abstractNumId w:val="3"/>
  </w:num>
  <w:num w:numId="9">
    <w:abstractNumId w:val="35"/>
  </w:num>
  <w:num w:numId="10">
    <w:abstractNumId w:val="15"/>
  </w:num>
  <w:num w:numId="11">
    <w:abstractNumId w:val="26"/>
  </w:num>
  <w:num w:numId="12">
    <w:abstractNumId w:val="24"/>
  </w:num>
  <w:num w:numId="13">
    <w:abstractNumId w:val="11"/>
  </w:num>
  <w:num w:numId="14">
    <w:abstractNumId w:val="23"/>
  </w:num>
  <w:num w:numId="15">
    <w:abstractNumId w:val="17"/>
  </w:num>
  <w:num w:numId="16">
    <w:abstractNumId w:val="1"/>
  </w:num>
  <w:num w:numId="17">
    <w:abstractNumId w:val="28"/>
  </w:num>
  <w:num w:numId="18">
    <w:abstractNumId w:val="22"/>
  </w:num>
  <w:num w:numId="19">
    <w:abstractNumId w:val="6"/>
  </w:num>
  <w:num w:numId="20">
    <w:abstractNumId w:val="9"/>
  </w:num>
  <w:num w:numId="21">
    <w:abstractNumId w:val="34"/>
  </w:num>
  <w:num w:numId="22">
    <w:abstractNumId w:val="12"/>
  </w:num>
  <w:num w:numId="23">
    <w:abstractNumId w:val="10"/>
  </w:num>
  <w:num w:numId="24">
    <w:abstractNumId w:val="8"/>
  </w:num>
  <w:num w:numId="25">
    <w:abstractNumId w:val="33"/>
  </w:num>
  <w:num w:numId="26">
    <w:abstractNumId w:val="27"/>
  </w:num>
  <w:num w:numId="27">
    <w:abstractNumId w:val="26"/>
  </w:num>
  <w:num w:numId="28">
    <w:abstractNumId w:val="7"/>
  </w:num>
  <w:num w:numId="29">
    <w:abstractNumId w:val="14"/>
  </w:num>
  <w:num w:numId="30">
    <w:abstractNumId w:val="0"/>
  </w:num>
  <w:num w:numId="31">
    <w:abstractNumId w:val="30"/>
  </w:num>
  <w:num w:numId="32">
    <w:abstractNumId w:val="2"/>
  </w:num>
  <w:num w:numId="33">
    <w:abstractNumId w:val="18"/>
  </w:num>
  <w:num w:numId="34">
    <w:abstractNumId w:val="29"/>
  </w:num>
  <w:num w:numId="35">
    <w:abstractNumId w:val="25"/>
  </w:num>
  <w:num w:numId="36">
    <w:abstractNumId w:val="21"/>
  </w:num>
  <w:num w:numId="37">
    <w:abstractNumId w:val="32"/>
  </w:num>
  <w:num w:numId="38">
    <w:abstractNumId w:val="36"/>
  </w:num>
  <w:num w:numId="39">
    <w:abstractNumId w:val="37"/>
  </w:num>
  <w:num w:numId="40">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04B52"/>
    <w:rsid w:val="0000017B"/>
    <w:rsid w:val="00000C8D"/>
    <w:rsid w:val="00000EEF"/>
    <w:rsid w:val="00000F30"/>
    <w:rsid w:val="000011B6"/>
    <w:rsid w:val="00001E49"/>
    <w:rsid w:val="0000241D"/>
    <w:rsid w:val="0000272E"/>
    <w:rsid w:val="00002757"/>
    <w:rsid w:val="000028A2"/>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56EC"/>
    <w:rsid w:val="00035DAE"/>
    <w:rsid w:val="00037050"/>
    <w:rsid w:val="00037D7F"/>
    <w:rsid w:val="0004055D"/>
    <w:rsid w:val="00040AF3"/>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5E31"/>
    <w:rsid w:val="000A7B40"/>
    <w:rsid w:val="000B10E5"/>
    <w:rsid w:val="000B1622"/>
    <w:rsid w:val="000B1C17"/>
    <w:rsid w:val="000B1C38"/>
    <w:rsid w:val="000B22F4"/>
    <w:rsid w:val="000B2ABE"/>
    <w:rsid w:val="000B2CFA"/>
    <w:rsid w:val="000B2D1F"/>
    <w:rsid w:val="000B35E3"/>
    <w:rsid w:val="000B3D0B"/>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53C1"/>
    <w:rsid w:val="000F5727"/>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66C"/>
    <w:rsid w:val="00193D65"/>
    <w:rsid w:val="00193E7C"/>
    <w:rsid w:val="0019419D"/>
    <w:rsid w:val="001941F4"/>
    <w:rsid w:val="001958D6"/>
    <w:rsid w:val="00195D0F"/>
    <w:rsid w:val="001961B9"/>
    <w:rsid w:val="00196BEE"/>
    <w:rsid w:val="001970A7"/>
    <w:rsid w:val="00197960"/>
    <w:rsid w:val="001A0965"/>
    <w:rsid w:val="001A161D"/>
    <w:rsid w:val="001A2307"/>
    <w:rsid w:val="001A2A69"/>
    <w:rsid w:val="001A2CA9"/>
    <w:rsid w:val="001A3ECC"/>
    <w:rsid w:val="001A4354"/>
    <w:rsid w:val="001A43C2"/>
    <w:rsid w:val="001A47A5"/>
    <w:rsid w:val="001A512F"/>
    <w:rsid w:val="001A5210"/>
    <w:rsid w:val="001A539F"/>
    <w:rsid w:val="001A540B"/>
    <w:rsid w:val="001A54F4"/>
    <w:rsid w:val="001A5D19"/>
    <w:rsid w:val="001A5FFF"/>
    <w:rsid w:val="001A64A1"/>
    <w:rsid w:val="001A6A1C"/>
    <w:rsid w:val="001A743A"/>
    <w:rsid w:val="001B00D7"/>
    <w:rsid w:val="001B12B9"/>
    <w:rsid w:val="001B19F6"/>
    <w:rsid w:val="001B2EC7"/>
    <w:rsid w:val="001B402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246A"/>
    <w:rsid w:val="00203143"/>
    <w:rsid w:val="0020316A"/>
    <w:rsid w:val="00203705"/>
    <w:rsid w:val="00203DC5"/>
    <w:rsid w:val="0020411E"/>
    <w:rsid w:val="0020541E"/>
    <w:rsid w:val="00205E89"/>
    <w:rsid w:val="00205EB8"/>
    <w:rsid w:val="002060C7"/>
    <w:rsid w:val="0020691B"/>
    <w:rsid w:val="00206C83"/>
    <w:rsid w:val="00207818"/>
    <w:rsid w:val="00207AA1"/>
    <w:rsid w:val="0021012A"/>
    <w:rsid w:val="00210169"/>
    <w:rsid w:val="0021037B"/>
    <w:rsid w:val="00210898"/>
    <w:rsid w:val="0021124B"/>
    <w:rsid w:val="0021132B"/>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08A"/>
    <w:rsid w:val="002253D2"/>
    <w:rsid w:val="0022540B"/>
    <w:rsid w:val="002257BD"/>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367"/>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485"/>
    <w:rsid w:val="00296E15"/>
    <w:rsid w:val="0029712D"/>
    <w:rsid w:val="0029739B"/>
    <w:rsid w:val="00297D4C"/>
    <w:rsid w:val="002A03DC"/>
    <w:rsid w:val="002A0A42"/>
    <w:rsid w:val="002A17FB"/>
    <w:rsid w:val="002A1A1C"/>
    <w:rsid w:val="002A1DE6"/>
    <w:rsid w:val="002A34A1"/>
    <w:rsid w:val="002A36E4"/>
    <w:rsid w:val="002A3956"/>
    <w:rsid w:val="002A3F66"/>
    <w:rsid w:val="002A441B"/>
    <w:rsid w:val="002A5269"/>
    <w:rsid w:val="002A56CF"/>
    <w:rsid w:val="002A642A"/>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1D2A"/>
    <w:rsid w:val="002D273F"/>
    <w:rsid w:val="002D2AC5"/>
    <w:rsid w:val="002D2BB7"/>
    <w:rsid w:val="002D343A"/>
    <w:rsid w:val="002D43C8"/>
    <w:rsid w:val="002D43CB"/>
    <w:rsid w:val="002D5238"/>
    <w:rsid w:val="002D54C8"/>
    <w:rsid w:val="002D54F8"/>
    <w:rsid w:val="002D5BB3"/>
    <w:rsid w:val="002D5D63"/>
    <w:rsid w:val="002D6137"/>
    <w:rsid w:val="002D64E2"/>
    <w:rsid w:val="002D68BB"/>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71A1"/>
    <w:rsid w:val="00397A1E"/>
    <w:rsid w:val="00397A2F"/>
    <w:rsid w:val="003A06EB"/>
    <w:rsid w:val="003A18FA"/>
    <w:rsid w:val="003A1AC6"/>
    <w:rsid w:val="003A2212"/>
    <w:rsid w:val="003A31C3"/>
    <w:rsid w:val="003A3AD6"/>
    <w:rsid w:val="003A5793"/>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4FD5"/>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2426"/>
    <w:rsid w:val="004328C1"/>
    <w:rsid w:val="00432B4B"/>
    <w:rsid w:val="00432E5B"/>
    <w:rsid w:val="00433ACA"/>
    <w:rsid w:val="00433C02"/>
    <w:rsid w:val="004346DB"/>
    <w:rsid w:val="0043554A"/>
    <w:rsid w:val="00435F40"/>
    <w:rsid w:val="0043616F"/>
    <w:rsid w:val="00437D4E"/>
    <w:rsid w:val="00437D5F"/>
    <w:rsid w:val="00440148"/>
    <w:rsid w:val="00440A2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4B47"/>
    <w:rsid w:val="00465358"/>
    <w:rsid w:val="00465499"/>
    <w:rsid w:val="00465BFD"/>
    <w:rsid w:val="00465C29"/>
    <w:rsid w:val="004663EA"/>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715F"/>
    <w:rsid w:val="00477246"/>
    <w:rsid w:val="004778A5"/>
    <w:rsid w:val="00477C8D"/>
    <w:rsid w:val="00480592"/>
    <w:rsid w:val="00480852"/>
    <w:rsid w:val="00481959"/>
    <w:rsid w:val="00481BB9"/>
    <w:rsid w:val="00482107"/>
    <w:rsid w:val="00482456"/>
    <w:rsid w:val="00482487"/>
    <w:rsid w:val="0048284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32D"/>
    <w:rsid w:val="004E55E2"/>
    <w:rsid w:val="004E5A3B"/>
    <w:rsid w:val="004E6078"/>
    <w:rsid w:val="004E66FA"/>
    <w:rsid w:val="004E676C"/>
    <w:rsid w:val="004E6926"/>
    <w:rsid w:val="004E77D8"/>
    <w:rsid w:val="004E7835"/>
    <w:rsid w:val="004F0141"/>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68"/>
    <w:rsid w:val="00540A2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21BA"/>
    <w:rsid w:val="005B2B9F"/>
    <w:rsid w:val="005B2E20"/>
    <w:rsid w:val="005B36AA"/>
    <w:rsid w:val="005B3E3B"/>
    <w:rsid w:val="005B422F"/>
    <w:rsid w:val="005B4D2C"/>
    <w:rsid w:val="005B4EA9"/>
    <w:rsid w:val="005B4F49"/>
    <w:rsid w:val="005B59D1"/>
    <w:rsid w:val="005B5AE6"/>
    <w:rsid w:val="005B5E32"/>
    <w:rsid w:val="005B5F3B"/>
    <w:rsid w:val="005B6805"/>
    <w:rsid w:val="005B709E"/>
    <w:rsid w:val="005B7454"/>
    <w:rsid w:val="005B79B6"/>
    <w:rsid w:val="005B7A4F"/>
    <w:rsid w:val="005B7E6E"/>
    <w:rsid w:val="005C0196"/>
    <w:rsid w:val="005C01A3"/>
    <w:rsid w:val="005C13F9"/>
    <w:rsid w:val="005C14BC"/>
    <w:rsid w:val="005C1BAA"/>
    <w:rsid w:val="005C1E0C"/>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816"/>
    <w:rsid w:val="005E250A"/>
    <w:rsid w:val="005E28F1"/>
    <w:rsid w:val="005E2928"/>
    <w:rsid w:val="005E35FD"/>
    <w:rsid w:val="005E3CC6"/>
    <w:rsid w:val="005E3EC0"/>
    <w:rsid w:val="005E448B"/>
    <w:rsid w:val="005E4587"/>
    <w:rsid w:val="005E4816"/>
    <w:rsid w:val="005E48FE"/>
    <w:rsid w:val="005E4CA8"/>
    <w:rsid w:val="005E584E"/>
    <w:rsid w:val="005E67E6"/>
    <w:rsid w:val="005E686E"/>
    <w:rsid w:val="005E73C4"/>
    <w:rsid w:val="005E7DAD"/>
    <w:rsid w:val="005F01A1"/>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3B34"/>
    <w:rsid w:val="00643E13"/>
    <w:rsid w:val="0064448B"/>
    <w:rsid w:val="006446FA"/>
    <w:rsid w:val="00644C5E"/>
    <w:rsid w:val="006456B1"/>
    <w:rsid w:val="00645BFC"/>
    <w:rsid w:val="00646469"/>
    <w:rsid w:val="00646B7F"/>
    <w:rsid w:val="006478BC"/>
    <w:rsid w:val="006479CC"/>
    <w:rsid w:val="00647AEE"/>
    <w:rsid w:val="00647B4F"/>
    <w:rsid w:val="00650C60"/>
    <w:rsid w:val="00650DAF"/>
    <w:rsid w:val="00650DC0"/>
    <w:rsid w:val="00651185"/>
    <w:rsid w:val="0065141E"/>
    <w:rsid w:val="00651437"/>
    <w:rsid w:val="00651C08"/>
    <w:rsid w:val="006524E5"/>
    <w:rsid w:val="0065292F"/>
    <w:rsid w:val="00652BC1"/>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93A"/>
    <w:rsid w:val="00680E3F"/>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E83"/>
    <w:rsid w:val="006964EA"/>
    <w:rsid w:val="00696634"/>
    <w:rsid w:val="00697023"/>
    <w:rsid w:val="0069718D"/>
    <w:rsid w:val="006A11D9"/>
    <w:rsid w:val="006A145C"/>
    <w:rsid w:val="006A260F"/>
    <w:rsid w:val="006A30CC"/>
    <w:rsid w:val="006A46DF"/>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9A1"/>
    <w:rsid w:val="006E1DC2"/>
    <w:rsid w:val="006E2055"/>
    <w:rsid w:val="006E26AF"/>
    <w:rsid w:val="006E3CE7"/>
    <w:rsid w:val="006E3FED"/>
    <w:rsid w:val="006E45D1"/>
    <w:rsid w:val="006E5173"/>
    <w:rsid w:val="006E51FC"/>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571D"/>
    <w:rsid w:val="0070625A"/>
    <w:rsid w:val="00707009"/>
    <w:rsid w:val="007070E9"/>
    <w:rsid w:val="00710310"/>
    <w:rsid w:val="00710AD3"/>
    <w:rsid w:val="007115D9"/>
    <w:rsid w:val="00711CA1"/>
    <w:rsid w:val="00711F10"/>
    <w:rsid w:val="00711F69"/>
    <w:rsid w:val="007123B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3C1F"/>
    <w:rsid w:val="0076409D"/>
    <w:rsid w:val="007645DC"/>
    <w:rsid w:val="00764DB4"/>
    <w:rsid w:val="00764DFF"/>
    <w:rsid w:val="00764ED1"/>
    <w:rsid w:val="00765056"/>
    <w:rsid w:val="00765724"/>
    <w:rsid w:val="00766E50"/>
    <w:rsid w:val="00767156"/>
    <w:rsid w:val="007711FC"/>
    <w:rsid w:val="007721B2"/>
    <w:rsid w:val="007725B0"/>
    <w:rsid w:val="00772F3B"/>
    <w:rsid w:val="00773049"/>
    <w:rsid w:val="007735BD"/>
    <w:rsid w:val="00773B0E"/>
    <w:rsid w:val="0077447E"/>
    <w:rsid w:val="0077479F"/>
    <w:rsid w:val="00774815"/>
    <w:rsid w:val="00775E2B"/>
    <w:rsid w:val="007763FA"/>
    <w:rsid w:val="00776B22"/>
    <w:rsid w:val="00777609"/>
    <w:rsid w:val="00777614"/>
    <w:rsid w:val="007777C3"/>
    <w:rsid w:val="00777836"/>
    <w:rsid w:val="00781231"/>
    <w:rsid w:val="007813BE"/>
    <w:rsid w:val="00781652"/>
    <w:rsid w:val="00781778"/>
    <w:rsid w:val="00781B82"/>
    <w:rsid w:val="00782395"/>
    <w:rsid w:val="00782898"/>
    <w:rsid w:val="007829EF"/>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2D1"/>
    <w:rsid w:val="00796701"/>
    <w:rsid w:val="00796C8D"/>
    <w:rsid w:val="007977B1"/>
    <w:rsid w:val="007A0664"/>
    <w:rsid w:val="007A06A7"/>
    <w:rsid w:val="007A0930"/>
    <w:rsid w:val="007A202C"/>
    <w:rsid w:val="007A2DA1"/>
    <w:rsid w:val="007A3373"/>
    <w:rsid w:val="007A3DC8"/>
    <w:rsid w:val="007A3EDB"/>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4F16"/>
    <w:rsid w:val="007B4F2F"/>
    <w:rsid w:val="007B55BA"/>
    <w:rsid w:val="007B6953"/>
    <w:rsid w:val="007B6C55"/>
    <w:rsid w:val="007B6E1F"/>
    <w:rsid w:val="007B7CE0"/>
    <w:rsid w:val="007C022F"/>
    <w:rsid w:val="007C030E"/>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1B36"/>
    <w:rsid w:val="007F27E4"/>
    <w:rsid w:val="007F2D74"/>
    <w:rsid w:val="007F44C8"/>
    <w:rsid w:val="007F4593"/>
    <w:rsid w:val="007F58F3"/>
    <w:rsid w:val="007F6C30"/>
    <w:rsid w:val="007F7FCC"/>
    <w:rsid w:val="008002C9"/>
    <w:rsid w:val="00802CDD"/>
    <w:rsid w:val="008032A1"/>
    <w:rsid w:val="00803684"/>
    <w:rsid w:val="008038B9"/>
    <w:rsid w:val="00803AE1"/>
    <w:rsid w:val="00805549"/>
    <w:rsid w:val="00805780"/>
    <w:rsid w:val="0080578F"/>
    <w:rsid w:val="00806112"/>
    <w:rsid w:val="00806545"/>
    <w:rsid w:val="0080795F"/>
    <w:rsid w:val="00807CA1"/>
    <w:rsid w:val="008100AC"/>
    <w:rsid w:val="008105F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09E"/>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60360"/>
    <w:rsid w:val="00860609"/>
    <w:rsid w:val="00860814"/>
    <w:rsid w:val="008609EE"/>
    <w:rsid w:val="00861138"/>
    <w:rsid w:val="00861AE4"/>
    <w:rsid w:val="00861E86"/>
    <w:rsid w:val="008620D3"/>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BB1"/>
    <w:rsid w:val="00884D25"/>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6EF0"/>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8F8"/>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05F3"/>
    <w:rsid w:val="008F1A16"/>
    <w:rsid w:val="008F2081"/>
    <w:rsid w:val="008F20AE"/>
    <w:rsid w:val="008F2112"/>
    <w:rsid w:val="008F22AC"/>
    <w:rsid w:val="008F232D"/>
    <w:rsid w:val="008F2D2B"/>
    <w:rsid w:val="008F339E"/>
    <w:rsid w:val="008F376B"/>
    <w:rsid w:val="008F3F8B"/>
    <w:rsid w:val="008F5338"/>
    <w:rsid w:val="008F6F50"/>
    <w:rsid w:val="008F72E8"/>
    <w:rsid w:val="008F77E9"/>
    <w:rsid w:val="008F7BBF"/>
    <w:rsid w:val="00900059"/>
    <w:rsid w:val="00900AE1"/>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1DB8"/>
    <w:rsid w:val="009122B5"/>
    <w:rsid w:val="00913099"/>
    <w:rsid w:val="009133E2"/>
    <w:rsid w:val="009139B9"/>
    <w:rsid w:val="009144ED"/>
    <w:rsid w:val="00914B4F"/>
    <w:rsid w:val="00914D5A"/>
    <w:rsid w:val="00914E15"/>
    <w:rsid w:val="00914F57"/>
    <w:rsid w:val="00915C73"/>
    <w:rsid w:val="00915E07"/>
    <w:rsid w:val="00915F0C"/>
    <w:rsid w:val="00920066"/>
    <w:rsid w:val="00920208"/>
    <w:rsid w:val="00920668"/>
    <w:rsid w:val="009208F5"/>
    <w:rsid w:val="009209E3"/>
    <w:rsid w:val="00920E97"/>
    <w:rsid w:val="00920EE7"/>
    <w:rsid w:val="0092104C"/>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EDE"/>
    <w:rsid w:val="00932672"/>
    <w:rsid w:val="009326DA"/>
    <w:rsid w:val="009328CE"/>
    <w:rsid w:val="009331FB"/>
    <w:rsid w:val="009339A5"/>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1436"/>
    <w:rsid w:val="009719CD"/>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92"/>
    <w:rsid w:val="00990AB3"/>
    <w:rsid w:val="0099127C"/>
    <w:rsid w:val="0099218B"/>
    <w:rsid w:val="00992911"/>
    <w:rsid w:val="009934D0"/>
    <w:rsid w:val="0099377B"/>
    <w:rsid w:val="00995001"/>
    <w:rsid w:val="009951D8"/>
    <w:rsid w:val="009957C4"/>
    <w:rsid w:val="00995CF6"/>
    <w:rsid w:val="00995CFE"/>
    <w:rsid w:val="0099748E"/>
    <w:rsid w:val="00997807"/>
    <w:rsid w:val="00997C59"/>
    <w:rsid w:val="009A0A14"/>
    <w:rsid w:val="009A1D5F"/>
    <w:rsid w:val="009A201C"/>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578"/>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AA4"/>
    <w:rsid w:val="00A12D94"/>
    <w:rsid w:val="00A12E43"/>
    <w:rsid w:val="00A138C6"/>
    <w:rsid w:val="00A13F94"/>
    <w:rsid w:val="00A1424F"/>
    <w:rsid w:val="00A14B39"/>
    <w:rsid w:val="00A15705"/>
    <w:rsid w:val="00A165F2"/>
    <w:rsid w:val="00A16CE4"/>
    <w:rsid w:val="00A17B63"/>
    <w:rsid w:val="00A17E16"/>
    <w:rsid w:val="00A202EC"/>
    <w:rsid w:val="00A20C66"/>
    <w:rsid w:val="00A211AC"/>
    <w:rsid w:val="00A21218"/>
    <w:rsid w:val="00A2165B"/>
    <w:rsid w:val="00A21E75"/>
    <w:rsid w:val="00A22310"/>
    <w:rsid w:val="00A2312B"/>
    <w:rsid w:val="00A23DD4"/>
    <w:rsid w:val="00A23DEF"/>
    <w:rsid w:val="00A248EC"/>
    <w:rsid w:val="00A259C3"/>
    <w:rsid w:val="00A25A47"/>
    <w:rsid w:val="00A26002"/>
    <w:rsid w:val="00A266A5"/>
    <w:rsid w:val="00A27946"/>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3E03"/>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F38"/>
    <w:rsid w:val="00A862EC"/>
    <w:rsid w:val="00A863C2"/>
    <w:rsid w:val="00A87902"/>
    <w:rsid w:val="00A87EEC"/>
    <w:rsid w:val="00A90281"/>
    <w:rsid w:val="00A90515"/>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D1A22"/>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2739A"/>
    <w:rsid w:val="00B30831"/>
    <w:rsid w:val="00B30935"/>
    <w:rsid w:val="00B3183B"/>
    <w:rsid w:val="00B31C53"/>
    <w:rsid w:val="00B31F60"/>
    <w:rsid w:val="00B325B6"/>
    <w:rsid w:val="00B33336"/>
    <w:rsid w:val="00B33BBA"/>
    <w:rsid w:val="00B347FB"/>
    <w:rsid w:val="00B34D6E"/>
    <w:rsid w:val="00B3680A"/>
    <w:rsid w:val="00B400B6"/>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D5D"/>
    <w:rsid w:val="00B6366D"/>
    <w:rsid w:val="00B63AA9"/>
    <w:rsid w:val="00B64C8A"/>
    <w:rsid w:val="00B64E6C"/>
    <w:rsid w:val="00B65120"/>
    <w:rsid w:val="00B6529C"/>
    <w:rsid w:val="00B65332"/>
    <w:rsid w:val="00B6537B"/>
    <w:rsid w:val="00B6546A"/>
    <w:rsid w:val="00B66033"/>
    <w:rsid w:val="00B70F85"/>
    <w:rsid w:val="00B7155A"/>
    <w:rsid w:val="00B72980"/>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AB9"/>
    <w:rsid w:val="00BA21D0"/>
    <w:rsid w:val="00BA2722"/>
    <w:rsid w:val="00BA28A8"/>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21A"/>
    <w:rsid w:val="00BC26E3"/>
    <w:rsid w:val="00BC3515"/>
    <w:rsid w:val="00BC3637"/>
    <w:rsid w:val="00BC3EE7"/>
    <w:rsid w:val="00BC4AFB"/>
    <w:rsid w:val="00BC7A3C"/>
    <w:rsid w:val="00BC7BC1"/>
    <w:rsid w:val="00BC7E0F"/>
    <w:rsid w:val="00BD02EF"/>
    <w:rsid w:val="00BD0947"/>
    <w:rsid w:val="00BD0C04"/>
    <w:rsid w:val="00BD17E1"/>
    <w:rsid w:val="00BD1D21"/>
    <w:rsid w:val="00BD1DBB"/>
    <w:rsid w:val="00BD37CE"/>
    <w:rsid w:val="00BD508A"/>
    <w:rsid w:val="00BD5293"/>
    <w:rsid w:val="00BD5BF5"/>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760"/>
    <w:rsid w:val="00C158E1"/>
    <w:rsid w:val="00C1712B"/>
    <w:rsid w:val="00C1746E"/>
    <w:rsid w:val="00C1774C"/>
    <w:rsid w:val="00C179E5"/>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4103E"/>
    <w:rsid w:val="00C4118D"/>
    <w:rsid w:val="00C413EE"/>
    <w:rsid w:val="00C41705"/>
    <w:rsid w:val="00C43453"/>
    <w:rsid w:val="00C436F6"/>
    <w:rsid w:val="00C4425A"/>
    <w:rsid w:val="00C44865"/>
    <w:rsid w:val="00C459E1"/>
    <w:rsid w:val="00C45F53"/>
    <w:rsid w:val="00C460DE"/>
    <w:rsid w:val="00C4649C"/>
    <w:rsid w:val="00C46DA8"/>
    <w:rsid w:val="00C47699"/>
    <w:rsid w:val="00C479A1"/>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4EAF"/>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A6D"/>
    <w:rsid w:val="00C90B34"/>
    <w:rsid w:val="00C90DB7"/>
    <w:rsid w:val="00C91519"/>
    <w:rsid w:val="00C91FFC"/>
    <w:rsid w:val="00C93182"/>
    <w:rsid w:val="00C93613"/>
    <w:rsid w:val="00C93A49"/>
    <w:rsid w:val="00C93E47"/>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B0200"/>
    <w:rsid w:val="00CB08CA"/>
    <w:rsid w:val="00CB1353"/>
    <w:rsid w:val="00CB1A83"/>
    <w:rsid w:val="00CB2A64"/>
    <w:rsid w:val="00CB45E4"/>
    <w:rsid w:val="00CB4736"/>
    <w:rsid w:val="00CB498E"/>
    <w:rsid w:val="00CB5ABC"/>
    <w:rsid w:val="00CB6F1E"/>
    <w:rsid w:val="00CB6FA4"/>
    <w:rsid w:val="00CC0A60"/>
    <w:rsid w:val="00CC1901"/>
    <w:rsid w:val="00CC19ED"/>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C12"/>
    <w:rsid w:val="00CD2DB3"/>
    <w:rsid w:val="00CD2DF2"/>
    <w:rsid w:val="00CD36B3"/>
    <w:rsid w:val="00CD3C53"/>
    <w:rsid w:val="00CD3D41"/>
    <w:rsid w:val="00CD3F67"/>
    <w:rsid w:val="00CD555B"/>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7C"/>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23AA"/>
    <w:rsid w:val="00D129A2"/>
    <w:rsid w:val="00D12D9A"/>
    <w:rsid w:val="00D13019"/>
    <w:rsid w:val="00D13353"/>
    <w:rsid w:val="00D1374D"/>
    <w:rsid w:val="00D1554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6F6"/>
    <w:rsid w:val="00D319B2"/>
    <w:rsid w:val="00D31CC7"/>
    <w:rsid w:val="00D32CAB"/>
    <w:rsid w:val="00D340B9"/>
    <w:rsid w:val="00D340EB"/>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ACA"/>
    <w:rsid w:val="00D43E13"/>
    <w:rsid w:val="00D44E50"/>
    <w:rsid w:val="00D459CA"/>
    <w:rsid w:val="00D45DAE"/>
    <w:rsid w:val="00D46233"/>
    <w:rsid w:val="00D46364"/>
    <w:rsid w:val="00D467DB"/>
    <w:rsid w:val="00D4684B"/>
    <w:rsid w:val="00D46914"/>
    <w:rsid w:val="00D46C2C"/>
    <w:rsid w:val="00D470D7"/>
    <w:rsid w:val="00D51F2B"/>
    <w:rsid w:val="00D520C1"/>
    <w:rsid w:val="00D521DD"/>
    <w:rsid w:val="00D523DA"/>
    <w:rsid w:val="00D53F26"/>
    <w:rsid w:val="00D5458C"/>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61C8"/>
    <w:rsid w:val="00DA64D0"/>
    <w:rsid w:val="00DA6502"/>
    <w:rsid w:val="00DA663D"/>
    <w:rsid w:val="00DA6B92"/>
    <w:rsid w:val="00DA6D9E"/>
    <w:rsid w:val="00DB08A0"/>
    <w:rsid w:val="00DB171F"/>
    <w:rsid w:val="00DB1C1F"/>
    <w:rsid w:val="00DB1C81"/>
    <w:rsid w:val="00DB2237"/>
    <w:rsid w:val="00DB2B94"/>
    <w:rsid w:val="00DB3387"/>
    <w:rsid w:val="00DB38E5"/>
    <w:rsid w:val="00DB42AC"/>
    <w:rsid w:val="00DB45C7"/>
    <w:rsid w:val="00DB47AC"/>
    <w:rsid w:val="00DB4AA5"/>
    <w:rsid w:val="00DB5033"/>
    <w:rsid w:val="00DB61EC"/>
    <w:rsid w:val="00DB69A9"/>
    <w:rsid w:val="00DB6CFC"/>
    <w:rsid w:val="00DB7944"/>
    <w:rsid w:val="00DC0339"/>
    <w:rsid w:val="00DC0E1B"/>
    <w:rsid w:val="00DC0FEC"/>
    <w:rsid w:val="00DC11BF"/>
    <w:rsid w:val="00DC14D6"/>
    <w:rsid w:val="00DC14FA"/>
    <w:rsid w:val="00DC17FB"/>
    <w:rsid w:val="00DC21D1"/>
    <w:rsid w:val="00DC2565"/>
    <w:rsid w:val="00DC2586"/>
    <w:rsid w:val="00DC2679"/>
    <w:rsid w:val="00DC285F"/>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7401"/>
    <w:rsid w:val="00DD7410"/>
    <w:rsid w:val="00DD7DD8"/>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F03FB"/>
    <w:rsid w:val="00DF0B37"/>
    <w:rsid w:val="00DF0B79"/>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383"/>
    <w:rsid w:val="00DF7448"/>
    <w:rsid w:val="00DF75E6"/>
    <w:rsid w:val="00E00B2E"/>
    <w:rsid w:val="00E011C4"/>
    <w:rsid w:val="00E01378"/>
    <w:rsid w:val="00E015D3"/>
    <w:rsid w:val="00E01CD2"/>
    <w:rsid w:val="00E0208B"/>
    <w:rsid w:val="00E023CF"/>
    <w:rsid w:val="00E02517"/>
    <w:rsid w:val="00E039A4"/>
    <w:rsid w:val="00E04781"/>
    <w:rsid w:val="00E04A77"/>
    <w:rsid w:val="00E0580E"/>
    <w:rsid w:val="00E07AAE"/>
    <w:rsid w:val="00E125DC"/>
    <w:rsid w:val="00E1274B"/>
    <w:rsid w:val="00E129D5"/>
    <w:rsid w:val="00E12D43"/>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A9E"/>
    <w:rsid w:val="00E23498"/>
    <w:rsid w:val="00E2429C"/>
    <w:rsid w:val="00E25071"/>
    <w:rsid w:val="00E25EBC"/>
    <w:rsid w:val="00E2623B"/>
    <w:rsid w:val="00E263D0"/>
    <w:rsid w:val="00E26A68"/>
    <w:rsid w:val="00E27338"/>
    <w:rsid w:val="00E27DBA"/>
    <w:rsid w:val="00E30323"/>
    <w:rsid w:val="00E33643"/>
    <w:rsid w:val="00E339B2"/>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A3E"/>
    <w:rsid w:val="00E57486"/>
    <w:rsid w:val="00E57AAD"/>
    <w:rsid w:val="00E60A7D"/>
    <w:rsid w:val="00E60D1E"/>
    <w:rsid w:val="00E61BB3"/>
    <w:rsid w:val="00E62ABC"/>
    <w:rsid w:val="00E62D83"/>
    <w:rsid w:val="00E630F9"/>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DFA"/>
    <w:rsid w:val="00EB7FD0"/>
    <w:rsid w:val="00EC0247"/>
    <w:rsid w:val="00EC0F62"/>
    <w:rsid w:val="00EC21FF"/>
    <w:rsid w:val="00EC2A19"/>
    <w:rsid w:val="00EC30CB"/>
    <w:rsid w:val="00EC31DD"/>
    <w:rsid w:val="00EC3A4A"/>
    <w:rsid w:val="00EC4008"/>
    <w:rsid w:val="00EC46F9"/>
    <w:rsid w:val="00EC4883"/>
    <w:rsid w:val="00EC4AC1"/>
    <w:rsid w:val="00EC4CC1"/>
    <w:rsid w:val="00EC4E55"/>
    <w:rsid w:val="00EC535E"/>
    <w:rsid w:val="00EC625F"/>
    <w:rsid w:val="00EC654E"/>
    <w:rsid w:val="00EC6A69"/>
    <w:rsid w:val="00EC71AE"/>
    <w:rsid w:val="00EC7278"/>
    <w:rsid w:val="00EC7A6A"/>
    <w:rsid w:val="00EC7BB2"/>
    <w:rsid w:val="00EC7F05"/>
    <w:rsid w:val="00ED0039"/>
    <w:rsid w:val="00ED0452"/>
    <w:rsid w:val="00ED16A5"/>
    <w:rsid w:val="00ED1CDB"/>
    <w:rsid w:val="00ED362E"/>
    <w:rsid w:val="00ED369F"/>
    <w:rsid w:val="00ED3772"/>
    <w:rsid w:val="00ED44F9"/>
    <w:rsid w:val="00ED4E21"/>
    <w:rsid w:val="00ED5DA8"/>
    <w:rsid w:val="00ED6F83"/>
    <w:rsid w:val="00ED769A"/>
    <w:rsid w:val="00ED7A9B"/>
    <w:rsid w:val="00ED7DB7"/>
    <w:rsid w:val="00EE00A0"/>
    <w:rsid w:val="00EE0511"/>
    <w:rsid w:val="00EE0BA4"/>
    <w:rsid w:val="00EE0BFB"/>
    <w:rsid w:val="00EE0FDD"/>
    <w:rsid w:val="00EE2279"/>
    <w:rsid w:val="00EE2A51"/>
    <w:rsid w:val="00EE2B59"/>
    <w:rsid w:val="00EE2DD9"/>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DF9"/>
    <w:rsid w:val="00EF678A"/>
    <w:rsid w:val="00EF73E9"/>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483A"/>
    <w:rsid w:val="00F158F7"/>
    <w:rsid w:val="00F163EE"/>
    <w:rsid w:val="00F16439"/>
    <w:rsid w:val="00F16717"/>
    <w:rsid w:val="00F169ED"/>
    <w:rsid w:val="00F16E67"/>
    <w:rsid w:val="00F176D0"/>
    <w:rsid w:val="00F20693"/>
    <w:rsid w:val="00F20990"/>
    <w:rsid w:val="00F20C32"/>
    <w:rsid w:val="00F20D6C"/>
    <w:rsid w:val="00F20FE0"/>
    <w:rsid w:val="00F2105A"/>
    <w:rsid w:val="00F21079"/>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352"/>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60370"/>
    <w:rsid w:val="00F60D98"/>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D33"/>
    <w:rsid w:val="00F66FC2"/>
    <w:rsid w:val="00F677A3"/>
    <w:rsid w:val="00F67940"/>
    <w:rsid w:val="00F67B00"/>
    <w:rsid w:val="00F67F72"/>
    <w:rsid w:val="00F700DB"/>
    <w:rsid w:val="00F706D7"/>
    <w:rsid w:val="00F71573"/>
    <w:rsid w:val="00F71B92"/>
    <w:rsid w:val="00F71C9A"/>
    <w:rsid w:val="00F7298B"/>
    <w:rsid w:val="00F72ED3"/>
    <w:rsid w:val="00F734C0"/>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55A"/>
    <w:rsid w:val="00F929A2"/>
    <w:rsid w:val="00F92EA7"/>
    <w:rsid w:val="00F9367F"/>
    <w:rsid w:val="00F93A98"/>
    <w:rsid w:val="00F93FED"/>
    <w:rsid w:val="00F9501E"/>
    <w:rsid w:val="00F96A1D"/>
    <w:rsid w:val="00F9746C"/>
    <w:rsid w:val="00F97904"/>
    <w:rsid w:val="00F97F38"/>
    <w:rsid w:val="00FA0290"/>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7BE"/>
    <w:rsid w:val="00FB5825"/>
    <w:rsid w:val="00FB63D5"/>
    <w:rsid w:val="00FB69C7"/>
    <w:rsid w:val="00FB6FB9"/>
    <w:rsid w:val="00FB78DE"/>
    <w:rsid w:val="00FB7B71"/>
    <w:rsid w:val="00FB7CF8"/>
    <w:rsid w:val="00FB7CF9"/>
    <w:rsid w:val="00FC150F"/>
    <w:rsid w:val="00FC2079"/>
    <w:rsid w:val="00FC38F6"/>
    <w:rsid w:val="00FC3B08"/>
    <w:rsid w:val="00FC4345"/>
    <w:rsid w:val="00FC478A"/>
    <w:rsid w:val="00FC4A2E"/>
    <w:rsid w:val="00FC52DE"/>
    <w:rsid w:val="00FC539B"/>
    <w:rsid w:val="00FC5ADB"/>
    <w:rsid w:val="00FC6178"/>
    <w:rsid w:val="00FC61FD"/>
    <w:rsid w:val="00FD053F"/>
    <w:rsid w:val="00FD0C0B"/>
    <w:rsid w:val="00FD1621"/>
    <w:rsid w:val="00FD1B20"/>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B97"/>
    <w:rsid w:val="00FE4FEF"/>
    <w:rsid w:val="00FE5131"/>
    <w:rsid w:val="00FE5B1A"/>
    <w:rsid w:val="00FE5CAA"/>
    <w:rsid w:val="00FE5D59"/>
    <w:rsid w:val="00FE7232"/>
    <w:rsid w:val="00FE73FC"/>
    <w:rsid w:val="00FE7A41"/>
    <w:rsid w:val="00FF0981"/>
    <w:rsid w:val="00FF0D4F"/>
    <w:rsid w:val="00FF170C"/>
    <w:rsid w:val="00FF20D4"/>
    <w:rsid w:val="00FF24E1"/>
    <w:rsid w:val="00FF314C"/>
    <w:rsid w:val="00FF384F"/>
    <w:rsid w:val="00FF3FB9"/>
    <w:rsid w:val="00FF447F"/>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v:textbox inset="5.85pt,.7pt,5.85pt,.7pt"/>
    </o:shapedefaults>
    <o:shapelayout v:ext="edit">
      <o:idmap v:ext="edit" data="1"/>
    </o:shapelayout>
  </w:shapeDefaults>
  <w:decimalSymbol w:val="."/>
  <w:listSeparator w:val=","/>
  <w15:docId w15:val="{98D558D6-40C1-4C89-B7AF-27E74FA2B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7CF8"/>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B77E5A"/>
    <w:pPr>
      <w:keepNext/>
      <w:numPr>
        <w:ilvl w:val="1"/>
        <w:numId w:val="1"/>
      </w:numPr>
      <w:tabs>
        <w:tab w:val="clear" w:pos="3261"/>
        <w:tab w:val="num" w:pos="567"/>
      </w:tabs>
      <w:spacing w:before="240"/>
      <w:ind w:left="567"/>
      <w:outlineLvl w:val="1"/>
    </w:pPr>
    <w:rPr>
      <w:rFonts w:ascii="Arial" w:eastAsia="MS Mincho" w:hAnsi="Arial"/>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2A36E4"/>
    <w:pPr>
      <w:keepNext/>
      <w:numPr>
        <w:ilvl w:val="2"/>
        <w:numId w:val="1"/>
      </w:numPr>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MS Gothic"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B77E5A"/>
    <w:rPr>
      <w:rFonts w:ascii="Arial" w:hAnsi="Arial"/>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2A36E4"/>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MS Gothic"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MS Gothic"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uiPriority w:val="99"/>
    <w:semiHidden/>
    <w:rsid w:val="00A16CE4"/>
    <w:rPr>
      <w:rFonts w:cs="Times New Roman"/>
      <w:sz w:val="18"/>
    </w:rPr>
  </w:style>
  <w:style w:type="paragraph" w:styleId="CommentText">
    <w:name w:val="annotation text"/>
    <w:basedOn w:val="Normal"/>
    <w:link w:val="CommentTextChar"/>
    <w:uiPriority w:val="99"/>
    <w:semiHidden/>
    <w:rsid w:val="00A16CE4"/>
    <w:pPr>
      <w:jc w:val="left"/>
    </w:pPr>
  </w:style>
  <w:style w:type="character" w:customStyle="1" w:styleId="CommentTextChar">
    <w:name w:val="Comment Text Char"/>
    <w:link w:val="CommentText"/>
    <w:uiPriority w:val="99"/>
    <w:semiHidden/>
    <w:locked/>
    <w:rsid w:val="00A16CE4"/>
    <w:rPr>
      <w:rFonts w:ascii="Times New Roman" w:eastAsia="MS Gothic"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MS Gothic"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MS Gothic"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MS Gothic"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MS Gothic"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MS Gothic" w:hAnsi="Times New Roman"/>
      <w:b/>
      <w:sz w:val="24"/>
      <w:lang w:val="en-GB"/>
    </w:rPr>
  </w:style>
  <w:style w:type="character" w:customStyle="1" w:styleId="a1">
    <w:name w:val="図表 (文字)"/>
    <w:link w:val="a0"/>
    <w:locked/>
    <w:rsid w:val="00A16CE4"/>
    <w:rPr>
      <w:rFonts w:ascii="Times New Roman" w:eastAsia="MS Gothic"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PlainTextChar">
    <w:name w:val="Plain Text Char"/>
    <w:link w:val="PlainText"/>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MS Gothic"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MS Gothic"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MS Gothic"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basedOn w:val="Normal"/>
    <w:link w:val="ListParagraphChar"/>
    <w:uiPriority w:val="34"/>
    <w:qFormat/>
    <w:rsid w:val="007C1BFF"/>
    <w:pPr>
      <w:ind w:firstLineChars="200" w:firstLine="420"/>
    </w:pPr>
  </w:style>
  <w:style w:type="character" w:customStyle="1" w:styleId="ListParagraphChar">
    <w:name w:val="List Paragraph Char"/>
    <w:link w:val="ListParagraph"/>
    <w:uiPriority w:val="34"/>
    <w:locked/>
    <w:rsid w:val="00395C5E"/>
    <w:rPr>
      <w:rFonts w:ascii="Times New Roman" w:eastAsia="MS Gothic" w:hAnsi="Times New Roman"/>
      <w:sz w:val="24"/>
      <w:lang w:val="en-GB"/>
    </w:rPr>
  </w:style>
  <w:style w:type="paragraph" w:styleId="NormalWeb">
    <w:name w:val="Normal (Web)"/>
    <w:basedOn w:val="Normal"/>
    <w:uiPriority w:val="99"/>
    <w:unhideWhenUsed/>
    <w:rsid w:val="00E02517"/>
    <w:pPr>
      <w:snapToGrid/>
      <w:spacing w:before="75" w:after="75" w:afterAutospacing="0"/>
      <w:jc w:val="left"/>
    </w:pPr>
    <w:rPr>
      <w:rFonts w:ascii="Malgun Gothic" w:eastAsia="Malgun Gothic" w:hAnsi="Malgun Gothic"/>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19972336">
      <w:bodyDiv w:val="1"/>
      <w:marLeft w:val="0"/>
      <w:marRight w:val="0"/>
      <w:marTop w:val="0"/>
      <w:marBottom w:val="0"/>
      <w:divBdr>
        <w:top w:val="none" w:sz="0" w:space="0" w:color="auto"/>
        <w:left w:val="none" w:sz="0" w:space="0" w:color="auto"/>
        <w:bottom w:val="none" w:sz="0" w:space="0" w:color="auto"/>
        <w:right w:val="none" w:sz="0" w:space="0" w:color="auto"/>
      </w:divBdr>
    </w:div>
    <w:div w:id="125227220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39816380">
      <w:bodyDiv w:val="1"/>
      <w:marLeft w:val="0"/>
      <w:marRight w:val="0"/>
      <w:marTop w:val="0"/>
      <w:marBottom w:val="0"/>
      <w:divBdr>
        <w:top w:val="none" w:sz="0" w:space="0" w:color="auto"/>
        <w:left w:val="none" w:sz="0" w:space="0" w:color="auto"/>
        <w:bottom w:val="none" w:sz="0" w:space="0" w:color="auto"/>
        <w:right w:val="none" w:sz="0" w:space="0" w:color="auto"/>
      </w:divBdr>
    </w:div>
    <w:div w:id="213641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9DD1B7-F049-4BC5-B9E4-1B8714613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1258</Words>
  <Characters>7175</Characters>
  <Application>Microsoft Office Word</Application>
  <DocSecurity>0</DocSecurity>
  <Lines>59</Lines>
  <Paragraphs>16</Paragraphs>
  <ScaleCrop>false</ScaleCrop>
  <HeadingPairs>
    <vt:vector size="6" baseType="variant">
      <vt:variant>
        <vt:lpstr>Title</vt:lpstr>
      </vt:variant>
      <vt:variant>
        <vt:i4>1</vt:i4>
      </vt:variant>
      <vt:variant>
        <vt:lpstr>タイトル</vt:lpstr>
      </vt:variant>
      <vt:variant>
        <vt:i4>1</vt:i4>
      </vt:variant>
      <vt:variant>
        <vt:lpstr>見出し</vt:lpstr>
      </vt:variant>
      <vt:variant>
        <vt:i4>6</vt:i4>
      </vt:variant>
    </vt:vector>
  </HeadingPairs>
  <TitlesOfParts>
    <vt:vector size="8" baseType="lpstr">
      <vt:lpstr>3GPP TSG RAN WG1 Meeting</vt:lpstr>
      <vt:lpstr>3GPP TSG RAN WG1 Meeting</vt:lpstr>
      <vt:lpstr>Introduction</vt:lpstr>
      <vt:lpstr>Discussions</vt:lpstr>
      <vt:lpstr>    Beam failure detection</vt:lpstr>
      <vt:lpstr>    Triggering condition for beam failure recovery</vt:lpstr>
      <vt:lpstr>Conclusion</vt:lpstr>
      <vt:lpstr>References</vt:lpstr>
    </vt:vector>
  </TitlesOfParts>
  <Company>Microsoft</Company>
  <LinksUpToDate>false</LinksUpToDate>
  <CharactersWithSpaces>8417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Kowalski, John</cp:lastModifiedBy>
  <cp:revision>3</cp:revision>
  <cp:lastPrinted>2017-04-24T02:32:00Z</cp:lastPrinted>
  <dcterms:created xsi:type="dcterms:W3CDTF">2017-11-17T21:18:00Z</dcterms:created>
  <dcterms:modified xsi:type="dcterms:W3CDTF">2017-11-17T21:19:00Z</dcterms:modified>
</cp:coreProperties>
</file>