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268FC" w14:textId="0F85A7D0" w:rsidR="00AD1815" w:rsidRPr="00AD1815" w:rsidRDefault="00AD1815" w:rsidP="00AD1815">
      <w:pPr>
        <w:pStyle w:val="3GPPHeader"/>
        <w:rPr>
          <w:bCs/>
        </w:rPr>
      </w:pPr>
      <w:bookmarkStart w:id="0" w:name="_GoBack"/>
      <w:r w:rsidRPr="00AD1815">
        <w:rPr>
          <w:bCs/>
        </w:rPr>
        <w:t xml:space="preserve">3GPP TSG RAN WG1 #90                                       </w:t>
      </w:r>
      <w:r w:rsidRPr="00AD1815">
        <w:rPr>
          <w:bCs/>
        </w:rPr>
        <w:tab/>
      </w:r>
      <w:r w:rsidR="00335A5E" w:rsidRPr="00335A5E">
        <w:rPr>
          <w:bCs/>
        </w:rPr>
        <w:t>R1-1714431</w:t>
      </w:r>
    </w:p>
    <w:bookmarkEnd w:id="0"/>
    <w:p w14:paraId="7FF688BE" w14:textId="77777777" w:rsidR="00AD1815" w:rsidRDefault="00AD1815" w:rsidP="00AD1815">
      <w:pPr>
        <w:pStyle w:val="3GPPHeader"/>
        <w:rPr>
          <w:bCs/>
        </w:rPr>
      </w:pPr>
      <w:r w:rsidRPr="00AD1815">
        <w:rPr>
          <w:bCs/>
        </w:rPr>
        <w:t>Prague, Czech Republic, 21-25 August 2017</w:t>
      </w:r>
    </w:p>
    <w:p w14:paraId="606D9DC9" w14:textId="64C5F04A" w:rsidR="00E90E49" w:rsidRPr="007B78FE" w:rsidRDefault="00E90E49" w:rsidP="00AD1815">
      <w:pPr>
        <w:pStyle w:val="3GPPHeader"/>
        <w:rPr>
          <w:sz w:val="22"/>
          <w:szCs w:val="22"/>
          <w:lang w:val="en-US"/>
        </w:rPr>
      </w:pPr>
      <w:r w:rsidRPr="007B78FE">
        <w:rPr>
          <w:sz w:val="22"/>
          <w:szCs w:val="22"/>
          <w:lang w:val="en-US"/>
        </w:rPr>
        <w:t>Agenda Item:</w:t>
      </w:r>
      <w:r w:rsidRPr="007B78FE">
        <w:rPr>
          <w:sz w:val="22"/>
          <w:szCs w:val="22"/>
          <w:lang w:val="en-US"/>
        </w:rPr>
        <w:tab/>
      </w:r>
      <w:r w:rsidR="00AD1815">
        <w:rPr>
          <w:sz w:val="22"/>
          <w:szCs w:val="22"/>
          <w:lang w:val="en-US"/>
        </w:rPr>
        <w:t>6</w:t>
      </w:r>
      <w:r w:rsidR="008A4CB1" w:rsidRPr="0067626C">
        <w:rPr>
          <w:sz w:val="22"/>
          <w:szCs w:val="22"/>
          <w:lang w:val="en-US"/>
        </w:rPr>
        <w:t>.1.3.3.</w:t>
      </w:r>
      <w:r w:rsidR="00C57818">
        <w:rPr>
          <w:sz w:val="22"/>
          <w:szCs w:val="22"/>
          <w:lang w:val="en-US"/>
        </w:rPr>
        <w:t>1.1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EFF9A85"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7818" w:rsidRPr="00C57818">
        <w:rPr>
          <w:sz w:val="22"/>
          <w:szCs w:val="22"/>
          <w:lang w:val="en-US"/>
        </w:rPr>
        <w:t>On Resource Allocation in the Frequency Domain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9526E79" w:rsidR="00733D4B" w:rsidRDefault="00733D4B" w:rsidP="00733D4B">
      <w:pPr>
        <w:pStyle w:val="BodyText"/>
        <w:rPr>
          <w:rFonts w:cs="Arial"/>
        </w:rPr>
      </w:pPr>
      <w:r>
        <w:rPr>
          <w:rFonts w:cs="Arial"/>
        </w:rPr>
        <w:t>In RAN1#</w:t>
      </w:r>
      <w:r w:rsidR="00AD1815">
        <w:rPr>
          <w:rFonts w:cs="Arial"/>
        </w:rPr>
        <w:t>90</w:t>
      </w:r>
      <w:r w:rsidRPr="003F5094">
        <w:rPr>
          <w:rFonts w:cs="Arial"/>
        </w:rPr>
        <w:t>, the followin</w:t>
      </w:r>
      <w:r>
        <w:rPr>
          <w:rFonts w:cs="Arial"/>
        </w:rPr>
        <w:t xml:space="preserve">g agreements on </w:t>
      </w:r>
      <w:r w:rsidR="00C57818">
        <w:rPr>
          <w:rFonts w:cs="Arial"/>
        </w:rPr>
        <w:t>resource allocation in the frequency domain</w:t>
      </w:r>
      <w:r>
        <w:rPr>
          <w:rFonts w:cs="Arial"/>
        </w:rPr>
        <w:t xml:space="preserve">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00AD1815">
        <w:rPr>
          <w:rFonts w:cs="Arial"/>
        </w:rPr>
        <w:t xml:space="preserve"> a large set of agreements were reached.</w:t>
      </w:r>
    </w:p>
    <w:p w14:paraId="78681D63" w14:textId="77777777" w:rsidR="00515D7B" w:rsidRDefault="00515D7B" w:rsidP="00515D7B">
      <w:pPr>
        <w:rPr>
          <w:rFonts w:ascii="Times" w:eastAsia="MS Mincho" w:hAnsi="Times"/>
          <w:b/>
          <w:iCs/>
          <w:u w:val="single"/>
          <w:lang w:val="en-US" w:eastAsia="ja-JP"/>
        </w:rPr>
      </w:pPr>
      <w:r>
        <w:rPr>
          <w:rFonts w:eastAsia="MS Mincho"/>
          <w:b/>
          <w:iCs/>
          <w:highlight w:val="green"/>
          <w:u w:val="single"/>
          <w:lang w:val="en-US" w:eastAsia="ja-JP"/>
        </w:rPr>
        <w:t>Agreements:</w:t>
      </w:r>
    </w:p>
    <w:p w14:paraId="4D3C5474"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In frequency-domain, for PUSCH with DFT-s-OFDM waveform in NR, contiguous resource allocation scheme based on LTE UL RA Type 0 is adopted in Rel. 15.</w:t>
      </w:r>
    </w:p>
    <w:p w14:paraId="1E80B8CA" w14:textId="77777777" w:rsidR="00515D7B" w:rsidRDefault="00515D7B" w:rsidP="00515D7B">
      <w:pPr>
        <w:numPr>
          <w:ilvl w:val="1"/>
          <w:numId w:val="46"/>
        </w:numPr>
        <w:overflowPunct/>
        <w:autoSpaceDE/>
        <w:autoSpaceDN/>
        <w:adjustRightInd/>
        <w:spacing w:after="0"/>
        <w:jc w:val="left"/>
        <w:textAlignment w:val="auto"/>
        <w:rPr>
          <w:rFonts w:eastAsia="MS Mincho"/>
          <w:iCs/>
          <w:lang w:val="en-US" w:eastAsia="ja-JP"/>
        </w:rPr>
      </w:pPr>
      <w:r>
        <w:rPr>
          <w:rFonts w:eastAsia="MS Mincho"/>
          <w:iCs/>
          <w:lang w:val="en-US" w:eastAsia="ja-JP"/>
        </w:rPr>
        <w:t>FFS:</w:t>
      </w:r>
    </w:p>
    <w:p w14:paraId="4B3DDE45"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 coarser granularity (i.e. more than 1RB) of resource assignment in order to reduce the overhead further  </w:t>
      </w:r>
    </w:p>
    <w:p w14:paraId="1F84E272"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BW parts</w:t>
      </w:r>
    </w:p>
    <w:p w14:paraId="47F00009"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In frequency-domain, for PDSCH in NR, a resource allocation scheme based on LTE DL RA Type 2 is supported in Rel. 15.</w:t>
      </w:r>
    </w:p>
    <w:p w14:paraId="5D3E4431" w14:textId="77777777" w:rsidR="00515D7B" w:rsidRDefault="00515D7B" w:rsidP="00515D7B">
      <w:pPr>
        <w:numPr>
          <w:ilvl w:val="1"/>
          <w:numId w:val="46"/>
        </w:numPr>
        <w:overflowPunct/>
        <w:autoSpaceDE/>
        <w:autoSpaceDN/>
        <w:adjustRightInd/>
        <w:spacing w:after="0"/>
        <w:jc w:val="left"/>
        <w:textAlignment w:val="auto"/>
        <w:rPr>
          <w:rFonts w:eastAsia="MS Mincho"/>
          <w:iCs/>
          <w:lang w:val="en-US" w:eastAsia="ja-JP"/>
        </w:rPr>
      </w:pPr>
      <w:r>
        <w:rPr>
          <w:rFonts w:eastAsia="MS Mincho"/>
          <w:iCs/>
          <w:lang w:val="en-US" w:eastAsia="ja-JP"/>
        </w:rPr>
        <w:t>FFS:</w:t>
      </w:r>
    </w:p>
    <w:p w14:paraId="38CAED5C"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 coarser granularity (i.e. more than 1RB) of resource assignment in order to reduce the overhead further  </w:t>
      </w:r>
    </w:p>
    <w:p w14:paraId="5C00A8EE"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BW parts</w:t>
      </w:r>
    </w:p>
    <w:p w14:paraId="205D8961"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In frequency-domain, for PUSCH with CP-OFDM waveform in NR, contiguous resource allocation scheme based on LTE UL RA Type 0 is supported in Rel. 15</w:t>
      </w:r>
    </w:p>
    <w:p w14:paraId="3F6C1CB0" w14:textId="77777777" w:rsidR="00515D7B" w:rsidRDefault="00515D7B" w:rsidP="00515D7B">
      <w:pPr>
        <w:numPr>
          <w:ilvl w:val="1"/>
          <w:numId w:val="46"/>
        </w:numPr>
        <w:overflowPunct/>
        <w:autoSpaceDE/>
        <w:autoSpaceDN/>
        <w:adjustRightInd/>
        <w:spacing w:after="0"/>
        <w:jc w:val="left"/>
        <w:textAlignment w:val="auto"/>
        <w:rPr>
          <w:rFonts w:eastAsia="MS Mincho"/>
          <w:iCs/>
          <w:lang w:val="en-US" w:eastAsia="ja-JP"/>
        </w:rPr>
      </w:pPr>
      <w:r>
        <w:rPr>
          <w:rFonts w:eastAsia="MS Mincho"/>
          <w:iCs/>
          <w:lang w:val="en-US" w:eastAsia="ja-JP"/>
        </w:rPr>
        <w:t>FFS:</w:t>
      </w:r>
    </w:p>
    <w:p w14:paraId="31956C99"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 coarser granularity (i.e. more than 1RB) of resource assignment in order to reduce the overhead further  </w:t>
      </w:r>
    </w:p>
    <w:p w14:paraId="4C73E932" w14:textId="77777777" w:rsidR="00515D7B" w:rsidRDefault="00515D7B" w:rsidP="00515D7B">
      <w:pPr>
        <w:numPr>
          <w:ilvl w:val="2"/>
          <w:numId w:val="46"/>
        </w:numPr>
        <w:overflowPunct/>
        <w:autoSpaceDE/>
        <w:autoSpaceDN/>
        <w:adjustRightInd/>
        <w:spacing w:after="0"/>
        <w:jc w:val="left"/>
        <w:textAlignment w:val="auto"/>
        <w:rPr>
          <w:rFonts w:eastAsia="MS Mincho"/>
          <w:iCs/>
          <w:lang w:val="en-US" w:eastAsia="ja-JP"/>
        </w:rPr>
      </w:pPr>
      <w:r>
        <w:rPr>
          <w:rFonts w:eastAsia="MS Mincho"/>
          <w:iCs/>
          <w:lang w:eastAsia="ja-JP"/>
        </w:rPr>
        <w:t>BW parts</w:t>
      </w:r>
    </w:p>
    <w:p w14:paraId="15C6052C"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A DCI format with resource allocation based on LTE DL RA type 0 (i.e., bit-map) is supported for PDSCH.</w:t>
      </w:r>
    </w:p>
    <w:p w14:paraId="68C132F0"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A DCI format with resource allocation based on LTE DL RA type 0 (i.e., bit-map) is supported for PUSCH with CP-OFDM waveform.</w:t>
      </w:r>
    </w:p>
    <w:p w14:paraId="56CC05BD"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eastAsia="ja-JP"/>
        </w:rPr>
        <w:t>A DCI format with resource allocation based on LTE DL RA type 2 is supported for PDSCH.</w:t>
      </w:r>
    </w:p>
    <w:p w14:paraId="6C051AB8"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A DCI format </w:t>
      </w:r>
      <w:r>
        <w:rPr>
          <w:rFonts w:eastAsia="MS Mincho"/>
          <w:iCs/>
          <w:lang w:eastAsia="ja-JP"/>
        </w:rPr>
        <w:t>with resource allocation based on</w:t>
      </w:r>
      <w:r>
        <w:rPr>
          <w:rFonts w:eastAsia="MS Mincho"/>
          <w:iCs/>
          <w:lang w:val="en-US" w:eastAsia="ja-JP"/>
        </w:rPr>
        <w:t xml:space="preserve"> LTE UL RA type 0 is supported for PUSCH with CP-OFDM waveform and with DFT-s-OFDM waveform.</w:t>
      </w:r>
    </w:p>
    <w:p w14:paraId="1ADEF6BD" w14:textId="77777777" w:rsidR="00515D7B" w:rsidRDefault="00515D7B" w:rsidP="00515D7B">
      <w:pPr>
        <w:numPr>
          <w:ilvl w:val="0"/>
          <w:numId w:val="46"/>
        </w:numPr>
        <w:overflowPunct/>
        <w:autoSpaceDE/>
        <w:autoSpaceDN/>
        <w:adjustRightInd/>
        <w:spacing w:after="0"/>
        <w:jc w:val="left"/>
        <w:textAlignment w:val="auto"/>
        <w:rPr>
          <w:rFonts w:eastAsia="MS Mincho"/>
          <w:iCs/>
          <w:lang w:val="en-US" w:eastAsia="ja-JP"/>
        </w:rPr>
      </w:pPr>
      <w:r>
        <w:rPr>
          <w:rFonts w:eastAsia="MS Mincho"/>
          <w:iCs/>
          <w:lang w:val="en-US" w:eastAsia="ja-JP"/>
        </w:rPr>
        <w:t>FFS: some or all of the above DCI formats have the same DCI payload size.</w:t>
      </w:r>
    </w:p>
    <w:p w14:paraId="137814D4" w14:textId="77777777" w:rsidR="00515D7B" w:rsidRDefault="00515D7B" w:rsidP="00515D7B">
      <w:pPr>
        <w:rPr>
          <w:rFonts w:eastAsia="Yu Mincho"/>
          <w:b/>
          <w:iCs/>
          <w:highlight w:val="green"/>
          <w:u w:val="single"/>
          <w:lang w:val="en-US" w:eastAsia="ja-JP"/>
        </w:rPr>
      </w:pPr>
    </w:p>
    <w:p w14:paraId="58CBFA05" w14:textId="32CD9273" w:rsidR="00515D7B" w:rsidRDefault="00515D7B" w:rsidP="00515D7B">
      <w:pPr>
        <w:rPr>
          <w:rFonts w:ascii="Times" w:eastAsia="Yu Mincho" w:hAnsi="Times"/>
          <w:b/>
          <w:iCs/>
          <w:u w:val="single"/>
          <w:lang w:val="en-US" w:eastAsia="ja-JP"/>
        </w:rPr>
      </w:pPr>
      <w:r>
        <w:rPr>
          <w:rFonts w:eastAsia="Yu Mincho"/>
          <w:b/>
          <w:iCs/>
          <w:highlight w:val="green"/>
          <w:u w:val="single"/>
          <w:lang w:val="en-US" w:eastAsia="ja-JP"/>
        </w:rPr>
        <w:t>Agreements:</w:t>
      </w:r>
    </w:p>
    <w:p w14:paraId="24437F83" w14:textId="77777777" w:rsidR="00515D7B" w:rsidRDefault="00515D7B" w:rsidP="00515D7B">
      <w:pPr>
        <w:numPr>
          <w:ilvl w:val="0"/>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For PDSCH/PUSCH, the RBG size/number can be changed along with the change of the BWP used for resource allocation.</w:t>
      </w:r>
    </w:p>
    <w:p w14:paraId="4C7F9B6E" w14:textId="77777777" w:rsidR="00515D7B" w:rsidRDefault="00515D7B" w:rsidP="00515D7B">
      <w:pPr>
        <w:numPr>
          <w:ilvl w:val="0"/>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FFS: If one or multiple of following option(s) is/are also used for RBG size/number determination:</w:t>
      </w:r>
    </w:p>
    <w:p w14:paraId="567AB8CE"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 xml:space="preserve">Opt. 1: Semi-statically configured size of Type0 RA bitmap. </w:t>
      </w:r>
    </w:p>
    <w:p w14:paraId="3D109B9D" w14:textId="77777777" w:rsidR="00515D7B" w:rsidRDefault="00515D7B" w:rsidP="00515D7B">
      <w:pPr>
        <w:numPr>
          <w:ilvl w:val="2"/>
          <w:numId w:val="47"/>
        </w:numPr>
        <w:tabs>
          <w:tab w:val="num" w:pos="2160"/>
        </w:tabs>
        <w:overflowPunct/>
        <w:autoSpaceDE/>
        <w:autoSpaceDN/>
        <w:adjustRightInd/>
        <w:spacing w:after="0"/>
        <w:jc w:val="left"/>
        <w:textAlignment w:val="auto"/>
        <w:rPr>
          <w:rFonts w:eastAsia="Yu Mincho"/>
          <w:iCs/>
          <w:lang w:val="en-US" w:eastAsia="ja-JP"/>
        </w:rPr>
      </w:pPr>
      <w:r>
        <w:rPr>
          <w:rFonts w:eastAsia="Yu Mincho"/>
          <w:iCs/>
          <w:lang w:val="en-US" w:eastAsia="ja-JP"/>
        </w:rPr>
        <w:t>Number and size of RBGs for a RA is determined based on size of BWP and the size of the bitmap.</w:t>
      </w:r>
    </w:p>
    <w:p w14:paraId="412EBBA3"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Opt. 2: Semi-statically configured RBG size(s) per BWP for deriving number of RBGs.</w:t>
      </w:r>
    </w:p>
    <w:p w14:paraId="38E141BE" w14:textId="77777777" w:rsidR="00515D7B" w:rsidRDefault="00515D7B" w:rsidP="00515D7B">
      <w:pPr>
        <w:numPr>
          <w:ilvl w:val="2"/>
          <w:numId w:val="47"/>
        </w:numPr>
        <w:tabs>
          <w:tab w:val="num" w:pos="2160"/>
        </w:tabs>
        <w:overflowPunct/>
        <w:autoSpaceDE/>
        <w:autoSpaceDN/>
        <w:adjustRightInd/>
        <w:spacing w:after="0"/>
        <w:jc w:val="left"/>
        <w:textAlignment w:val="auto"/>
        <w:rPr>
          <w:rFonts w:eastAsia="Yu Mincho"/>
          <w:iCs/>
          <w:lang w:val="en-US" w:eastAsia="ja-JP"/>
        </w:rPr>
      </w:pPr>
      <w:r>
        <w:rPr>
          <w:rFonts w:eastAsia="Yu Mincho"/>
          <w:iCs/>
          <w:lang w:val="en-US" w:eastAsia="ja-JP"/>
        </w:rPr>
        <w:t xml:space="preserve">Number of RBGs in the BWP is determined by size of the BWP and the configured/indicated RBG size(s). </w:t>
      </w:r>
    </w:p>
    <w:p w14:paraId="34A3F495" w14:textId="77777777" w:rsidR="00515D7B" w:rsidRDefault="00515D7B" w:rsidP="00515D7B">
      <w:pPr>
        <w:numPr>
          <w:ilvl w:val="2"/>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 xml:space="preserve">FFS: Dynamic switching of RBG size(s). </w:t>
      </w:r>
    </w:p>
    <w:p w14:paraId="10EADAD0"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lastRenderedPageBreak/>
        <w:t>Opt. 3: DCI format/DCI format size (e.g. a compact DCI may be with a larger RBG size than a normal DCI).</w:t>
      </w:r>
    </w:p>
    <w:p w14:paraId="1CD91982"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Opt. 4: Transmission durations (e.g. a shorter-duration transmission may be with a larger RBG size than a longer one).</w:t>
      </w:r>
    </w:p>
    <w:p w14:paraId="4FB44FB1"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Opt. 5: RBG size is determined depending on the size of the BWP.</w:t>
      </w:r>
    </w:p>
    <w:p w14:paraId="53620D5F" w14:textId="77777777" w:rsidR="00515D7B" w:rsidRDefault="00515D7B" w:rsidP="00515D7B">
      <w:pPr>
        <w:numPr>
          <w:ilvl w:val="1"/>
          <w:numId w:val="47"/>
        </w:numPr>
        <w:overflowPunct/>
        <w:autoSpaceDE/>
        <w:autoSpaceDN/>
        <w:adjustRightInd/>
        <w:spacing w:after="0"/>
        <w:jc w:val="left"/>
        <w:textAlignment w:val="auto"/>
        <w:rPr>
          <w:rFonts w:eastAsia="Yu Mincho"/>
          <w:iCs/>
          <w:lang w:val="en-US" w:eastAsia="ja-JP"/>
        </w:rPr>
      </w:pPr>
      <w:r>
        <w:rPr>
          <w:rFonts w:eastAsia="Yu Mincho"/>
          <w:iCs/>
          <w:lang w:val="en-US" w:eastAsia="ja-JP"/>
        </w:rPr>
        <w:t>Other options are not precluded.</w:t>
      </w:r>
    </w:p>
    <w:p w14:paraId="3CBE471E" w14:textId="77777777" w:rsidR="00C57818" w:rsidRPr="00515D7B" w:rsidRDefault="00C57818" w:rsidP="00C57818">
      <w:pPr>
        <w:overflowPunct/>
        <w:autoSpaceDE/>
        <w:autoSpaceDN/>
        <w:adjustRightInd/>
        <w:spacing w:after="0"/>
        <w:jc w:val="left"/>
        <w:textAlignment w:val="auto"/>
        <w:rPr>
          <w:rFonts w:eastAsia="MS Mincho"/>
          <w:lang w:val="en-US" w:eastAsia="ja-JP"/>
        </w:rPr>
      </w:pP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21988733" w14:textId="3EAF1850" w:rsidR="000C5C1D" w:rsidRPr="00515D7B" w:rsidRDefault="000C5C1D" w:rsidP="000C5C1D">
      <w:pPr>
        <w:rPr>
          <w:lang w:val="en-US"/>
        </w:rPr>
      </w:pPr>
      <w:bookmarkStart w:id="2" w:name="_Hlk489949347"/>
      <w:r>
        <w:rPr>
          <w:lang w:val="en-US"/>
        </w:rPr>
        <w:t xml:space="preserve">There are mainly two aspects to be discussed related to the frequency resource allocation that is how to determine the RBG size (and indexing/numbers of RBGs) for DL/UL RA type 0 and the </w:t>
      </w:r>
      <w:r>
        <w:rPr>
          <w:rFonts w:eastAsia="MS Mincho"/>
          <w:iCs/>
          <w:lang w:eastAsia="ja-JP"/>
        </w:rPr>
        <w:t xml:space="preserve">granularity for DL/UL RA type 1. There would be need to discuss the general indexing of PRBs although this is a general discussion also applicable for main other aspects than resource allocation. This we are discussing in general in the bandwidth parts discussions </w:t>
      </w:r>
      <w:r w:rsidR="00335A5E">
        <w:rPr>
          <w:rFonts w:eastAsia="MS Mincho"/>
          <w:iCs/>
          <w:highlight w:val="yellow"/>
          <w:lang w:eastAsia="ja-JP"/>
        </w:rPr>
        <w:fldChar w:fldCharType="begin"/>
      </w:r>
      <w:r w:rsidR="00335A5E">
        <w:rPr>
          <w:rFonts w:eastAsia="MS Mincho"/>
          <w:iCs/>
          <w:lang w:eastAsia="ja-JP"/>
        </w:rPr>
        <w:instrText xml:space="preserve"> REF _Ref490242550 \r \h </w:instrText>
      </w:r>
      <w:r w:rsidR="00335A5E">
        <w:rPr>
          <w:rFonts w:eastAsia="MS Mincho"/>
          <w:iCs/>
          <w:highlight w:val="yellow"/>
          <w:lang w:eastAsia="ja-JP"/>
        </w:rPr>
      </w:r>
      <w:r w:rsidR="00335A5E">
        <w:rPr>
          <w:rFonts w:eastAsia="MS Mincho"/>
          <w:iCs/>
          <w:highlight w:val="yellow"/>
          <w:lang w:eastAsia="ja-JP"/>
        </w:rPr>
        <w:fldChar w:fldCharType="separate"/>
      </w:r>
      <w:r w:rsidR="00335A5E">
        <w:rPr>
          <w:rFonts w:eastAsia="MS Mincho"/>
          <w:iCs/>
          <w:lang w:eastAsia="ja-JP"/>
        </w:rPr>
        <w:t>[2]</w:t>
      </w:r>
      <w:r w:rsidR="00335A5E">
        <w:rPr>
          <w:rFonts w:eastAsia="MS Mincho"/>
          <w:iCs/>
          <w:highlight w:val="yellow"/>
          <w:lang w:eastAsia="ja-JP"/>
        </w:rPr>
        <w:fldChar w:fldCharType="end"/>
      </w:r>
      <w:r>
        <w:rPr>
          <w:rFonts w:eastAsia="MS Mincho"/>
          <w:iCs/>
          <w:lang w:eastAsia="ja-JP"/>
        </w:rPr>
        <w:t>. Lastly there is also a need to discuss the applicable DCI formats for each resource allocation scheme in frequency, this should however be discussed when it is clear which DCI formats exist as</w:t>
      </w:r>
      <w:r w:rsidR="00C66B17">
        <w:rPr>
          <w:rFonts w:eastAsia="MS Mincho"/>
          <w:iCs/>
          <w:lang w:eastAsia="ja-JP"/>
        </w:rPr>
        <w:t xml:space="preserve"> such in a general discussion.</w:t>
      </w:r>
    </w:p>
    <w:p w14:paraId="6BA28E5C" w14:textId="61C859F0" w:rsidR="000C5C1D" w:rsidRDefault="00AB59A0" w:rsidP="00AB59A0">
      <w:pPr>
        <w:pStyle w:val="Heading2"/>
      </w:pPr>
      <w:r>
        <w:t>RBG size determination</w:t>
      </w:r>
    </w:p>
    <w:p w14:paraId="5E2F4798" w14:textId="3AC1280B" w:rsidR="00AB59A0" w:rsidRDefault="00AB59A0" w:rsidP="00AB59A0">
      <w:r>
        <w:t xml:space="preserve">On the last RAN1 meeting there was 5 different options outlined for the how to determine the RBG sizes. The options were further not limiting for new possibilities as well. Here we try to analyse the highlighted options at least. </w:t>
      </w:r>
    </w:p>
    <w:p w14:paraId="1F2A09DC" w14:textId="41B9D743" w:rsidR="00AB59A0" w:rsidRDefault="00AB59A0" w:rsidP="00AB59A0">
      <w:r>
        <w:t xml:space="preserve">Option 1: The size of the resource allocation is semi-statically configured. This means that the DCI format size does not change if the BW part that is scheduled is changed. Consequently, this could then save blind decodes if the UE is assumed to be using the same search space and exact resource elements when the scheduled BW part changes. This is typically the case if the UE is operating with a single BW part at a given time and the UE switches between a BW part that correspond to a smaller scheduled BW to a BW part with a larger scheduled BW. For this to be affective however the corresponding PDCCH needs to completely overlap between the two BW parts. This may not be the case in practise in many cases as with a larger BW comes also larger scheduling flexibilities and hence the corresponding location of PDCCH may change which would then result in that there is no purpose of having the same size of the DCI message between two different BW parts. Then having the size configurable by RRC will just lead to unnecessary </w:t>
      </w:r>
      <w:r w:rsidR="00656D02">
        <w:t>flexibility</w:t>
      </w:r>
      <w:r>
        <w:t xml:space="preserve"> in the operations of NR and a more complex system. </w:t>
      </w:r>
    </w:p>
    <w:p w14:paraId="674993FF" w14:textId="4E1555D1" w:rsidR="00AB59A0" w:rsidRPr="00AB59A0" w:rsidRDefault="00656D02" w:rsidP="00AB59A0">
      <w:r>
        <w:t xml:space="preserve">Option 2: </w:t>
      </w:r>
      <w:r w:rsidRPr="00656D02">
        <w:t>Semi-statically configured RBG size(s) per BWP for deriving number of RBGs</w:t>
      </w:r>
      <w:r>
        <w:t xml:space="preserve">. The background to option 2 is similar to option 1 and also suffers from the exact same problem and drawback and is hence not therefor preferred. </w:t>
      </w:r>
    </w:p>
    <w:p w14:paraId="0B053446" w14:textId="151D1274" w:rsidR="000C5C1D" w:rsidRDefault="00656D02" w:rsidP="000F0F1F">
      <w:pPr>
        <w:pStyle w:val="BodyText"/>
        <w:rPr>
          <w:rFonts w:eastAsia="Yu Mincho"/>
          <w:iCs/>
          <w:lang w:val="en-US" w:eastAsia="ja-JP"/>
        </w:rPr>
      </w:pPr>
      <w:r>
        <w:t xml:space="preserve">Option 3: </w:t>
      </w:r>
      <w:r>
        <w:rPr>
          <w:rFonts w:eastAsia="Yu Mincho"/>
          <w:iCs/>
          <w:lang w:val="en-US" w:eastAsia="ja-JP"/>
        </w:rPr>
        <w:t xml:space="preserve">DCI format/DCI format size (e.g. a compact DCI may be with a larger RBG size than a normal DCI). This is strongly linked to which DCI message the UE monitors and cannot only be the single option as it will not work. In that sense, it is not a complete proposal. Further an aspect to consider is that DL/UL RA type 1 was introduced to support a smaller DCI message size and should be the first option to consider for such DCI message. </w:t>
      </w:r>
    </w:p>
    <w:p w14:paraId="1759B174" w14:textId="1F434EB7" w:rsidR="00656D02" w:rsidRDefault="00656D02" w:rsidP="000F0F1F">
      <w:pPr>
        <w:pStyle w:val="BodyText"/>
        <w:rPr>
          <w:rFonts w:eastAsia="Yu Mincho"/>
          <w:iCs/>
          <w:lang w:val="en-US" w:eastAsia="ja-JP"/>
        </w:rPr>
      </w:pPr>
      <w:r>
        <w:rPr>
          <w:rFonts w:eastAsia="Yu Mincho"/>
          <w:iCs/>
          <w:lang w:val="en-US" w:eastAsia="ja-JP"/>
        </w:rPr>
        <w:t>Option 4: Transmission durations (e.g. a shorter-duration transmission may be with a larger RBG size than a longer one).</w:t>
      </w:r>
      <w:r w:rsidR="009B4124">
        <w:rPr>
          <w:rFonts w:eastAsia="Yu Mincho"/>
          <w:iCs/>
          <w:lang w:val="en-US" w:eastAsia="ja-JP"/>
        </w:rPr>
        <w:t xml:space="preserve"> Similar to option 3 this would in itself not be complete proposal as such </w:t>
      </w:r>
      <w:r w:rsidR="00AE4C84">
        <w:rPr>
          <w:rFonts w:eastAsia="Yu Mincho"/>
          <w:iCs/>
          <w:lang w:val="en-US" w:eastAsia="ja-JP"/>
        </w:rPr>
        <w:t>some</w:t>
      </w:r>
      <w:r w:rsidR="009B4124">
        <w:rPr>
          <w:rFonts w:eastAsia="Yu Mincho"/>
          <w:iCs/>
          <w:lang w:val="en-US" w:eastAsia="ja-JP"/>
        </w:rPr>
        <w:t xml:space="preserve"> other options would always be needed on top of this to get a working design in the end. </w:t>
      </w:r>
      <w:r w:rsidR="00AE4C84">
        <w:rPr>
          <w:rFonts w:eastAsia="Yu Mincho"/>
          <w:iCs/>
          <w:lang w:val="en-US" w:eastAsia="ja-JP"/>
        </w:rPr>
        <w:t>Before continuing down this road it would also be good to understand better how the design format design is done as such. It is further not clear either that there will be that many aspects that differs in the DCI format design for different allocation lengths of the PDSCH/PUSCH.</w:t>
      </w:r>
    </w:p>
    <w:p w14:paraId="742F97D2" w14:textId="037A2795" w:rsidR="00AE4C84" w:rsidRDefault="00AE4C84" w:rsidP="000F0F1F">
      <w:pPr>
        <w:pStyle w:val="BodyText"/>
        <w:rPr>
          <w:rFonts w:eastAsia="Yu Mincho"/>
          <w:iCs/>
          <w:lang w:val="en-US" w:eastAsia="ja-JP"/>
        </w:rPr>
      </w:pPr>
      <w:r>
        <w:rPr>
          <w:rFonts w:eastAsia="Yu Mincho"/>
          <w:iCs/>
          <w:lang w:val="en-US" w:eastAsia="ja-JP"/>
        </w:rPr>
        <w:t xml:space="preserve">Option 5: RBG size is determined depending on the size of the BWP. This is an extension of the how to determine the RBG size from LTE but just instead of doing it from the system bandwidth it is done from the bandwidth part directly. </w:t>
      </w:r>
    </w:p>
    <w:p w14:paraId="004D2798" w14:textId="590EB52E" w:rsidR="00AE4C84" w:rsidRPr="00AE4C84" w:rsidRDefault="00AE4C84" w:rsidP="000F0F1F">
      <w:pPr>
        <w:pStyle w:val="BodyText"/>
        <w:rPr>
          <w:rFonts w:eastAsia="Yu Mincho"/>
          <w:b/>
          <w:iCs/>
          <w:lang w:val="en-US" w:eastAsia="ja-JP"/>
        </w:rPr>
      </w:pPr>
      <w:r w:rsidRPr="00AE4C84">
        <w:rPr>
          <w:rFonts w:eastAsia="Yu Mincho"/>
          <w:b/>
          <w:iCs/>
          <w:lang w:val="en-US" w:eastAsia="ja-JP"/>
        </w:rPr>
        <w:t>Proposal</w:t>
      </w:r>
    </w:p>
    <w:p w14:paraId="24498865" w14:textId="5B372236" w:rsidR="00AE4C84" w:rsidRPr="00AE4C84" w:rsidRDefault="00AE4C84" w:rsidP="00AE4C84">
      <w:pPr>
        <w:pStyle w:val="BodyText"/>
        <w:numPr>
          <w:ilvl w:val="0"/>
          <w:numId w:val="48"/>
        </w:numPr>
        <w:rPr>
          <w:i/>
        </w:rPr>
      </w:pPr>
      <w:r w:rsidRPr="00AE4C84">
        <w:rPr>
          <w:rFonts w:eastAsia="Yu Mincho"/>
          <w:i/>
          <w:iCs/>
          <w:lang w:val="en-US" w:eastAsia="ja-JP"/>
        </w:rPr>
        <w:t>RBG size is determined depending on the size of the BWP for DL/UL RA type 0.</w:t>
      </w:r>
    </w:p>
    <w:p w14:paraId="309B2332" w14:textId="0CA692EC" w:rsidR="00AE4C84" w:rsidRDefault="00AE4C84" w:rsidP="00AE4C84">
      <w:pPr>
        <w:pStyle w:val="Heading2"/>
        <w:rPr>
          <w:rFonts w:eastAsia="MS Mincho"/>
          <w:lang w:eastAsia="ja-JP"/>
        </w:rPr>
      </w:pPr>
      <w:r>
        <w:rPr>
          <w:rFonts w:eastAsia="MS Mincho"/>
          <w:szCs w:val="20"/>
          <w:lang w:eastAsia="ja-JP"/>
        </w:rPr>
        <w:lastRenderedPageBreak/>
        <w:t>Granularity</w:t>
      </w:r>
      <w:r>
        <w:rPr>
          <w:rFonts w:eastAsia="MS Mincho"/>
          <w:lang w:eastAsia="ja-JP"/>
        </w:rPr>
        <w:t xml:space="preserve"> for DL/UL RA type 1</w:t>
      </w:r>
    </w:p>
    <w:p w14:paraId="6D5F1763" w14:textId="7E262CD1" w:rsidR="00AE4C84" w:rsidRDefault="00AE4C84" w:rsidP="00AE4C84">
      <w:pPr>
        <w:rPr>
          <w:lang w:eastAsia="ja-JP"/>
        </w:rPr>
      </w:pPr>
      <w:r>
        <w:rPr>
          <w:lang w:eastAsia="ja-JP"/>
        </w:rPr>
        <w:t>The second aspect to discuss was further if the granularity for the DL/UL RA type 1 should be something different 1 PRB. This question can for now be left open until the it is clear what the DCI format message size is exactly and if the size needs to be decreased this is one option to proceed on as way to achieve a more compact DCI message.</w:t>
      </w:r>
    </w:p>
    <w:p w14:paraId="19925A92" w14:textId="01A01103" w:rsidR="00AE4C84" w:rsidRPr="008F7CEB" w:rsidRDefault="00AE4C84" w:rsidP="00AE4C84">
      <w:pPr>
        <w:rPr>
          <w:b/>
          <w:lang w:eastAsia="ja-JP"/>
        </w:rPr>
      </w:pPr>
      <w:r w:rsidRPr="008F7CEB">
        <w:rPr>
          <w:b/>
          <w:lang w:eastAsia="ja-JP"/>
        </w:rPr>
        <w:t>Proposal</w:t>
      </w:r>
    </w:p>
    <w:p w14:paraId="74B946C0" w14:textId="072E0578" w:rsidR="00AE4C84" w:rsidRDefault="00AE4C84" w:rsidP="00AE4C84">
      <w:pPr>
        <w:pStyle w:val="ListParagraph"/>
        <w:numPr>
          <w:ilvl w:val="0"/>
          <w:numId w:val="48"/>
        </w:numPr>
        <w:rPr>
          <w:rFonts w:ascii="Arial" w:eastAsia="Yu Mincho" w:hAnsi="Arial"/>
          <w:i/>
          <w:iCs/>
          <w:sz w:val="20"/>
          <w:szCs w:val="20"/>
          <w:lang w:eastAsia="ja-JP"/>
        </w:rPr>
      </w:pPr>
      <w:r w:rsidRPr="008F7CEB">
        <w:rPr>
          <w:rFonts w:ascii="Arial" w:eastAsia="Yu Mincho" w:hAnsi="Arial"/>
          <w:i/>
          <w:iCs/>
          <w:sz w:val="20"/>
          <w:szCs w:val="20"/>
          <w:lang w:eastAsia="ja-JP"/>
        </w:rPr>
        <w:t xml:space="preserve">Await the DCI format design before agreeing to </w:t>
      </w:r>
      <w:r w:rsidR="008F7CEB" w:rsidRPr="008F7CEB">
        <w:rPr>
          <w:rFonts w:ascii="Arial" w:eastAsia="Yu Mincho" w:hAnsi="Arial"/>
          <w:i/>
          <w:iCs/>
          <w:sz w:val="20"/>
          <w:szCs w:val="20"/>
          <w:lang w:eastAsia="ja-JP"/>
        </w:rPr>
        <w:t>granularity of the DL/UL RA type 1 that is different than 1 PRB.</w:t>
      </w:r>
    </w:p>
    <w:p w14:paraId="0B948744" w14:textId="206DBC27" w:rsidR="002D62F6" w:rsidRDefault="002D62F6" w:rsidP="002D62F6">
      <w:pPr>
        <w:pStyle w:val="Heading2"/>
        <w:rPr>
          <w:rFonts w:eastAsia="Yu Mincho"/>
          <w:lang w:eastAsia="ja-JP"/>
        </w:rPr>
      </w:pPr>
      <w:r>
        <w:rPr>
          <w:rFonts w:eastAsia="Yu Mincho"/>
          <w:lang w:eastAsia="ja-JP"/>
        </w:rPr>
        <w:t>PRB indexing</w:t>
      </w:r>
    </w:p>
    <w:p w14:paraId="2CD7ED99" w14:textId="2C6B25C5" w:rsidR="00C66B17" w:rsidRDefault="00D300A8" w:rsidP="00C66B17">
      <w:pPr>
        <w:rPr>
          <w:rFonts w:eastAsia="Yu Mincho"/>
          <w:lang w:eastAsia="ja-JP"/>
        </w:rPr>
      </w:pPr>
      <w:r>
        <w:rPr>
          <w:rFonts w:eastAsia="Yu Mincho"/>
          <w:lang w:eastAsia="ja-JP"/>
        </w:rPr>
        <w:t>To generate RS sequences supporting different BW parts that may overlap that are still the same sequence for the same RE in both UL and DL is most easily achieved with that when the UE configured with the applicable BW part it further becomes configured with an offset for the RS generation. This offset need to be RS specific based on the amount of RE each RS generates per PRB. It should further apply both for RSs in the UL and DL.</w:t>
      </w:r>
    </w:p>
    <w:p w14:paraId="2594CBB0" w14:textId="1F1566DF" w:rsidR="00876108" w:rsidRDefault="00876108" w:rsidP="00876108">
      <w:pPr>
        <w:jc w:val="center"/>
        <w:rPr>
          <w:rFonts w:eastAsia="Yu Mincho"/>
          <w:lang w:eastAsia="ja-JP"/>
        </w:rPr>
      </w:pPr>
      <w:r>
        <w:rPr>
          <w:noProof/>
          <w:lang w:val="sv-SE" w:eastAsia="sv-SE"/>
        </w:rPr>
        <w:drawing>
          <wp:inline distT="0" distB="0" distL="0" distR="0" wp14:anchorId="3398DA3C" wp14:editId="4CC43AED">
            <wp:extent cx="2914650" cy="1704975"/>
            <wp:effectExtent l="0" t="0" r="0" b="0"/>
            <wp:docPr id="1" name="Picture 1" descr="cid:image002.png@01D31216.3B05C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1216.3B05C2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14650" cy="1704975"/>
                    </a:xfrm>
                    <a:prstGeom prst="rect">
                      <a:avLst/>
                    </a:prstGeom>
                    <a:noFill/>
                    <a:ln>
                      <a:noFill/>
                    </a:ln>
                  </pic:spPr>
                </pic:pic>
              </a:graphicData>
            </a:graphic>
          </wp:inline>
        </w:drawing>
      </w:r>
    </w:p>
    <w:p w14:paraId="2E6697BA" w14:textId="1504DDA5" w:rsidR="00876108" w:rsidRPr="00876108" w:rsidRDefault="00876108" w:rsidP="00876108">
      <w:pPr>
        <w:pStyle w:val="Caption"/>
      </w:pPr>
      <w:r>
        <w:t xml:space="preserve">Figure </w:t>
      </w:r>
      <w:r>
        <w:fldChar w:fldCharType="begin"/>
      </w:r>
      <w:r>
        <w:instrText xml:space="preserve"> SEQ Figure \* ARABIC </w:instrText>
      </w:r>
      <w:r>
        <w:fldChar w:fldCharType="separate"/>
      </w:r>
      <w:r>
        <w:rPr>
          <w:noProof/>
        </w:rPr>
        <w:t>1</w:t>
      </w:r>
      <w:r>
        <w:fldChar w:fldCharType="end"/>
      </w:r>
      <w:r>
        <w:t>: Example of the above based on DMRS</w:t>
      </w:r>
    </w:p>
    <w:p w14:paraId="0828DBC7" w14:textId="66F56E0A" w:rsidR="00D300A8" w:rsidRDefault="00D300A8" w:rsidP="00C66B17">
      <w:pPr>
        <w:rPr>
          <w:rFonts w:eastAsia="Yu Mincho"/>
          <w:b/>
          <w:lang w:eastAsia="ja-JP"/>
        </w:rPr>
      </w:pPr>
      <w:r w:rsidRPr="00D300A8">
        <w:rPr>
          <w:rFonts w:eastAsia="Yu Mincho"/>
          <w:b/>
          <w:lang w:eastAsia="ja-JP"/>
        </w:rPr>
        <w:t>Proposal</w:t>
      </w:r>
    </w:p>
    <w:p w14:paraId="708B6340" w14:textId="3B2D66FB" w:rsidR="00D300A8" w:rsidRPr="00D300A8" w:rsidRDefault="00D300A8" w:rsidP="00D300A8">
      <w:pPr>
        <w:pStyle w:val="ListParagraph"/>
        <w:numPr>
          <w:ilvl w:val="0"/>
          <w:numId w:val="48"/>
        </w:numPr>
        <w:rPr>
          <w:rFonts w:eastAsia="Yu Mincho"/>
          <w:b/>
          <w:lang w:eastAsia="ja-JP"/>
        </w:rPr>
      </w:pPr>
      <w:r>
        <w:rPr>
          <w:rFonts w:eastAsia="Yu Mincho"/>
          <w:lang w:eastAsia="ja-JP"/>
        </w:rPr>
        <w:t>For each RS (UL and DL) and BW part the UE is configured with an offset that is applied in the RS generation. The offset should be sufficiently large to be able to handle large difference between BW parts and potential reception/transmission BWs at/from the gNB.</w:t>
      </w:r>
    </w:p>
    <w:bookmarkEnd w:id="2"/>
    <w:p w14:paraId="2C1B6BD4" w14:textId="77777777" w:rsidR="00C01F33" w:rsidRPr="007B78FE" w:rsidRDefault="00C01F33" w:rsidP="00CE0424">
      <w:pPr>
        <w:pStyle w:val="Heading1"/>
        <w:rPr>
          <w:lang w:val="en-US"/>
        </w:rPr>
      </w:pPr>
      <w:r w:rsidRPr="007B78FE">
        <w:rPr>
          <w:lang w:val="en-US"/>
        </w:rPr>
        <w:t>Conclusion</w:t>
      </w:r>
    </w:p>
    <w:p w14:paraId="0E95D80F" w14:textId="08407EC4" w:rsidR="001154BD" w:rsidRDefault="008F47B9" w:rsidP="008E065E">
      <w:pPr>
        <w:rPr>
          <w:bCs/>
          <w:lang w:val="en-US"/>
        </w:rPr>
      </w:pPr>
      <w:r>
        <w:rPr>
          <w:bCs/>
          <w:lang w:val="en-US"/>
        </w:rPr>
        <w:t xml:space="preserve">In this contribution, we discuss resource allocation in frequency domain and propose the following: </w:t>
      </w:r>
    </w:p>
    <w:p w14:paraId="2E273E35" w14:textId="77777777" w:rsidR="008F7CEB" w:rsidRPr="00AE4C84" w:rsidRDefault="008F7CEB" w:rsidP="008F7CEB">
      <w:pPr>
        <w:pStyle w:val="BodyText"/>
        <w:numPr>
          <w:ilvl w:val="0"/>
          <w:numId w:val="48"/>
        </w:numPr>
        <w:rPr>
          <w:i/>
        </w:rPr>
      </w:pPr>
      <w:r w:rsidRPr="00AE4C84">
        <w:rPr>
          <w:rFonts w:eastAsia="Yu Mincho"/>
          <w:i/>
          <w:iCs/>
          <w:lang w:val="en-US" w:eastAsia="ja-JP"/>
        </w:rPr>
        <w:t>RBG size is determined depending on the size of the BWP for DL/UL RA type 0.</w:t>
      </w:r>
    </w:p>
    <w:p w14:paraId="65713834" w14:textId="1D115DA6" w:rsidR="008F7CEB" w:rsidRDefault="008F7CEB" w:rsidP="008F7CEB">
      <w:pPr>
        <w:pStyle w:val="ListParagraph"/>
        <w:numPr>
          <w:ilvl w:val="0"/>
          <w:numId w:val="48"/>
        </w:numPr>
        <w:rPr>
          <w:rFonts w:ascii="Arial" w:eastAsia="Yu Mincho" w:hAnsi="Arial"/>
          <w:i/>
          <w:iCs/>
          <w:sz w:val="20"/>
          <w:szCs w:val="20"/>
          <w:lang w:eastAsia="ja-JP"/>
        </w:rPr>
      </w:pPr>
      <w:r w:rsidRPr="008F7CEB">
        <w:rPr>
          <w:rFonts w:ascii="Arial" w:eastAsia="Yu Mincho" w:hAnsi="Arial"/>
          <w:i/>
          <w:iCs/>
          <w:sz w:val="20"/>
          <w:szCs w:val="20"/>
          <w:lang w:eastAsia="ja-JP"/>
        </w:rPr>
        <w:t>Await the DCI format design before agreeing to granularity of the DL/UL RA type 1 that is different than 1 PRB.</w:t>
      </w:r>
    </w:p>
    <w:p w14:paraId="3E427A4D" w14:textId="7995F5FD" w:rsidR="00D300A8" w:rsidRPr="00D300A8" w:rsidRDefault="00D300A8" w:rsidP="00D300A8">
      <w:pPr>
        <w:pStyle w:val="ListParagraph"/>
        <w:numPr>
          <w:ilvl w:val="0"/>
          <w:numId w:val="48"/>
        </w:numPr>
        <w:rPr>
          <w:rFonts w:eastAsia="Yu Mincho"/>
          <w:b/>
          <w:i/>
          <w:lang w:eastAsia="ja-JP"/>
        </w:rPr>
      </w:pPr>
      <w:r w:rsidRPr="00D300A8">
        <w:rPr>
          <w:rFonts w:eastAsia="Yu Mincho"/>
          <w:i/>
          <w:lang w:eastAsia="ja-JP"/>
        </w:rPr>
        <w:t>For each RS (UL and DL) and BW part the UE is configured with an offset that is applied in the RS generation. The offset should be sufficiently large to be able to handle large difference between BW parts and potential reception/transmission BWs at/from the gNB.</w:t>
      </w:r>
    </w:p>
    <w:p w14:paraId="57B73A36" w14:textId="77777777" w:rsidR="00F507D1" w:rsidRPr="007B78FE" w:rsidRDefault="00F507D1" w:rsidP="00CE0424">
      <w:pPr>
        <w:pStyle w:val="Heading1"/>
        <w:rPr>
          <w:lang w:val="en-US"/>
        </w:rPr>
      </w:pPr>
      <w:bookmarkStart w:id="3" w:name="_In-sequence_SDU_delivery"/>
      <w:bookmarkEnd w:id="3"/>
      <w:r w:rsidRPr="007B78FE">
        <w:rPr>
          <w:lang w:val="en-US"/>
        </w:rPr>
        <w:t>References</w:t>
      </w:r>
    </w:p>
    <w:p w14:paraId="3618435D" w14:textId="31A3101B" w:rsidR="00221CBF" w:rsidRDefault="00221CBF" w:rsidP="00221CBF">
      <w:pPr>
        <w:pStyle w:val="Reference"/>
        <w:rPr>
          <w:lang w:val="en-US"/>
        </w:rPr>
      </w:pPr>
      <w:bookmarkStart w:id="4" w:name="_Ref473934775"/>
      <w:bookmarkStart w:id="5" w:name="_Ref481744756"/>
      <w:bookmarkStart w:id="6" w:name="_Ref174151459"/>
      <w:bookmarkStart w:id="7" w:name="_Ref189809556"/>
      <w:r w:rsidRPr="007B78FE">
        <w:rPr>
          <w:lang w:val="en-US"/>
        </w:rPr>
        <w:t xml:space="preserve">Chairman’s Notes, 3GPP TSG RAN WG1 </w:t>
      </w:r>
      <w:r w:rsidR="008F7CEB">
        <w:rPr>
          <w:lang w:val="en-US"/>
        </w:rPr>
        <w:t>NR Adhoc #2</w:t>
      </w:r>
      <w:bookmarkEnd w:id="4"/>
      <w:bookmarkEnd w:id="5"/>
      <w:r w:rsidRPr="007B78FE">
        <w:rPr>
          <w:lang w:val="en-US"/>
        </w:rPr>
        <w:t xml:space="preserve"> </w:t>
      </w:r>
      <w:bookmarkEnd w:id="6"/>
      <w:bookmarkEnd w:id="7"/>
    </w:p>
    <w:p w14:paraId="57ADBB91" w14:textId="0F916E61" w:rsidR="00335A5E" w:rsidRDefault="00335A5E" w:rsidP="00335A5E">
      <w:pPr>
        <w:pStyle w:val="Reference"/>
        <w:rPr>
          <w:lang w:val="en-US"/>
        </w:rPr>
      </w:pPr>
      <w:bookmarkStart w:id="8" w:name="_Ref490242550"/>
      <w:r w:rsidRPr="00335A5E">
        <w:rPr>
          <w:lang w:val="en-US"/>
        </w:rPr>
        <w:t>R1-1712953</w:t>
      </w:r>
      <w:r w:rsidRPr="00335A5E">
        <w:rPr>
          <w:lang w:val="en-US"/>
        </w:rPr>
        <w:tab/>
        <w:t>On bandwidth parts</w:t>
      </w:r>
      <w:r w:rsidRPr="00335A5E">
        <w:rPr>
          <w:lang w:val="en-US"/>
        </w:rPr>
        <w:tab/>
      </w:r>
      <w:r>
        <w:rPr>
          <w:lang w:val="en-US"/>
        </w:rPr>
        <w:t>Ericsson</w:t>
      </w:r>
      <w:bookmarkEnd w:id="8"/>
    </w:p>
    <w:sectPr w:rsidR="00335A5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8AA3A" w14:textId="77777777" w:rsidR="00A35B06" w:rsidRDefault="00A35B06">
      <w:r>
        <w:separator/>
      </w:r>
    </w:p>
  </w:endnote>
  <w:endnote w:type="continuationSeparator" w:id="0">
    <w:p w14:paraId="0949BEBF" w14:textId="77777777" w:rsidR="00A35B06" w:rsidRDefault="00A3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ADCA1" w14:textId="77777777" w:rsidR="003C2620" w:rsidRDefault="003C2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5049EEC" w:rsidR="00920BF2" w:rsidRPr="003C2620" w:rsidRDefault="00920BF2" w:rsidP="003C2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6AB41" w14:textId="77777777" w:rsidR="003C2620" w:rsidRDefault="003C2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BC9C4" w14:textId="77777777" w:rsidR="00A35B06" w:rsidRDefault="00A35B06">
      <w:r>
        <w:separator/>
      </w:r>
    </w:p>
  </w:footnote>
  <w:footnote w:type="continuationSeparator" w:id="0">
    <w:p w14:paraId="3BB6BD69" w14:textId="77777777" w:rsidR="00A35B06" w:rsidRDefault="00A35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D51BA6B" w:rsidR="00920BF2" w:rsidRPr="003C2620" w:rsidRDefault="00920BF2" w:rsidP="003C2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E27A4" w14:textId="77777777" w:rsidR="003C2620" w:rsidRDefault="003C2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35DF3" w14:textId="77777777" w:rsidR="003C2620" w:rsidRDefault="003C2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2"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82620C"/>
    <w:multiLevelType w:val="hybridMultilevel"/>
    <w:tmpl w:val="8EE45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19"/>
  </w:num>
  <w:num w:numId="4">
    <w:abstractNumId w:val="20"/>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3"/>
  </w:num>
  <w:num w:numId="19">
    <w:abstractNumId w:val="9"/>
  </w:num>
  <w:num w:numId="20">
    <w:abstractNumId w:val="15"/>
  </w:num>
  <w:num w:numId="21">
    <w:abstractNumId w:val="42"/>
  </w:num>
  <w:num w:numId="22">
    <w:abstractNumId w:val="11"/>
  </w:num>
  <w:num w:numId="23">
    <w:abstractNumId w:val="5"/>
  </w:num>
  <w:num w:numId="24">
    <w:abstractNumId w:val="21"/>
  </w:num>
  <w:num w:numId="25">
    <w:abstractNumId w:val="34"/>
  </w:num>
  <w:num w:numId="26">
    <w:abstractNumId w:val="37"/>
  </w:num>
  <w:num w:numId="27">
    <w:abstractNumId w:val="24"/>
  </w:num>
  <w:num w:numId="28">
    <w:abstractNumId w:val="14"/>
  </w:num>
  <w:num w:numId="29">
    <w:abstractNumId w:val="39"/>
  </w:num>
  <w:num w:numId="3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5"/>
  </w:num>
  <w:num w:numId="33">
    <w:abstractNumId w:val="46"/>
  </w:num>
  <w:num w:numId="34">
    <w:abstractNumId w:val="27"/>
  </w:num>
  <w:num w:numId="35">
    <w:abstractNumId w:val="10"/>
  </w:num>
  <w:num w:numId="36">
    <w:abstractNumId w:val="8"/>
  </w:num>
  <w:num w:numId="37">
    <w:abstractNumId w:val="45"/>
  </w:num>
  <w:num w:numId="38">
    <w:abstractNumId w:val="26"/>
  </w:num>
  <w:num w:numId="39">
    <w:abstractNumId w:val="6"/>
  </w:num>
  <w:num w:numId="40">
    <w:abstractNumId w:val="33"/>
  </w:num>
  <w:num w:numId="41">
    <w:abstractNumId w:val="29"/>
  </w:num>
  <w:num w:numId="42">
    <w:abstractNumId w:val="36"/>
  </w:num>
  <w:num w:numId="43">
    <w:abstractNumId w:val="43"/>
  </w:num>
  <w:num w:numId="44">
    <w:abstractNumId w:val="12"/>
  </w:num>
  <w:num w:numId="45">
    <w:abstractNumId w:val="23"/>
  </w:num>
  <w:num w:numId="46">
    <w:abstractNumId w:val="31"/>
  </w:num>
  <w:num w:numId="47">
    <w:abstractNumId w:val="22"/>
  </w:num>
  <w:num w:numId="48">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C5C1D"/>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4534"/>
    <w:rsid w:val="00186D76"/>
    <w:rsid w:val="00190AC1"/>
    <w:rsid w:val="0019341A"/>
    <w:rsid w:val="00197DF9"/>
    <w:rsid w:val="001A1987"/>
    <w:rsid w:val="001A2564"/>
    <w:rsid w:val="001A6173"/>
    <w:rsid w:val="001A6787"/>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3635"/>
    <w:rsid w:val="002C41E6"/>
    <w:rsid w:val="002C5BA4"/>
    <w:rsid w:val="002D071A"/>
    <w:rsid w:val="002D34B2"/>
    <w:rsid w:val="002D62F6"/>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5A5E"/>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160F"/>
    <w:rsid w:val="003B369F"/>
    <w:rsid w:val="003B36A3"/>
    <w:rsid w:val="003B4118"/>
    <w:rsid w:val="003B7FE5"/>
    <w:rsid w:val="003C11C8"/>
    <w:rsid w:val="003C2620"/>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32DF"/>
    <w:rsid w:val="004964F1"/>
    <w:rsid w:val="004A16BC"/>
    <w:rsid w:val="004A2B94"/>
    <w:rsid w:val="004B7C0C"/>
    <w:rsid w:val="004C3898"/>
    <w:rsid w:val="004D1BCA"/>
    <w:rsid w:val="004D36B1"/>
    <w:rsid w:val="004D7EBD"/>
    <w:rsid w:val="004E1A71"/>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15D7B"/>
    <w:rsid w:val="005219CF"/>
    <w:rsid w:val="00527875"/>
    <w:rsid w:val="00534B59"/>
    <w:rsid w:val="00536759"/>
    <w:rsid w:val="00537C62"/>
    <w:rsid w:val="00546970"/>
    <w:rsid w:val="00547DF0"/>
    <w:rsid w:val="00547F4D"/>
    <w:rsid w:val="00550011"/>
    <w:rsid w:val="00550419"/>
    <w:rsid w:val="00554E19"/>
    <w:rsid w:val="0056121F"/>
    <w:rsid w:val="00572505"/>
    <w:rsid w:val="0057715B"/>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0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108"/>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8F7CEB"/>
    <w:rsid w:val="00902350"/>
    <w:rsid w:val="0090336B"/>
    <w:rsid w:val="009053AA"/>
    <w:rsid w:val="00906939"/>
    <w:rsid w:val="00910B7D"/>
    <w:rsid w:val="00911DFB"/>
    <w:rsid w:val="009139D9"/>
    <w:rsid w:val="00914AD8"/>
    <w:rsid w:val="00916079"/>
    <w:rsid w:val="00917CE9"/>
    <w:rsid w:val="00920BF2"/>
    <w:rsid w:val="00922010"/>
    <w:rsid w:val="00930AF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124"/>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B06"/>
    <w:rsid w:val="00A35FFA"/>
    <w:rsid w:val="00A36297"/>
    <w:rsid w:val="00A41E2B"/>
    <w:rsid w:val="00A45B74"/>
    <w:rsid w:val="00A46D61"/>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59A0"/>
    <w:rsid w:val="00AB655E"/>
    <w:rsid w:val="00AC007F"/>
    <w:rsid w:val="00AC2ECD"/>
    <w:rsid w:val="00AC3119"/>
    <w:rsid w:val="00AC49FB"/>
    <w:rsid w:val="00AC5A10"/>
    <w:rsid w:val="00AD0AA3"/>
    <w:rsid w:val="00AD1815"/>
    <w:rsid w:val="00AD3F94"/>
    <w:rsid w:val="00AD4A5A"/>
    <w:rsid w:val="00AE27AC"/>
    <w:rsid w:val="00AE2834"/>
    <w:rsid w:val="00AE40E0"/>
    <w:rsid w:val="00AE4C84"/>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66B17"/>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27EEE"/>
    <w:rsid w:val="00D300A8"/>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402A"/>
    <w:rsid w:val="00DE5608"/>
    <w:rsid w:val="00DE58D0"/>
    <w:rsid w:val="00DE654F"/>
    <w:rsid w:val="00DF0B6E"/>
    <w:rsid w:val="00DF15E0"/>
    <w:rsid w:val="00DF37A0"/>
    <w:rsid w:val="00DF71A0"/>
    <w:rsid w:val="00DF7ECA"/>
    <w:rsid w:val="00E110E7"/>
    <w:rsid w:val="00E11B20"/>
    <w:rsid w:val="00E12CD2"/>
    <w:rsid w:val="00E14D9A"/>
    <w:rsid w:val="00E17FA2"/>
    <w:rsid w:val="00E22330"/>
    <w:rsid w:val="00E30B5A"/>
    <w:rsid w:val="00E3123D"/>
    <w:rsid w:val="00E31461"/>
    <w:rsid w:val="00E31D43"/>
    <w:rsid w:val="00E32608"/>
    <w:rsid w:val="00E34188"/>
    <w:rsid w:val="00E34B6E"/>
    <w:rsid w:val="00E35559"/>
    <w:rsid w:val="00E3723A"/>
    <w:rsid w:val="00E37860"/>
    <w:rsid w:val="00E43531"/>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0934"/>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323699723">
      <w:bodyDiv w:val="1"/>
      <w:marLeft w:val="0"/>
      <w:marRight w:val="0"/>
      <w:marTop w:val="0"/>
      <w:marBottom w:val="0"/>
      <w:divBdr>
        <w:top w:val="none" w:sz="0" w:space="0" w:color="auto"/>
        <w:left w:val="none" w:sz="0" w:space="0" w:color="auto"/>
        <w:bottom w:val="none" w:sz="0" w:space="0" w:color="auto"/>
        <w:right w:val="none" w:sz="0" w:space="0" w:color="auto"/>
      </w:divBdr>
    </w:div>
    <w:div w:id="1488128711">
      <w:bodyDiv w:val="1"/>
      <w:marLeft w:val="0"/>
      <w:marRight w:val="0"/>
      <w:marTop w:val="0"/>
      <w:marBottom w:val="0"/>
      <w:divBdr>
        <w:top w:val="none" w:sz="0" w:space="0" w:color="auto"/>
        <w:left w:val="none" w:sz="0" w:space="0" w:color="auto"/>
        <w:bottom w:val="none" w:sz="0" w:space="0" w:color="auto"/>
        <w:right w:val="none" w:sz="0" w:space="0" w:color="auto"/>
      </w:divBdr>
    </w:div>
    <w:div w:id="1760441153">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31216.3B05C25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5622-BACB-42BD-9AC6-161E34D9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1311</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2017-08-12T01:52:00Z</dcterms:created>
  <dcterms:modified xsi:type="dcterms:W3CDTF">2017-08-12T01:52:00Z</dcterms:modified>
</cp:coreProperties>
</file>