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F38EB" w14:textId="5C3D577B" w:rsidR="00C95C19" w:rsidRPr="0061125D" w:rsidRDefault="00C95C19" w:rsidP="00C95C19">
      <w:pPr>
        <w:pStyle w:val="a7"/>
        <w:rPr>
          <w:rFonts w:eastAsia="SimSun"/>
          <w:sz w:val="24"/>
          <w:lang w:val="en-US" w:eastAsia="zh-CN"/>
        </w:rPr>
      </w:pPr>
      <w:bookmarkStart w:id="0" w:name="OLE_LINK3"/>
      <w:r>
        <w:rPr>
          <w:sz w:val="24"/>
          <w:lang w:val="en-US"/>
        </w:rPr>
        <w:t>3GPP TSG RAN WG1</w:t>
      </w:r>
      <w:r w:rsidR="0057120B">
        <w:rPr>
          <w:rFonts w:hint="eastAsia"/>
          <w:sz w:val="24"/>
          <w:lang w:val="en-US" w:eastAsia="ja-JP"/>
        </w:rPr>
        <w:t xml:space="preserve"> M</w:t>
      </w:r>
      <w:r w:rsidR="0057120B">
        <w:rPr>
          <w:sz w:val="24"/>
          <w:lang w:val="en-US" w:eastAsia="ja-JP"/>
        </w:rPr>
        <w:t>eeting</w:t>
      </w:r>
      <w:r>
        <w:rPr>
          <w:sz w:val="24"/>
          <w:lang w:val="en-US"/>
        </w:rPr>
        <w:t xml:space="preserve"> </w:t>
      </w:r>
      <w:r w:rsidR="007166AB">
        <w:rPr>
          <w:sz w:val="24"/>
          <w:lang w:val="en-US" w:eastAsia="ja-JP"/>
        </w:rPr>
        <w:t>#90</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57120B">
        <w:rPr>
          <w:sz w:val="24"/>
          <w:lang w:val="en-US"/>
        </w:rPr>
        <w:t>13960</w:t>
      </w:r>
    </w:p>
    <w:p w14:paraId="097926AE" w14:textId="6822329A" w:rsidR="002123E7" w:rsidRDefault="0084625E" w:rsidP="002123E7">
      <w:pPr>
        <w:pStyle w:val="a7"/>
        <w:rPr>
          <w:rFonts w:cs="Arial"/>
          <w:bCs/>
          <w:sz w:val="24"/>
          <w:szCs w:val="24"/>
        </w:rPr>
      </w:pPr>
      <w:r w:rsidRPr="0084625E">
        <w:rPr>
          <w:rFonts w:cs="Arial"/>
          <w:bCs/>
          <w:sz w:val="24"/>
          <w:szCs w:val="24"/>
        </w:rPr>
        <w:t>Prague, Czechia, 21th – 25th August 2017</w:t>
      </w:r>
    </w:p>
    <w:p w14:paraId="02FC2EDB" w14:textId="77777777" w:rsidR="0084625E" w:rsidRPr="0084625E" w:rsidRDefault="0084625E"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88B6A95"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657291">
        <w:rPr>
          <w:rFonts w:hint="eastAsia"/>
          <w:sz w:val="24"/>
          <w:lang w:val="en-US" w:eastAsia="ja-JP"/>
        </w:rPr>
        <w:t>Pre-emption indication for downlink</w:t>
      </w:r>
    </w:p>
    <w:bookmarkEnd w:id="1"/>
    <w:bookmarkEnd w:id="2"/>
    <w:bookmarkEnd w:id="3"/>
    <w:bookmarkEnd w:id="4"/>
    <w:p w14:paraId="02FF14B3" w14:textId="409D4BA0"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7166AB">
        <w:rPr>
          <w:sz w:val="24"/>
          <w:lang w:val="en-US" w:eastAsia="ja-JP"/>
        </w:rPr>
        <w:t>6</w:t>
      </w:r>
      <w:r w:rsidR="00866245">
        <w:rPr>
          <w:sz w:val="24"/>
          <w:lang w:val="en-US" w:eastAsia="ja-JP"/>
        </w:rPr>
        <w:t>.1.3.</w:t>
      </w:r>
      <w:r w:rsidR="00887D3C">
        <w:rPr>
          <w:sz w:val="24"/>
          <w:lang w:val="en-US" w:eastAsia="ja-JP"/>
        </w:rPr>
        <w:t>3.</w:t>
      </w:r>
      <w:r w:rsidR="00657291">
        <w:rPr>
          <w:sz w:val="24"/>
          <w:lang w:val="en-US" w:eastAsia="ja-JP"/>
        </w:rPr>
        <w:t>7.1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A65BF3">
      <w:pPr>
        <w:pStyle w:val="1"/>
        <w:numPr>
          <w:ilvl w:val="0"/>
          <w:numId w:val="5"/>
        </w:numPr>
        <w:spacing w:after="120"/>
        <w:jc w:val="both"/>
        <w:rPr>
          <w:b/>
          <w:lang w:val="en-US"/>
        </w:rPr>
      </w:pPr>
      <w:r w:rsidRPr="007B3BA0">
        <w:rPr>
          <w:rFonts w:hint="eastAsia"/>
          <w:b/>
          <w:lang w:val="en-US"/>
        </w:rPr>
        <w:t>Introduction</w:t>
      </w:r>
    </w:p>
    <w:p w14:paraId="29AC0BA4" w14:textId="4E605C9A" w:rsidR="00657291" w:rsidRDefault="007166AB" w:rsidP="00AB28A6">
      <w:pPr>
        <w:spacing w:afterLines="50" w:after="120"/>
        <w:jc w:val="both"/>
        <w:rPr>
          <w:rFonts w:eastAsia="ＭＳ 明朝"/>
          <w:sz w:val="22"/>
          <w:lang w:val="en-US"/>
        </w:rPr>
      </w:pPr>
      <w:r>
        <w:rPr>
          <w:rFonts w:eastAsia="ＭＳ 明朝" w:hint="eastAsia"/>
          <w:sz w:val="22"/>
          <w:lang w:val="en-US"/>
        </w:rPr>
        <w:t xml:space="preserve">In the previous </w:t>
      </w:r>
      <w:r w:rsidR="00657291">
        <w:rPr>
          <w:rFonts w:eastAsia="ＭＳ 明朝" w:hint="eastAsia"/>
          <w:sz w:val="22"/>
          <w:lang w:val="en-US"/>
        </w:rPr>
        <w:t>RAN1 meeting</w:t>
      </w:r>
      <w:r>
        <w:rPr>
          <w:rFonts w:eastAsia="ＭＳ 明朝"/>
          <w:sz w:val="22"/>
          <w:lang w:val="en-US"/>
        </w:rPr>
        <w:t>s</w:t>
      </w:r>
      <w:r w:rsidR="00657291">
        <w:rPr>
          <w:rFonts w:eastAsia="ＭＳ 明朝" w:hint="eastAsia"/>
          <w:sz w:val="22"/>
          <w:lang w:val="en-US"/>
        </w:rPr>
        <w:t>, following agreements have been achieved [1]</w:t>
      </w:r>
      <w:r>
        <w:rPr>
          <w:rFonts w:eastAsia="ＭＳ 明朝"/>
          <w:sz w:val="22"/>
          <w:lang w:val="en-US"/>
        </w:rPr>
        <w:t>-[2]</w:t>
      </w:r>
      <w:r w:rsidR="00657291">
        <w:rPr>
          <w:rFonts w:eastAsia="ＭＳ 明朝" w:hint="eastAsia"/>
          <w:sz w:val="22"/>
          <w:lang w:val="en-US"/>
        </w:rPr>
        <w:t>:</w:t>
      </w:r>
    </w:p>
    <w:tbl>
      <w:tblPr>
        <w:tblStyle w:val="afa"/>
        <w:tblW w:w="0" w:type="auto"/>
        <w:tblLook w:val="04A0" w:firstRow="1" w:lastRow="0" w:firstColumn="1" w:lastColumn="0" w:noHBand="0" w:noVBand="1"/>
      </w:tblPr>
      <w:tblGrid>
        <w:gridCol w:w="10170"/>
      </w:tblGrid>
      <w:tr w:rsidR="00657291" w14:paraId="0DEB0051" w14:textId="77777777" w:rsidTr="00657291">
        <w:tc>
          <w:tcPr>
            <w:tcW w:w="10170" w:type="dxa"/>
          </w:tcPr>
          <w:p w14:paraId="0F9270D0" w14:textId="0DF33085" w:rsidR="00657291" w:rsidRPr="00657291" w:rsidRDefault="00657291" w:rsidP="00657291">
            <w:pPr>
              <w:spacing w:after="0"/>
              <w:jc w:val="both"/>
              <w:rPr>
                <w:rFonts w:eastAsia="ＭＳ 明朝"/>
                <w:b/>
                <w:sz w:val="22"/>
                <w:u w:val="single"/>
                <w:lang w:val="en-US"/>
              </w:rPr>
            </w:pPr>
            <w:r w:rsidRPr="00657291">
              <w:rPr>
                <w:rFonts w:eastAsia="ＭＳ 明朝" w:hint="eastAsia"/>
                <w:b/>
                <w:sz w:val="22"/>
                <w:highlight w:val="green"/>
                <w:u w:val="single"/>
                <w:lang w:val="en-US"/>
              </w:rPr>
              <w:t>Agreements</w:t>
            </w:r>
            <w:r w:rsidR="007166AB">
              <w:rPr>
                <w:rFonts w:eastAsia="ＭＳ 明朝"/>
                <w:b/>
                <w:sz w:val="22"/>
                <w:highlight w:val="green"/>
                <w:u w:val="single"/>
                <w:lang w:val="en-US"/>
              </w:rPr>
              <w:t xml:space="preserve"> at RAN1 #89</w:t>
            </w:r>
            <w:r w:rsidRPr="00657291">
              <w:rPr>
                <w:rFonts w:eastAsia="ＭＳ 明朝" w:hint="eastAsia"/>
                <w:b/>
                <w:sz w:val="22"/>
                <w:highlight w:val="green"/>
                <w:u w:val="single"/>
                <w:lang w:val="en-US"/>
              </w:rPr>
              <w:t>:</w:t>
            </w:r>
          </w:p>
          <w:p w14:paraId="7FFE9C4C" w14:textId="77777777" w:rsidR="00657291" w:rsidRPr="00657291" w:rsidRDefault="00657291" w:rsidP="00657291">
            <w:pPr>
              <w:numPr>
                <w:ilvl w:val="0"/>
                <w:numId w:val="19"/>
              </w:numPr>
              <w:spacing w:after="0"/>
              <w:jc w:val="both"/>
              <w:rPr>
                <w:rFonts w:eastAsia="ＭＳ 明朝"/>
                <w:sz w:val="22"/>
                <w:lang w:val="en-US"/>
              </w:rPr>
            </w:pPr>
            <w:r w:rsidRPr="00657291">
              <w:rPr>
                <w:rFonts w:eastAsia="ＭＳ 明朝" w:hint="eastAsia"/>
                <w:sz w:val="22"/>
                <w:lang w:val="en-US"/>
              </w:rPr>
              <w:t>For DL CBG-based (re)transmission,</w:t>
            </w:r>
          </w:p>
          <w:p w14:paraId="65BF0D69" w14:textId="77777777" w:rsidR="00657291" w:rsidRPr="00657291" w:rsidRDefault="00657291" w:rsidP="00657291">
            <w:pPr>
              <w:numPr>
                <w:ilvl w:val="1"/>
                <w:numId w:val="19"/>
              </w:numPr>
              <w:spacing w:after="0"/>
              <w:jc w:val="both"/>
              <w:rPr>
                <w:rFonts w:eastAsia="ＭＳ 明朝"/>
                <w:sz w:val="22"/>
                <w:lang w:val="en-US"/>
              </w:rPr>
            </w:pPr>
            <w:r w:rsidRPr="00657291">
              <w:rPr>
                <w:rFonts w:eastAsia="ＭＳ 明朝" w:hint="eastAsia"/>
                <w:sz w:val="22"/>
                <w:lang w:val="en-US"/>
              </w:rPr>
              <w:t>Following information can be configured to be included in the same DCI:</w:t>
            </w:r>
          </w:p>
          <w:p w14:paraId="6D727472" w14:textId="77777777" w:rsidR="00657291" w:rsidRPr="00657291" w:rsidRDefault="00657291" w:rsidP="00657291">
            <w:pPr>
              <w:numPr>
                <w:ilvl w:val="2"/>
                <w:numId w:val="19"/>
              </w:numPr>
              <w:spacing w:after="0"/>
              <w:jc w:val="both"/>
              <w:rPr>
                <w:rFonts w:eastAsia="ＭＳ 明朝"/>
                <w:sz w:val="22"/>
                <w:lang w:val="en-US"/>
              </w:rPr>
            </w:pPr>
            <w:r w:rsidRPr="00657291">
              <w:rPr>
                <w:rFonts w:eastAsia="ＭＳ 明朝" w:hint="eastAsia"/>
                <w:sz w:val="22"/>
                <w:lang w:val="en-US"/>
              </w:rPr>
              <w:t>Which CBG(s) is/are (re)transmitted.</w:t>
            </w:r>
          </w:p>
          <w:p w14:paraId="5AEA2A8E" w14:textId="77777777" w:rsidR="00657291" w:rsidRPr="00657291" w:rsidRDefault="00657291" w:rsidP="00657291">
            <w:pPr>
              <w:numPr>
                <w:ilvl w:val="2"/>
                <w:numId w:val="19"/>
              </w:numPr>
              <w:spacing w:after="0"/>
              <w:jc w:val="both"/>
              <w:rPr>
                <w:rFonts w:eastAsia="ＭＳ 明朝"/>
                <w:sz w:val="22"/>
                <w:lang w:val="en-US"/>
              </w:rPr>
            </w:pPr>
            <w:r w:rsidRPr="00657291">
              <w:rPr>
                <w:rFonts w:eastAsia="ＭＳ 明朝" w:hint="eastAsia"/>
                <w:sz w:val="22"/>
                <w:lang w:val="en-US"/>
              </w:rPr>
              <w:t>Which CBG(s) is/are handled differently for soft-buffer/HARQ combining.</w:t>
            </w:r>
          </w:p>
          <w:p w14:paraId="646F6E36" w14:textId="77777777" w:rsidR="00657291" w:rsidRPr="00657291" w:rsidRDefault="00657291" w:rsidP="00657291">
            <w:pPr>
              <w:numPr>
                <w:ilvl w:val="3"/>
                <w:numId w:val="19"/>
              </w:numPr>
              <w:spacing w:after="0"/>
              <w:jc w:val="both"/>
              <w:rPr>
                <w:rFonts w:eastAsia="ＭＳ 明朝"/>
                <w:sz w:val="22"/>
                <w:lang w:val="en-US"/>
              </w:rPr>
            </w:pPr>
            <w:r w:rsidRPr="00657291">
              <w:rPr>
                <w:rFonts w:eastAsia="ＭＳ 明朝" w:hint="eastAsia"/>
                <w:sz w:val="22"/>
                <w:lang w:val="en-US"/>
              </w:rPr>
              <w:t>FFS: whether/how UE behavior is specified, e.g., part/whole of soft-buffer of indicated CBG(s) is flushed.</w:t>
            </w:r>
          </w:p>
          <w:p w14:paraId="21E40BA6" w14:textId="77777777" w:rsidR="00657291" w:rsidRPr="00657291" w:rsidRDefault="00657291" w:rsidP="00657291">
            <w:pPr>
              <w:numPr>
                <w:ilvl w:val="1"/>
                <w:numId w:val="19"/>
              </w:numPr>
              <w:spacing w:after="0"/>
              <w:jc w:val="both"/>
              <w:rPr>
                <w:rFonts w:eastAsia="ＭＳ 明朝"/>
                <w:sz w:val="22"/>
                <w:lang w:val="en-US"/>
              </w:rPr>
            </w:pPr>
            <w:r w:rsidRPr="00657291">
              <w:rPr>
                <w:rFonts w:eastAsia="ＭＳ 明朝" w:hint="eastAsia"/>
                <w:sz w:val="22"/>
                <w:lang w:val="en-US"/>
              </w:rPr>
              <w:t>FFS: timing of CBG-based (re)transmission.</w:t>
            </w:r>
          </w:p>
          <w:p w14:paraId="449FA6B6" w14:textId="77777777" w:rsidR="00657291" w:rsidRPr="00B0072B" w:rsidRDefault="00657291" w:rsidP="00657291">
            <w:pPr>
              <w:numPr>
                <w:ilvl w:val="0"/>
                <w:numId w:val="19"/>
              </w:numPr>
              <w:spacing w:after="0"/>
              <w:jc w:val="both"/>
              <w:rPr>
                <w:rFonts w:eastAsia="ＭＳ 明朝"/>
                <w:sz w:val="22"/>
                <w:highlight w:val="yellow"/>
                <w:lang w:val="en-US"/>
              </w:rPr>
            </w:pPr>
            <w:r w:rsidRPr="00B0072B">
              <w:rPr>
                <w:rFonts w:eastAsia="ＭＳ 明朝" w:hint="eastAsia"/>
                <w:sz w:val="22"/>
                <w:highlight w:val="yellow"/>
                <w:lang w:val="en-US"/>
              </w:rPr>
              <w:t>For preemption indication;</w:t>
            </w:r>
          </w:p>
          <w:p w14:paraId="3BCB71EE" w14:textId="77777777" w:rsidR="00657291" w:rsidRPr="00B0072B" w:rsidRDefault="00657291" w:rsidP="00657291">
            <w:pPr>
              <w:numPr>
                <w:ilvl w:val="1"/>
                <w:numId w:val="19"/>
              </w:numPr>
              <w:spacing w:after="0"/>
              <w:jc w:val="both"/>
              <w:rPr>
                <w:rFonts w:eastAsia="ＭＳ 明朝"/>
                <w:sz w:val="22"/>
                <w:highlight w:val="yellow"/>
                <w:lang w:val="en-US"/>
              </w:rPr>
            </w:pPr>
            <w:r w:rsidRPr="00B0072B">
              <w:rPr>
                <w:rFonts w:eastAsia="ＭＳ 明朝" w:hint="eastAsia"/>
                <w:sz w:val="22"/>
                <w:highlight w:val="yellow"/>
                <w:lang w:val="en-US"/>
              </w:rPr>
              <w:t>When configured, the indication tells the UE(s) which DL physical resources has been preempted.</w:t>
            </w:r>
          </w:p>
          <w:p w14:paraId="06DE7AD3" w14:textId="77777777" w:rsidR="00657291" w:rsidRPr="00B0072B" w:rsidRDefault="00657291" w:rsidP="00657291">
            <w:pPr>
              <w:numPr>
                <w:ilvl w:val="1"/>
                <w:numId w:val="19"/>
              </w:numPr>
              <w:spacing w:after="0"/>
              <w:jc w:val="both"/>
              <w:rPr>
                <w:rFonts w:eastAsia="ＭＳ 明朝"/>
                <w:sz w:val="22"/>
                <w:highlight w:val="yellow"/>
                <w:lang w:val="en-US"/>
              </w:rPr>
            </w:pPr>
            <w:r w:rsidRPr="00B0072B">
              <w:rPr>
                <w:rFonts w:eastAsia="ＭＳ 明朝" w:hint="eastAsia"/>
                <w:sz w:val="22"/>
                <w:highlight w:val="yellow"/>
                <w:lang w:val="en-US"/>
              </w:rPr>
              <w:t>The preemption indication is transmitted using a PDCCH.</w:t>
            </w:r>
          </w:p>
          <w:p w14:paraId="201AAF72" w14:textId="77777777" w:rsidR="00657291" w:rsidRPr="00B0072B" w:rsidRDefault="00657291" w:rsidP="00657291">
            <w:pPr>
              <w:numPr>
                <w:ilvl w:val="2"/>
                <w:numId w:val="19"/>
              </w:numPr>
              <w:spacing w:after="0"/>
              <w:jc w:val="both"/>
              <w:rPr>
                <w:rFonts w:eastAsia="ＭＳ 明朝"/>
                <w:sz w:val="22"/>
                <w:highlight w:val="yellow"/>
                <w:lang w:val="en-US"/>
              </w:rPr>
            </w:pPr>
            <w:r w:rsidRPr="00B0072B">
              <w:rPr>
                <w:rFonts w:eastAsia="ＭＳ 明朝" w:hint="eastAsia"/>
                <w:sz w:val="22"/>
                <w:highlight w:val="yellow"/>
                <w:lang w:val="en-US"/>
              </w:rPr>
              <w:t>The preemption indication is not included in the DCI that schedules the (re)transmission of the data transmission.</w:t>
            </w:r>
          </w:p>
          <w:p w14:paraId="3AC96422" w14:textId="77777777" w:rsidR="00657291" w:rsidRPr="00B0072B" w:rsidRDefault="00657291" w:rsidP="00657291">
            <w:pPr>
              <w:numPr>
                <w:ilvl w:val="1"/>
                <w:numId w:val="19"/>
              </w:numPr>
              <w:spacing w:after="0"/>
              <w:jc w:val="both"/>
              <w:rPr>
                <w:rFonts w:eastAsia="ＭＳ 明朝"/>
                <w:sz w:val="22"/>
                <w:highlight w:val="yellow"/>
                <w:lang w:val="en-US"/>
              </w:rPr>
            </w:pPr>
            <w:r w:rsidRPr="00B0072B">
              <w:rPr>
                <w:rFonts w:eastAsia="ＭＳ 明朝" w:hint="eastAsia"/>
                <w:sz w:val="22"/>
                <w:highlight w:val="yellow"/>
                <w:lang w:val="en-US"/>
              </w:rPr>
              <w:t>FFS: the granularity of the time and/or frequency resources.</w:t>
            </w:r>
          </w:p>
          <w:p w14:paraId="5B133D46" w14:textId="77777777" w:rsidR="00657291" w:rsidRPr="00B0072B" w:rsidRDefault="00657291" w:rsidP="00657291">
            <w:pPr>
              <w:numPr>
                <w:ilvl w:val="1"/>
                <w:numId w:val="19"/>
              </w:numPr>
              <w:spacing w:after="0"/>
              <w:jc w:val="both"/>
              <w:rPr>
                <w:rFonts w:eastAsia="ＭＳ 明朝"/>
                <w:sz w:val="22"/>
                <w:highlight w:val="yellow"/>
                <w:lang w:val="en-US"/>
              </w:rPr>
            </w:pPr>
            <w:r w:rsidRPr="00B0072B">
              <w:rPr>
                <w:rFonts w:eastAsia="ＭＳ 明朝" w:hint="eastAsia"/>
                <w:sz w:val="22"/>
                <w:highlight w:val="yellow"/>
                <w:lang w:val="en-US"/>
              </w:rPr>
              <w:t>FFS: what DCI is used.</w:t>
            </w:r>
          </w:p>
          <w:p w14:paraId="64394166" w14:textId="77777777" w:rsidR="00657291" w:rsidRPr="007166AB" w:rsidRDefault="00657291" w:rsidP="00657291">
            <w:pPr>
              <w:numPr>
                <w:ilvl w:val="1"/>
                <w:numId w:val="19"/>
              </w:numPr>
              <w:spacing w:after="0"/>
              <w:jc w:val="both"/>
              <w:rPr>
                <w:rFonts w:eastAsia="ＭＳ 明朝"/>
                <w:sz w:val="22"/>
                <w:lang w:val="en-US"/>
              </w:rPr>
            </w:pPr>
            <w:r w:rsidRPr="00B0072B">
              <w:rPr>
                <w:rFonts w:eastAsia="ＭＳ 明朝" w:hint="eastAsia"/>
                <w:sz w:val="22"/>
                <w:highlight w:val="yellow"/>
                <w:lang w:val="en-US"/>
              </w:rPr>
              <w:t>FFS: timing of the preemption indication</w:t>
            </w:r>
          </w:p>
          <w:p w14:paraId="6ACD4CDE" w14:textId="77777777" w:rsidR="007166AB" w:rsidRDefault="007166AB" w:rsidP="007166AB">
            <w:pPr>
              <w:spacing w:after="0"/>
              <w:jc w:val="both"/>
              <w:rPr>
                <w:rFonts w:eastAsia="ＭＳ 明朝"/>
                <w:sz w:val="22"/>
                <w:lang w:val="en-US"/>
              </w:rPr>
            </w:pPr>
          </w:p>
          <w:p w14:paraId="2F56C8D6" w14:textId="77777777" w:rsidR="007166AB" w:rsidRPr="007166AB" w:rsidRDefault="007166AB" w:rsidP="007166AB">
            <w:pPr>
              <w:spacing w:after="0"/>
              <w:jc w:val="both"/>
              <w:rPr>
                <w:rFonts w:eastAsia="ＭＳ 明朝"/>
                <w:b/>
                <w:sz w:val="22"/>
                <w:u w:val="single"/>
                <w:lang w:val="en-US"/>
              </w:rPr>
            </w:pPr>
            <w:r w:rsidRPr="007166AB">
              <w:rPr>
                <w:rFonts w:eastAsia="ＭＳ 明朝" w:hint="eastAsia"/>
                <w:b/>
                <w:sz w:val="22"/>
                <w:highlight w:val="green"/>
                <w:u w:val="single"/>
                <w:lang w:val="en-US"/>
              </w:rPr>
              <w:t>Agreements</w:t>
            </w:r>
            <w:r w:rsidRPr="007166AB">
              <w:rPr>
                <w:rFonts w:eastAsia="ＭＳ 明朝"/>
                <w:b/>
                <w:sz w:val="22"/>
                <w:highlight w:val="green"/>
                <w:u w:val="single"/>
                <w:lang w:val="en-US"/>
              </w:rPr>
              <w:t xml:space="preserve"> at RAN1 AH#2</w:t>
            </w:r>
            <w:r w:rsidRPr="007166AB">
              <w:rPr>
                <w:rFonts w:eastAsia="ＭＳ 明朝" w:hint="eastAsia"/>
                <w:b/>
                <w:sz w:val="22"/>
                <w:highlight w:val="green"/>
                <w:u w:val="single"/>
                <w:lang w:val="en-US"/>
              </w:rPr>
              <w:t>:</w:t>
            </w:r>
          </w:p>
          <w:p w14:paraId="2F63942F" w14:textId="77777777" w:rsidR="007166AB" w:rsidRPr="007166AB" w:rsidRDefault="007166AB" w:rsidP="007166AB">
            <w:pPr>
              <w:numPr>
                <w:ilvl w:val="0"/>
                <w:numId w:val="20"/>
              </w:numPr>
              <w:spacing w:after="0"/>
              <w:jc w:val="both"/>
              <w:rPr>
                <w:rFonts w:eastAsia="ＭＳ 明朝"/>
                <w:sz w:val="22"/>
                <w:lang w:val="en-US"/>
              </w:rPr>
            </w:pPr>
            <w:r w:rsidRPr="007166AB">
              <w:rPr>
                <w:rFonts w:eastAsia="ＭＳ 明朝"/>
                <w:sz w:val="22"/>
                <w:lang w:val="en-US"/>
              </w:rPr>
              <w:t>For downlink preemption indication</w:t>
            </w:r>
          </w:p>
          <w:p w14:paraId="1A388BC5" w14:textId="77777777" w:rsidR="007166AB" w:rsidRPr="007166AB" w:rsidRDefault="007166AB" w:rsidP="007166AB">
            <w:pPr>
              <w:numPr>
                <w:ilvl w:val="1"/>
                <w:numId w:val="20"/>
              </w:numPr>
              <w:spacing w:after="0"/>
              <w:jc w:val="both"/>
              <w:rPr>
                <w:rFonts w:eastAsia="ＭＳ 明朝"/>
                <w:sz w:val="22"/>
                <w:highlight w:val="yellow"/>
                <w:lang w:val="en-US"/>
              </w:rPr>
            </w:pPr>
            <w:r w:rsidRPr="007166AB">
              <w:rPr>
                <w:rFonts w:eastAsia="ＭＳ 明朝"/>
                <w:sz w:val="22"/>
                <w:highlight w:val="yellow"/>
                <w:lang w:val="en-US"/>
              </w:rPr>
              <w:t>It is transmitted using a group common DCI in PDCCH</w:t>
            </w:r>
          </w:p>
          <w:p w14:paraId="0656BCFE" w14:textId="77777777" w:rsidR="007166AB" w:rsidRPr="007166AB" w:rsidRDefault="007166AB" w:rsidP="007166AB">
            <w:pPr>
              <w:numPr>
                <w:ilvl w:val="2"/>
                <w:numId w:val="20"/>
              </w:numPr>
              <w:spacing w:after="0"/>
              <w:jc w:val="both"/>
              <w:rPr>
                <w:rFonts w:eastAsia="ＭＳ 明朝"/>
                <w:sz w:val="22"/>
                <w:highlight w:val="yellow"/>
                <w:lang w:val="en-US"/>
              </w:rPr>
            </w:pPr>
            <w:r w:rsidRPr="007166AB">
              <w:rPr>
                <w:rFonts w:eastAsia="ＭＳ 明朝"/>
                <w:sz w:val="22"/>
                <w:highlight w:val="yellow"/>
                <w:lang w:val="en-US"/>
              </w:rPr>
              <w:t>FFS: This group common DCI is transmitted separately from SFI</w:t>
            </w:r>
          </w:p>
          <w:p w14:paraId="489D0722" w14:textId="77777777" w:rsidR="007166AB" w:rsidRPr="007166AB" w:rsidRDefault="007166AB" w:rsidP="007166AB">
            <w:pPr>
              <w:numPr>
                <w:ilvl w:val="2"/>
                <w:numId w:val="20"/>
              </w:numPr>
              <w:spacing w:after="0"/>
              <w:jc w:val="both"/>
              <w:rPr>
                <w:rFonts w:eastAsia="ＭＳ 明朝"/>
                <w:sz w:val="22"/>
                <w:highlight w:val="yellow"/>
                <w:lang w:val="en-US"/>
              </w:rPr>
            </w:pPr>
            <w:r w:rsidRPr="007166AB">
              <w:rPr>
                <w:rFonts w:eastAsia="ＭＳ 明朝"/>
                <w:sz w:val="22"/>
                <w:highlight w:val="yellow"/>
                <w:lang w:val="en-US"/>
              </w:rPr>
              <w:t>Whether a UE needs to monitor preemption indication is configured by RRC signaling</w:t>
            </w:r>
          </w:p>
          <w:p w14:paraId="2697F381" w14:textId="77777777" w:rsidR="007166AB" w:rsidRPr="007166AB" w:rsidRDefault="007166AB" w:rsidP="007166AB">
            <w:pPr>
              <w:numPr>
                <w:ilvl w:val="2"/>
                <w:numId w:val="20"/>
              </w:numPr>
              <w:spacing w:after="0"/>
              <w:jc w:val="both"/>
              <w:rPr>
                <w:rFonts w:eastAsia="ＭＳ 明朝"/>
                <w:sz w:val="22"/>
                <w:highlight w:val="yellow"/>
                <w:lang w:val="en-US"/>
              </w:rPr>
            </w:pPr>
            <w:r w:rsidRPr="007166AB">
              <w:rPr>
                <w:rFonts w:eastAsia="ＭＳ 明朝"/>
                <w:sz w:val="22"/>
                <w:highlight w:val="yellow"/>
                <w:lang w:val="en-US"/>
              </w:rPr>
              <w:t xml:space="preserve">The granularity of preemption indication in time domain can be configured </w:t>
            </w:r>
          </w:p>
          <w:p w14:paraId="233D9E34" w14:textId="7EDE05F8" w:rsidR="007166AB" w:rsidRPr="007166AB" w:rsidRDefault="007166AB" w:rsidP="007166AB">
            <w:pPr>
              <w:numPr>
                <w:ilvl w:val="3"/>
                <w:numId w:val="20"/>
              </w:numPr>
              <w:spacing w:after="0"/>
              <w:jc w:val="both"/>
              <w:rPr>
                <w:rFonts w:eastAsia="ＭＳ 明朝"/>
                <w:sz w:val="22"/>
                <w:lang w:val="en-US"/>
              </w:rPr>
            </w:pPr>
            <w:r w:rsidRPr="007166AB">
              <w:rPr>
                <w:rFonts w:eastAsia="ＭＳ 明朝"/>
                <w:sz w:val="22"/>
                <w:highlight w:val="yellow"/>
                <w:lang w:val="en-US"/>
              </w:rPr>
              <w:t>Details of granularity are FFS</w:t>
            </w:r>
          </w:p>
        </w:tc>
      </w:tr>
    </w:tbl>
    <w:p w14:paraId="52C28A01" w14:textId="77777777" w:rsidR="00657291" w:rsidRDefault="00657291" w:rsidP="00AB28A6">
      <w:pPr>
        <w:spacing w:afterLines="50" w:after="120"/>
        <w:jc w:val="both"/>
        <w:rPr>
          <w:rFonts w:eastAsia="ＭＳ 明朝"/>
          <w:sz w:val="22"/>
          <w:lang w:val="en-US"/>
        </w:rPr>
      </w:pPr>
    </w:p>
    <w:p w14:paraId="0E0AD8F3" w14:textId="5DDA8FE8" w:rsidR="00AB28A6" w:rsidRDefault="00B0072B" w:rsidP="00657291">
      <w:pPr>
        <w:spacing w:afterLines="50" w:after="120"/>
        <w:jc w:val="both"/>
        <w:rPr>
          <w:rFonts w:eastAsia="ＭＳ 明朝"/>
          <w:sz w:val="22"/>
          <w:lang w:val="en-US"/>
        </w:rPr>
      </w:pPr>
      <w:r>
        <w:rPr>
          <w:rFonts w:eastAsia="ＭＳ 明朝"/>
          <w:sz w:val="22"/>
          <w:lang w:val="en-US"/>
        </w:rPr>
        <w:t xml:space="preserve">It was agreed to support two mechanisms for </w:t>
      </w:r>
      <w:r w:rsidR="00114B6D">
        <w:rPr>
          <w:rFonts w:eastAsia="ＭＳ 明朝"/>
          <w:sz w:val="22"/>
          <w:lang w:val="en-US"/>
        </w:rPr>
        <w:t xml:space="preserve">handling the data being </w:t>
      </w:r>
      <w:r w:rsidR="00B07642">
        <w:rPr>
          <w:rFonts w:eastAsia="ＭＳ 明朝"/>
          <w:sz w:val="22"/>
          <w:lang w:val="en-US"/>
        </w:rPr>
        <w:t xml:space="preserve">pre-empted </w:t>
      </w:r>
      <w:r w:rsidR="00114B6D">
        <w:rPr>
          <w:rFonts w:eastAsia="ＭＳ 明朝"/>
          <w:sz w:val="22"/>
          <w:lang w:val="en-US"/>
        </w:rPr>
        <w:t>by other transmissions</w:t>
      </w:r>
      <w:r>
        <w:rPr>
          <w:rFonts w:eastAsia="ＭＳ 明朝"/>
          <w:sz w:val="22"/>
          <w:lang w:val="en-US"/>
        </w:rPr>
        <w:t>: one is to configure CBG-based (re)transmission together with different handling for soft-buffer/HARQ combining</w:t>
      </w:r>
      <w:r w:rsidR="004C4F92">
        <w:rPr>
          <w:rFonts w:eastAsia="ＭＳ 明朝"/>
          <w:sz w:val="22"/>
          <w:lang w:val="en-US"/>
        </w:rPr>
        <w:t xml:space="preserve"> [3]-[5]</w:t>
      </w:r>
      <w:r>
        <w:rPr>
          <w:rFonts w:eastAsia="ＭＳ 明朝"/>
          <w:sz w:val="22"/>
          <w:lang w:val="en-US"/>
        </w:rPr>
        <w:t xml:space="preserve">, and the other is to use preemption indication. </w:t>
      </w:r>
      <w:r w:rsidR="00AB28A6">
        <w:rPr>
          <w:rFonts w:eastAsia="ＭＳ 明朝" w:hint="eastAsia"/>
          <w:sz w:val="22"/>
          <w:lang w:val="en-US"/>
        </w:rPr>
        <w:t xml:space="preserve">In this contribution, </w:t>
      </w:r>
      <w:r w:rsidR="006326C0">
        <w:rPr>
          <w:rFonts w:eastAsia="ＭＳ 明朝"/>
          <w:sz w:val="22"/>
          <w:lang w:val="en-US"/>
        </w:rPr>
        <w:t xml:space="preserve">we discuss </w:t>
      </w:r>
      <w:r w:rsidR="00657291">
        <w:rPr>
          <w:rFonts w:eastAsia="ＭＳ 明朝"/>
          <w:sz w:val="22"/>
          <w:lang w:val="en-US"/>
        </w:rPr>
        <w:t xml:space="preserve">some more details on </w:t>
      </w:r>
      <w:r w:rsidR="00114B6D">
        <w:rPr>
          <w:rFonts w:eastAsia="ＭＳ 明朝"/>
          <w:sz w:val="22"/>
          <w:lang w:val="en-US"/>
        </w:rPr>
        <w:t xml:space="preserve">the </w:t>
      </w:r>
      <w:r w:rsidR="00657291">
        <w:rPr>
          <w:rFonts w:eastAsia="ＭＳ 明朝"/>
          <w:sz w:val="22"/>
          <w:lang w:val="en-US"/>
        </w:rPr>
        <w:t>pre</w:t>
      </w:r>
      <w:r>
        <w:rPr>
          <w:rFonts w:eastAsia="ＭＳ 明朝"/>
          <w:sz w:val="22"/>
          <w:lang w:val="en-US"/>
        </w:rPr>
        <w:t>-</w:t>
      </w:r>
      <w:r w:rsidR="00657291">
        <w:rPr>
          <w:rFonts w:eastAsia="ＭＳ 明朝"/>
          <w:sz w:val="22"/>
          <w:lang w:val="en-US"/>
        </w:rPr>
        <w:t>emption indication.</w:t>
      </w:r>
      <w:r>
        <w:rPr>
          <w:rFonts w:eastAsia="ＭＳ 明朝"/>
          <w:sz w:val="22"/>
          <w:lang w:val="en-US"/>
        </w:rPr>
        <w:t xml:space="preserve"> </w:t>
      </w:r>
    </w:p>
    <w:p w14:paraId="24CFA727" w14:textId="77777777" w:rsidR="004C4F92" w:rsidRPr="00657291" w:rsidRDefault="004C4F92" w:rsidP="00657291">
      <w:pPr>
        <w:spacing w:afterLines="50" w:after="120"/>
        <w:jc w:val="both"/>
        <w:rPr>
          <w:rFonts w:eastAsia="ＭＳ 明朝"/>
          <w:sz w:val="22"/>
          <w:lang w:val="en-US"/>
        </w:rPr>
      </w:pPr>
    </w:p>
    <w:p w14:paraId="408AFFCA" w14:textId="18B42258" w:rsidR="009B284C" w:rsidRPr="005D0A85" w:rsidRDefault="006A09A7" w:rsidP="00A65BF3">
      <w:pPr>
        <w:pStyle w:val="1"/>
        <w:numPr>
          <w:ilvl w:val="0"/>
          <w:numId w:val="5"/>
        </w:numPr>
        <w:spacing w:after="120"/>
        <w:jc w:val="both"/>
        <w:rPr>
          <w:b/>
          <w:lang w:val="en-US"/>
        </w:rPr>
      </w:pPr>
      <w:r>
        <w:rPr>
          <w:b/>
          <w:lang w:val="en-US"/>
        </w:rPr>
        <w:t>Signaling of pre-emption indication</w:t>
      </w:r>
    </w:p>
    <w:p w14:paraId="0E802D3F" w14:textId="77777777" w:rsidR="00241194" w:rsidRDefault="00525C0D" w:rsidP="00CE6AFD">
      <w:pPr>
        <w:spacing w:afterLines="50" w:after="120"/>
        <w:jc w:val="both"/>
        <w:rPr>
          <w:rFonts w:eastAsia="ＭＳ 明朝"/>
          <w:sz w:val="22"/>
          <w:lang w:val="en-US"/>
        </w:rPr>
      </w:pPr>
      <w:r>
        <w:rPr>
          <w:rFonts w:eastAsia="ＭＳ 明朝"/>
          <w:sz w:val="22"/>
          <w:lang w:val="en-US"/>
        </w:rPr>
        <w:t>Pre-emption indication i</w:t>
      </w:r>
      <w:r w:rsidR="004C4F92">
        <w:rPr>
          <w:rFonts w:eastAsia="ＭＳ 明朝"/>
          <w:sz w:val="22"/>
          <w:lang w:val="en-US"/>
        </w:rPr>
        <w:t>s carried by a group-</w:t>
      </w:r>
      <w:r>
        <w:rPr>
          <w:rFonts w:eastAsia="ＭＳ 明朝"/>
          <w:sz w:val="22"/>
          <w:lang w:val="en-US"/>
        </w:rPr>
        <w:t xml:space="preserve">common DCI in PDCCH. It is FFS whether it is the group-common PDCCH carrying SFI. </w:t>
      </w:r>
      <w:r w:rsidR="004C4F92">
        <w:rPr>
          <w:rFonts w:eastAsia="ＭＳ 明朝"/>
          <w:sz w:val="22"/>
          <w:lang w:val="en-US"/>
        </w:rPr>
        <w:t>We believe that the group-common PDCCH carrying SFI is the same structure as regular PDCCH (e.g., CRC attached, Polar coded, QPSK modulated, mapped on physical resources, based on the same rules as for regular PDCCH)</w:t>
      </w:r>
      <w:r w:rsidR="00241194">
        <w:rPr>
          <w:rFonts w:eastAsia="ＭＳ 明朝"/>
          <w:sz w:val="22"/>
          <w:lang w:val="en-US"/>
        </w:rPr>
        <w:t xml:space="preserve"> [6]-[8].</w:t>
      </w:r>
      <w:r w:rsidR="004C4F92">
        <w:rPr>
          <w:rFonts w:eastAsia="ＭＳ 明朝"/>
          <w:sz w:val="22"/>
          <w:lang w:val="en-US"/>
        </w:rPr>
        <w:t xml:space="preserve"> </w:t>
      </w:r>
      <w:r w:rsidR="00241194">
        <w:rPr>
          <w:rFonts w:eastAsia="ＭＳ 明朝"/>
          <w:sz w:val="22"/>
          <w:lang w:val="en-US"/>
        </w:rPr>
        <w:t xml:space="preserve">The SFI is expected to be smaller payload (e.g., 3~4 bits) compared to regular DCI and therefore, remaining payload of the group-common PDCCH can be used for other purposes. Therefore, rather than defining a new group-common DCI separately from the group-common PDCCH, it is much simpler and </w:t>
      </w:r>
      <w:r>
        <w:rPr>
          <w:rFonts w:eastAsia="ＭＳ 明朝"/>
          <w:sz w:val="22"/>
          <w:lang w:val="en-US"/>
        </w:rPr>
        <w:t>beneficial to support pre-emption indication by the group-common PDCCH</w:t>
      </w:r>
      <w:r w:rsidR="00B07642" w:rsidRPr="00B07642">
        <w:rPr>
          <w:rFonts w:eastAsia="ＭＳ 明朝"/>
          <w:sz w:val="22"/>
          <w:lang w:val="en-US"/>
        </w:rPr>
        <w:t xml:space="preserve">. </w:t>
      </w:r>
    </w:p>
    <w:p w14:paraId="1350C5EB" w14:textId="66075406" w:rsidR="00525C0D" w:rsidRDefault="00435393" w:rsidP="00CE6AFD">
      <w:pPr>
        <w:spacing w:afterLines="50" w:after="120"/>
        <w:jc w:val="both"/>
        <w:rPr>
          <w:rFonts w:eastAsia="ＭＳ 明朝"/>
          <w:sz w:val="22"/>
          <w:lang w:val="en-US"/>
        </w:rPr>
      </w:pPr>
      <w:r>
        <w:rPr>
          <w:rFonts w:eastAsia="ＭＳ 明朝"/>
          <w:sz w:val="22"/>
          <w:lang w:val="en-US"/>
        </w:rPr>
        <w:lastRenderedPageBreak/>
        <w:t>Note that SFI and pre-emption indication should be configured separately and independently; a</w:t>
      </w:r>
      <w:r w:rsidR="00525C0D">
        <w:rPr>
          <w:rFonts w:eastAsia="ＭＳ 明朝"/>
          <w:sz w:val="22"/>
          <w:lang w:val="en-US"/>
        </w:rPr>
        <w:t xml:space="preserve"> UE</w:t>
      </w:r>
      <w:r w:rsidR="001A4B06">
        <w:rPr>
          <w:rFonts w:eastAsia="ＭＳ 明朝"/>
          <w:sz w:val="22"/>
          <w:lang w:val="en-US"/>
        </w:rPr>
        <w:t xml:space="preserve"> can be configured to monitor </w:t>
      </w:r>
      <w:r w:rsidR="00525C0D">
        <w:rPr>
          <w:rFonts w:eastAsia="ＭＳ 明朝"/>
          <w:sz w:val="22"/>
          <w:lang w:val="en-US"/>
        </w:rPr>
        <w:t xml:space="preserve">group-common PDCCH carrying </w:t>
      </w:r>
      <w:r w:rsidR="00EB2333">
        <w:rPr>
          <w:rFonts w:eastAsia="ＭＳ 明朝"/>
          <w:sz w:val="22"/>
          <w:lang w:val="en-US"/>
        </w:rPr>
        <w:t xml:space="preserve">either or </w:t>
      </w:r>
      <w:r w:rsidR="00525C0D">
        <w:rPr>
          <w:rFonts w:eastAsia="ＭＳ 明朝"/>
          <w:sz w:val="22"/>
          <w:lang w:val="en-US"/>
        </w:rPr>
        <w:t xml:space="preserve">both </w:t>
      </w:r>
      <w:r w:rsidR="00EB2333">
        <w:rPr>
          <w:rFonts w:eastAsia="ＭＳ 明朝"/>
          <w:sz w:val="22"/>
          <w:lang w:val="en-US"/>
        </w:rPr>
        <w:t xml:space="preserve">of </w:t>
      </w:r>
      <w:r w:rsidR="00525C0D">
        <w:rPr>
          <w:rFonts w:eastAsia="ＭＳ 明朝"/>
          <w:sz w:val="22"/>
          <w:lang w:val="en-US"/>
        </w:rPr>
        <w:t>SFI and pre-emption indication</w:t>
      </w:r>
      <w:r w:rsidR="002F249B">
        <w:rPr>
          <w:rFonts w:eastAsia="ＭＳ 明朝"/>
          <w:sz w:val="22"/>
          <w:lang w:val="en-US"/>
        </w:rPr>
        <w:t>.</w:t>
      </w:r>
    </w:p>
    <w:p w14:paraId="1AA32F98" w14:textId="77777777" w:rsidR="00F44620" w:rsidRPr="00D501B3" w:rsidRDefault="00F44620" w:rsidP="00F44620">
      <w:pPr>
        <w:spacing w:afterLines="50" w:after="120"/>
        <w:jc w:val="both"/>
        <w:rPr>
          <w:rFonts w:eastAsia="ＭＳ 明朝"/>
          <w:b/>
          <w:sz w:val="22"/>
          <w:u w:val="single"/>
          <w:lang w:val="en-US"/>
        </w:rPr>
      </w:pPr>
      <w:r w:rsidRPr="00D501B3">
        <w:rPr>
          <w:rFonts w:eastAsia="ＭＳ 明朝"/>
          <w:b/>
          <w:sz w:val="22"/>
          <w:u w:val="single"/>
          <w:lang w:val="en-US"/>
        </w:rPr>
        <w:t>Proposal 1:</w:t>
      </w:r>
    </w:p>
    <w:p w14:paraId="01658FB9" w14:textId="2E0C57A1" w:rsidR="00F44620" w:rsidRDefault="007E0716" w:rsidP="00F44620">
      <w:pPr>
        <w:pStyle w:val="afc"/>
        <w:numPr>
          <w:ilvl w:val="0"/>
          <w:numId w:val="16"/>
        </w:numPr>
        <w:spacing w:afterLines="50" w:after="120"/>
        <w:ind w:leftChars="0"/>
        <w:jc w:val="both"/>
        <w:rPr>
          <w:rFonts w:eastAsia="ＭＳ 明朝"/>
          <w:i/>
          <w:sz w:val="22"/>
          <w:lang w:val="en-US"/>
        </w:rPr>
      </w:pPr>
      <w:r>
        <w:rPr>
          <w:rFonts w:eastAsia="ＭＳ 明朝"/>
          <w:i/>
          <w:sz w:val="22"/>
          <w:lang w:val="en-US"/>
        </w:rPr>
        <w:t>Pre-emption indication is included in a group-common PDCCH.</w:t>
      </w:r>
    </w:p>
    <w:p w14:paraId="2A8A824C" w14:textId="68A63ABA" w:rsidR="007D799C" w:rsidRDefault="007D799C" w:rsidP="007D799C">
      <w:pPr>
        <w:pStyle w:val="afc"/>
        <w:numPr>
          <w:ilvl w:val="1"/>
          <w:numId w:val="16"/>
        </w:numPr>
        <w:spacing w:afterLines="50" w:after="120"/>
        <w:ind w:leftChars="0"/>
        <w:jc w:val="both"/>
        <w:rPr>
          <w:rFonts w:eastAsia="ＭＳ 明朝"/>
          <w:i/>
          <w:sz w:val="22"/>
          <w:lang w:val="en-US"/>
        </w:rPr>
      </w:pPr>
      <w:r>
        <w:rPr>
          <w:rFonts w:eastAsia="ＭＳ 明朝"/>
          <w:i/>
          <w:sz w:val="22"/>
          <w:lang w:val="en-US"/>
        </w:rPr>
        <w:t>UE can be configured to monitor group-common PDCCH carrying either or both of SFI and pre-emption indication.</w:t>
      </w:r>
    </w:p>
    <w:p w14:paraId="54BD5768" w14:textId="77777777" w:rsidR="006A09A7" w:rsidRPr="00F44620" w:rsidRDefault="006A09A7" w:rsidP="00CE6AFD">
      <w:pPr>
        <w:spacing w:afterLines="50" w:after="120"/>
        <w:jc w:val="both"/>
        <w:rPr>
          <w:rFonts w:eastAsia="ＭＳ 明朝"/>
          <w:sz w:val="22"/>
          <w:lang w:val="en-US"/>
        </w:rPr>
      </w:pPr>
    </w:p>
    <w:p w14:paraId="68E19078" w14:textId="04647B55" w:rsidR="006A09A7" w:rsidRPr="005D0A85" w:rsidRDefault="00F13D30" w:rsidP="006A09A7">
      <w:pPr>
        <w:pStyle w:val="1"/>
        <w:numPr>
          <w:ilvl w:val="0"/>
          <w:numId w:val="5"/>
        </w:numPr>
        <w:spacing w:after="120"/>
        <w:jc w:val="both"/>
        <w:rPr>
          <w:b/>
          <w:lang w:val="en-US"/>
        </w:rPr>
      </w:pPr>
      <w:r>
        <w:rPr>
          <w:b/>
          <w:lang w:val="en-US"/>
        </w:rPr>
        <w:t>Pre-emption indication g</w:t>
      </w:r>
      <w:r w:rsidR="006A09A7">
        <w:rPr>
          <w:b/>
          <w:lang w:val="en-US"/>
        </w:rPr>
        <w:t>ranula</w:t>
      </w:r>
      <w:r>
        <w:rPr>
          <w:b/>
          <w:lang w:val="en-US"/>
        </w:rPr>
        <w:t>rity for</w:t>
      </w:r>
      <w:r w:rsidR="006A09A7">
        <w:rPr>
          <w:b/>
          <w:lang w:val="en-US"/>
        </w:rPr>
        <w:t xml:space="preserve"> </w:t>
      </w:r>
      <w:r>
        <w:rPr>
          <w:b/>
          <w:lang w:val="en-US"/>
        </w:rPr>
        <w:t xml:space="preserve">time/frequency resources </w:t>
      </w:r>
    </w:p>
    <w:p w14:paraId="794BDB9F" w14:textId="3C195B4E" w:rsidR="009A6110" w:rsidRDefault="009A6110" w:rsidP="00CE6AFD">
      <w:pPr>
        <w:spacing w:afterLines="50" w:after="120"/>
        <w:jc w:val="both"/>
        <w:rPr>
          <w:rFonts w:eastAsia="ＭＳ 明朝"/>
          <w:sz w:val="22"/>
          <w:lang w:val="en-US"/>
        </w:rPr>
      </w:pPr>
      <w:r>
        <w:rPr>
          <w:rFonts w:eastAsia="ＭＳ 明朝" w:hint="eastAsia"/>
          <w:sz w:val="22"/>
          <w:lang w:val="en-US"/>
        </w:rPr>
        <w:t xml:space="preserve">For </w:t>
      </w:r>
      <w:r>
        <w:rPr>
          <w:rFonts w:eastAsia="ＭＳ 明朝"/>
          <w:sz w:val="22"/>
          <w:lang w:val="en-US"/>
        </w:rPr>
        <w:t xml:space="preserve">a </w:t>
      </w:r>
      <w:r>
        <w:rPr>
          <w:rFonts w:eastAsia="ＭＳ 明朝" w:hint="eastAsia"/>
          <w:sz w:val="22"/>
          <w:lang w:val="en-US"/>
        </w:rPr>
        <w:t xml:space="preserve">data scheduling, </w:t>
      </w:r>
      <w:r>
        <w:rPr>
          <w:rFonts w:eastAsia="ＭＳ 明朝"/>
          <w:sz w:val="22"/>
          <w:lang w:val="en-US"/>
        </w:rPr>
        <w:t xml:space="preserve">the scheduling </w:t>
      </w:r>
      <w:r>
        <w:rPr>
          <w:rFonts w:eastAsia="ＭＳ 明朝" w:hint="eastAsia"/>
          <w:sz w:val="22"/>
          <w:lang w:val="en-US"/>
        </w:rPr>
        <w:t xml:space="preserve">DCI has time/frequency resource allocation field(s). </w:t>
      </w:r>
      <w:r>
        <w:rPr>
          <w:rFonts w:eastAsia="ＭＳ 明朝"/>
          <w:sz w:val="22"/>
          <w:lang w:val="en-US"/>
        </w:rPr>
        <w:t xml:space="preserve">Since pre-emption indication </w:t>
      </w:r>
      <w:r w:rsidR="00272794">
        <w:rPr>
          <w:rFonts w:eastAsia="ＭＳ 明朝"/>
          <w:sz w:val="22"/>
          <w:lang w:val="en-US"/>
        </w:rPr>
        <w:t>can be interpreted as the indication for</w:t>
      </w:r>
      <w:r>
        <w:rPr>
          <w:rFonts w:eastAsia="ＭＳ 明朝"/>
          <w:sz w:val="22"/>
          <w:lang w:val="en-US"/>
        </w:rPr>
        <w:t xml:space="preserve"> “pre-empted resources” for the</w:t>
      </w:r>
      <w:r w:rsidR="00114B6D">
        <w:rPr>
          <w:rFonts w:eastAsia="ＭＳ 明朝"/>
          <w:sz w:val="22"/>
          <w:lang w:val="en-US"/>
        </w:rPr>
        <w:t xml:space="preserve"> monitoring</w:t>
      </w:r>
      <w:r>
        <w:rPr>
          <w:rFonts w:eastAsia="ＭＳ 明朝"/>
          <w:sz w:val="22"/>
          <w:lang w:val="en-US"/>
        </w:rPr>
        <w:t xml:space="preserve"> UE, it is </w:t>
      </w:r>
      <w:r w:rsidR="00272794">
        <w:rPr>
          <w:rFonts w:eastAsia="ＭＳ 明朝"/>
          <w:sz w:val="22"/>
          <w:lang w:val="en-US"/>
        </w:rPr>
        <w:t>worthwhile to consider re-using</w:t>
      </w:r>
      <w:r>
        <w:rPr>
          <w:rFonts w:eastAsia="ＭＳ 明朝"/>
          <w:sz w:val="22"/>
          <w:lang w:val="en-US"/>
        </w:rPr>
        <w:t xml:space="preserve"> resource allocation field(s) of the scheduling DCI for the pre-emption indication. </w:t>
      </w:r>
    </w:p>
    <w:p w14:paraId="4A39C748" w14:textId="5A2D0771" w:rsidR="008966B6" w:rsidRDefault="00BF0DC6" w:rsidP="00CE6AFD">
      <w:pPr>
        <w:spacing w:afterLines="50" w:after="120"/>
        <w:jc w:val="both"/>
        <w:rPr>
          <w:rFonts w:eastAsia="ＭＳ 明朝"/>
          <w:sz w:val="22"/>
          <w:lang w:val="en-US"/>
        </w:rPr>
      </w:pPr>
      <w:r>
        <w:rPr>
          <w:rFonts w:eastAsia="ＭＳ 明朝"/>
          <w:sz w:val="22"/>
          <w:lang w:val="en-US"/>
        </w:rPr>
        <w:t xml:space="preserve">For </w:t>
      </w:r>
      <w:r w:rsidR="007D799C">
        <w:rPr>
          <w:rFonts w:eastAsia="ＭＳ 明朝"/>
          <w:sz w:val="22"/>
          <w:lang w:val="en-US"/>
        </w:rPr>
        <w:t>slot-based scheduling</w:t>
      </w:r>
      <w:r>
        <w:rPr>
          <w:rFonts w:eastAsia="ＭＳ 明朝"/>
          <w:sz w:val="22"/>
          <w:lang w:val="en-US"/>
        </w:rPr>
        <w:t xml:space="preserve">, a data </w:t>
      </w:r>
      <w:r w:rsidR="00316712">
        <w:rPr>
          <w:rFonts w:eastAsia="ＭＳ 明朝"/>
          <w:sz w:val="22"/>
          <w:lang w:val="en-US"/>
        </w:rPr>
        <w:t xml:space="preserve">is typically scheduled </w:t>
      </w:r>
      <w:r>
        <w:rPr>
          <w:rFonts w:eastAsia="ＭＳ 明朝"/>
          <w:sz w:val="22"/>
          <w:lang w:val="en-US"/>
        </w:rPr>
        <w:t xml:space="preserve">over a slot or slightly smaller than a slot. </w:t>
      </w:r>
      <w:r w:rsidR="000A4CED">
        <w:rPr>
          <w:rFonts w:eastAsia="ＭＳ 明朝"/>
          <w:sz w:val="22"/>
          <w:lang w:val="en-US"/>
        </w:rPr>
        <w:t xml:space="preserve">Therefore, the DCI for </w:t>
      </w:r>
      <w:r w:rsidR="00272794">
        <w:rPr>
          <w:rFonts w:eastAsia="ＭＳ 明朝"/>
          <w:sz w:val="22"/>
          <w:lang w:val="en-US"/>
        </w:rPr>
        <w:t>slot-based scheduling</w:t>
      </w:r>
      <w:r w:rsidR="000A4CED">
        <w:rPr>
          <w:rFonts w:eastAsia="ＭＳ 明朝"/>
          <w:sz w:val="22"/>
          <w:lang w:val="en-US"/>
        </w:rPr>
        <w:t xml:space="preserve"> should have resource allocation field</w:t>
      </w:r>
      <w:r w:rsidR="00114B6D">
        <w:rPr>
          <w:rFonts w:eastAsia="ＭＳ 明朝"/>
          <w:sz w:val="22"/>
          <w:lang w:val="en-US"/>
        </w:rPr>
        <w:t>(s)</w:t>
      </w:r>
      <w:r w:rsidR="000A4CED">
        <w:rPr>
          <w:rFonts w:eastAsia="ＭＳ 明朝"/>
          <w:sz w:val="22"/>
          <w:lang w:val="en-US"/>
        </w:rPr>
        <w:t xml:space="preserve"> with fine granularity for frequency-domain </w:t>
      </w:r>
      <w:r w:rsidR="006B5DF5">
        <w:rPr>
          <w:rFonts w:eastAsia="ＭＳ 明朝"/>
          <w:sz w:val="22"/>
          <w:lang w:val="en-US"/>
        </w:rPr>
        <w:t>(e.g., RBG-level bit-map [</w:t>
      </w:r>
      <w:r w:rsidR="00272794">
        <w:rPr>
          <w:rFonts w:eastAsia="ＭＳ 明朝"/>
          <w:sz w:val="22"/>
          <w:lang w:val="en-US"/>
        </w:rPr>
        <w:t>9</w:t>
      </w:r>
      <w:r w:rsidR="006B5DF5">
        <w:rPr>
          <w:rFonts w:eastAsia="ＭＳ 明朝"/>
          <w:sz w:val="22"/>
          <w:lang w:val="en-US"/>
        </w:rPr>
        <w:t xml:space="preserve">]) </w:t>
      </w:r>
      <w:r w:rsidR="000A4CED">
        <w:rPr>
          <w:rFonts w:eastAsia="ＭＳ 明朝"/>
          <w:sz w:val="22"/>
          <w:lang w:val="en-US"/>
        </w:rPr>
        <w:t>and coarse granularity for time-domain</w:t>
      </w:r>
      <w:r w:rsidR="006B5DF5">
        <w:rPr>
          <w:rFonts w:eastAsia="ＭＳ 明朝"/>
          <w:sz w:val="22"/>
          <w:lang w:val="en-US"/>
        </w:rPr>
        <w:t xml:space="preserve"> (e.g., </w:t>
      </w:r>
      <w:r w:rsidR="00114B6D">
        <w:rPr>
          <w:rFonts w:eastAsia="ＭＳ 明朝"/>
          <w:sz w:val="22"/>
          <w:lang w:val="en-US"/>
        </w:rPr>
        <w:t>a few bits</w:t>
      </w:r>
      <w:r w:rsidR="006B5DF5">
        <w:rPr>
          <w:rFonts w:eastAsia="ＭＳ 明朝"/>
          <w:sz w:val="22"/>
          <w:lang w:val="en-US"/>
        </w:rPr>
        <w:t xml:space="preserve"> indication of starting position/duration [</w:t>
      </w:r>
      <w:r w:rsidR="00272794">
        <w:rPr>
          <w:rFonts w:eastAsia="ＭＳ 明朝"/>
          <w:sz w:val="22"/>
          <w:lang w:val="en-US"/>
        </w:rPr>
        <w:t>10</w:t>
      </w:r>
      <w:r w:rsidR="006B5DF5">
        <w:rPr>
          <w:rFonts w:eastAsia="ＭＳ 明朝"/>
          <w:sz w:val="22"/>
          <w:lang w:val="en-US"/>
        </w:rPr>
        <w:t>])</w:t>
      </w:r>
      <w:r w:rsidR="000A4CED">
        <w:rPr>
          <w:rFonts w:eastAsia="ＭＳ 明朝"/>
          <w:sz w:val="22"/>
          <w:lang w:val="en-US"/>
        </w:rPr>
        <w:t xml:space="preserve">. </w:t>
      </w:r>
      <w:r>
        <w:rPr>
          <w:rFonts w:eastAsia="ＭＳ 明朝"/>
          <w:sz w:val="22"/>
          <w:lang w:val="en-US"/>
        </w:rPr>
        <w:t xml:space="preserve">For </w:t>
      </w:r>
      <w:r w:rsidR="00272794">
        <w:rPr>
          <w:rFonts w:eastAsia="ＭＳ 明朝"/>
          <w:sz w:val="22"/>
          <w:lang w:val="en-US"/>
        </w:rPr>
        <w:t xml:space="preserve">non-slot-based scheduling (e.g., for </w:t>
      </w:r>
      <w:r w:rsidR="00114B6D">
        <w:rPr>
          <w:rFonts w:eastAsia="ＭＳ 明朝"/>
          <w:sz w:val="22"/>
          <w:lang w:val="en-US"/>
        </w:rPr>
        <w:t>low-latency services</w:t>
      </w:r>
      <w:r w:rsidR="00272794">
        <w:rPr>
          <w:rFonts w:eastAsia="ＭＳ 明朝"/>
          <w:sz w:val="22"/>
          <w:lang w:val="en-US"/>
        </w:rPr>
        <w:t>)</w:t>
      </w:r>
      <w:r>
        <w:rPr>
          <w:rFonts w:eastAsia="ＭＳ 明朝"/>
          <w:sz w:val="22"/>
          <w:lang w:val="en-US"/>
        </w:rPr>
        <w:t xml:space="preserve">, </w:t>
      </w:r>
      <w:r w:rsidR="009A6110">
        <w:rPr>
          <w:rFonts w:eastAsia="ＭＳ 明朝"/>
          <w:sz w:val="22"/>
          <w:lang w:val="en-US"/>
        </w:rPr>
        <w:t xml:space="preserve">DCI should have less payload to lower coding </w:t>
      </w:r>
      <w:r w:rsidR="00272794">
        <w:rPr>
          <w:rFonts w:eastAsia="ＭＳ 明朝"/>
          <w:sz w:val="22"/>
          <w:lang w:val="en-US"/>
        </w:rPr>
        <w:t>rate or save overhead,</w:t>
      </w:r>
      <w:r w:rsidR="009A6110">
        <w:rPr>
          <w:rFonts w:eastAsia="ＭＳ 明朝"/>
          <w:sz w:val="22"/>
          <w:lang w:val="en-US"/>
        </w:rPr>
        <w:t xml:space="preserve"> and typically </w:t>
      </w:r>
      <w:r w:rsidR="00272794">
        <w:rPr>
          <w:rFonts w:eastAsia="ＭＳ 明朝"/>
          <w:sz w:val="22"/>
          <w:lang w:val="en-US"/>
        </w:rPr>
        <w:t>the scheduled data is close to the DCI in time,</w:t>
      </w:r>
      <w:r w:rsidR="009A6110">
        <w:rPr>
          <w:rFonts w:eastAsia="ＭＳ 明朝"/>
          <w:sz w:val="22"/>
          <w:lang w:val="en-US"/>
        </w:rPr>
        <w:t xml:space="preserve"> so that the delay between the DCI and the scheduled data is minimal. </w:t>
      </w:r>
      <w:r w:rsidR="00316712">
        <w:rPr>
          <w:rFonts w:eastAsia="ＭＳ 明朝"/>
          <w:sz w:val="22"/>
          <w:lang w:val="en-US"/>
        </w:rPr>
        <w:t>Therefore</w:t>
      </w:r>
      <w:r w:rsidR="009A6110">
        <w:rPr>
          <w:rFonts w:eastAsia="ＭＳ 明朝"/>
          <w:sz w:val="22"/>
          <w:lang w:val="en-US"/>
        </w:rPr>
        <w:t xml:space="preserve">, </w:t>
      </w:r>
      <w:r w:rsidR="00316712">
        <w:rPr>
          <w:rFonts w:eastAsia="ＭＳ 明朝"/>
          <w:sz w:val="22"/>
          <w:lang w:val="en-US"/>
        </w:rPr>
        <w:t xml:space="preserve">the </w:t>
      </w:r>
      <w:r w:rsidR="009A6110">
        <w:rPr>
          <w:rFonts w:eastAsia="ＭＳ 明朝"/>
          <w:sz w:val="22"/>
          <w:lang w:val="en-US"/>
        </w:rPr>
        <w:t xml:space="preserve">DCI for </w:t>
      </w:r>
      <w:r w:rsidR="00272794">
        <w:rPr>
          <w:rFonts w:eastAsia="ＭＳ 明朝"/>
          <w:sz w:val="22"/>
          <w:lang w:val="en-US"/>
        </w:rPr>
        <w:t>low-latency</w:t>
      </w:r>
      <w:r w:rsidR="009A6110">
        <w:rPr>
          <w:rFonts w:eastAsia="ＭＳ 明朝"/>
          <w:sz w:val="22"/>
          <w:lang w:val="en-US"/>
        </w:rPr>
        <w:t xml:space="preserve"> data </w:t>
      </w:r>
      <w:r w:rsidR="00114B6D">
        <w:rPr>
          <w:rFonts w:eastAsia="ＭＳ 明朝"/>
          <w:sz w:val="22"/>
          <w:lang w:val="en-US"/>
        </w:rPr>
        <w:t xml:space="preserve">could have </w:t>
      </w:r>
      <w:r w:rsidR="009A6110">
        <w:rPr>
          <w:rFonts w:eastAsia="ＭＳ 明朝"/>
          <w:sz w:val="22"/>
          <w:lang w:val="en-US"/>
        </w:rPr>
        <w:t>resource allocation field</w:t>
      </w:r>
      <w:r w:rsidR="00114B6D">
        <w:rPr>
          <w:rFonts w:eastAsia="ＭＳ 明朝"/>
          <w:sz w:val="22"/>
          <w:lang w:val="en-US"/>
        </w:rPr>
        <w:t>(s)</w:t>
      </w:r>
      <w:r w:rsidR="009A6110">
        <w:rPr>
          <w:rFonts w:eastAsia="ＭＳ 明朝"/>
          <w:sz w:val="22"/>
          <w:lang w:val="en-US"/>
        </w:rPr>
        <w:t xml:space="preserve"> with coarse granularity in both frequency and time-domains. </w:t>
      </w:r>
      <w:r w:rsidR="00316712">
        <w:rPr>
          <w:rFonts w:eastAsia="ＭＳ 明朝"/>
          <w:sz w:val="22"/>
          <w:lang w:val="en-US"/>
        </w:rPr>
        <w:t xml:space="preserve">The desirable granularity of pre-emption indication for time/frequency resources is </w:t>
      </w:r>
      <w:r w:rsidR="00E8681F">
        <w:rPr>
          <w:rFonts w:eastAsia="ＭＳ 明朝"/>
          <w:sz w:val="22"/>
          <w:lang w:val="en-US"/>
        </w:rPr>
        <w:t>fine for time-domain</w:t>
      </w:r>
      <w:r w:rsidR="008966B6">
        <w:rPr>
          <w:rFonts w:eastAsia="ＭＳ 明朝"/>
          <w:sz w:val="22"/>
          <w:lang w:val="en-US"/>
        </w:rPr>
        <w:t xml:space="preserve"> and fine/coarse in frequency-domain</w:t>
      </w:r>
      <w:r w:rsidR="00FA11CA">
        <w:rPr>
          <w:rFonts w:eastAsia="ＭＳ 明朝"/>
          <w:sz w:val="22"/>
          <w:lang w:val="en-US"/>
        </w:rPr>
        <w:t>; which</w:t>
      </w:r>
      <w:r w:rsidR="008966B6">
        <w:rPr>
          <w:rFonts w:eastAsia="ＭＳ 明朝"/>
          <w:sz w:val="22"/>
          <w:lang w:val="en-US"/>
        </w:rPr>
        <w:t xml:space="preserve"> is </w:t>
      </w:r>
      <w:r w:rsidR="00FA11CA">
        <w:rPr>
          <w:rFonts w:eastAsia="ＭＳ 明朝"/>
          <w:sz w:val="22"/>
          <w:lang w:val="en-US"/>
        </w:rPr>
        <w:t xml:space="preserve">NOT </w:t>
      </w:r>
      <w:r w:rsidR="008966B6">
        <w:rPr>
          <w:rFonts w:eastAsia="ＭＳ 明朝"/>
          <w:sz w:val="22"/>
          <w:lang w:val="en-US"/>
        </w:rPr>
        <w:t xml:space="preserve">aligned either with </w:t>
      </w:r>
      <w:r w:rsidR="00FA11CA">
        <w:rPr>
          <w:rFonts w:eastAsia="ＭＳ 明朝"/>
          <w:sz w:val="22"/>
          <w:lang w:val="en-US"/>
        </w:rPr>
        <w:t xml:space="preserve">that for </w:t>
      </w:r>
      <w:r w:rsidR="00272794">
        <w:rPr>
          <w:rFonts w:eastAsia="ＭＳ 明朝"/>
          <w:sz w:val="22"/>
          <w:lang w:val="en-US"/>
        </w:rPr>
        <w:t>slot-based scheduling</w:t>
      </w:r>
      <w:r w:rsidR="008966B6">
        <w:rPr>
          <w:rFonts w:eastAsia="ＭＳ 明朝"/>
          <w:sz w:val="22"/>
          <w:lang w:val="en-US"/>
        </w:rPr>
        <w:t xml:space="preserve"> or </w:t>
      </w:r>
      <w:r w:rsidR="00272794">
        <w:rPr>
          <w:rFonts w:eastAsia="ＭＳ 明朝"/>
          <w:sz w:val="22"/>
          <w:lang w:val="en-US"/>
        </w:rPr>
        <w:t>non-slot-based scheduling</w:t>
      </w:r>
      <w:r w:rsidR="008966B6">
        <w:rPr>
          <w:rFonts w:eastAsia="ＭＳ 明朝"/>
          <w:sz w:val="22"/>
          <w:lang w:val="en-US"/>
        </w:rPr>
        <w:t>.</w:t>
      </w:r>
    </w:p>
    <w:p w14:paraId="7B220193" w14:textId="27A32F03" w:rsidR="006B5DF5" w:rsidRDefault="006B5DF5" w:rsidP="00CE6AFD">
      <w:pPr>
        <w:spacing w:afterLines="50" w:after="120"/>
        <w:jc w:val="both"/>
        <w:rPr>
          <w:rFonts w:eastAsia="ＭＳ 明朝"/>
          <w:sz w:val="22"/>
          <w:lang w:val="en-US"/>
        </w:rPr>
      </w:pPr>
      <w:r>
        <w:rPr>
          <w:rFonts w:eastAsia="ＭＳ 明朝"/>
          <w:sz w:val="22"/>
          <w:lang w:val="en-US"/>
        </w:rPr>
        <w:t xml:space="preserve">The </w:t>
      </w:r>
      <w:r w:rsidR="00E83F57">
        <w:rPr>
          <w:rFonts w:eastAsia="ＭＳ 明朝"/>
          <w:sz w:val="22"/>
          <w:lang w:val="en-US"/>
        </w:rPr>
        <w:t>resource granularity</w:t>
      </w:r>
      <w:r>
        <w:rPr>
          <w:rFonts w:eastAsia="ＭＳ 明朝"/>
          <w:sz w:val="22"/>
          <w:lang w:val="en-US"/>
        </w:rPr>
        <w:t xml:space="preserve"> of pre-empted resource should be aligned with </w:t>
      </w:r>
      <w:r w:rsidR="00E83F57">
        <w:rPr>
          <w:rFonts w:eastAsia="ＭＳ 明朝"/>
          <w:sz w:val="22"/>
          <w:lang w:val="en-US"/>
        </w:rPr>
        <w:t xml:space="preserve">that for </w:t>
      </w:r>
      <w:r>
        <w:rPr>
          <w:rFonts w:eastAsia="ＭＳ 明朝"/>
          <w:sz w:val="22"/>
          <w:lang w:val="en-US"/>
        </w:rPr>
        <w:t>URLLC data. Therefore, the granularity of time/frequency resources for pre-emption indication should be discussed together with the resource allocation mechanism</w:t>
      </w:r>
      <w:r w:rsidR="00FA11CA">
        <w:rPr>
          <w:rFonts w:eastAsia="ＭＳ 明朝"/>
          <w:sz w:val="22"/>
          <w:lang w:val="en-US"/>
        </w:rPr>
        <w:t>/granularity</w:t>
      </w:r>
      <w:r>
        <w:rPr>
          <w:rFonts w:eastAsia="ＭＳ 明朝"/>
          <w:sz w:val="22"/>
          <w:lang w:val="en-US"/>
        </w:rPr>
        <w:t xml:space="preserve"> for URLLC data.</w:t>
      </w:r>
    </w:p>
    <w:p w14:paraId="45372724" w14:textId="2B8A2E52" w:rsidR="006B5DF5" w:rsidRPr="00D501B3" w:rsidRDefault="006B5DF5" w:rsidP="006B5DF5">
      <w:pPr>
        <w:spacing w:afterLines="50" w:after="120"/>
        <w:jc w:val="both"/>
        <w:rPr>
          <w:rFonts w:eastAsia="ＭＳ 明朝"/>
          <w:b/>
          <w:sz w:val="22"/>
          <w:u w:val="single"/>
          <w:lang w:val="en-US"/>
        </w:rPr>
      </w:pPr>
      <w:r>
        <w:rPr>
          <w:rFonts w:eastAsia="ＭＳ 明朝"/>
          <w:b/>
          <w:sz w:val="22"/>
          <w:u w:val="single"/>
          <w:lang w:val="en-US"/>
        </w:rPr>
        <w:t>Proposal 2</w:t>
      </w:r>
      <w:r w:rsidRPr="00D501B3">
        <w:rPr>
          <w:rFonts w:eastAsia="ＭＳ 明朝"/>
          <w:b/>
          <w:sz w:val="22"/>
          <w:u w:val="single"/>
          <w:lang w:val="en-US"/>
        </w:rPr>
        <w:t>:</w:t>
      </w:r>
    </w:p>
    <w:p w14:paraId="6FE56173" w14:textId="1C6A0D5F" w:rsidR="006B5DF5" w:rsidRDefault="006B5DF5" w:rsidP="006B5DF5">
      <w:pPr>
        <w:pStyle w:val="afc"/>
        <w:numPr>
          <w:ilvl w:val="0"/>
          <w:numId w:val="16"/>
        </w:numPr>
        <w:spacing w:afterLines="50" w:after="120"/>
        <w:ind w:leftChars="0"/>
        <w:jc w:val="both"/>
        <w:rPr>
          <w:rFonts w:eastAsia="ＭＳ 明朝"/>
          <w:i/>
          <w:sz w:val="22"/>
          <w:lang w:val="en-US"/>
        </w:rPr>
      </w:pPr>
      <w:r>
        <w:rPr>
          <w:rFonts w:eastAsia="ＭＳ 明朝"/>
          <w:i/>
          <w:sz w:val="22"/>
          <w:lang w:val="en-US"/>
        </w:rPr>
        <w:t>Granularity of time/frequency resources for pre-emption indication should be discussed together with the resource allocation mechanism</w:t>
      </w:r>
      <w:r w:rsidR="004F0E62">
        <w:rPr>
          <w:rFonts w:eastAsia="ＭＳ 明朝"/>
          <w:i/>
          <w:sz w:val="22"/>
          <w:lang w:val="en-US"/>
        </w:rPr>
        <w:t>/granularity</w:t>
      </w:r>
      <w:r>
        <w:rPr>
          <w:rFonts w:eastAsia="ＭＳ 明朝"/>
          <w:i/>
          <w:sz w:val="22"/>
          <w:lang w:val="en-US"/>
        </w:rPr>
        <w:t xml:space="preserve"> for URLLC data.</w:t>
      </w:r>
    </w:p>
    <w:p w14:paraId="43FED1B2" w14:textId="1BEC6F40" w:rsidR="00287F93" w:rsidRDefault="00287F93" w:rsidP="007A29D2">
      <w:pPr>
        <w:spacing w:afterLines="50" w:after="120"/>
        <w:jc w:val="both"/>
        <w:rPr>
          <w:rFonts w:eastAsia="ＭＳ 明朝"/>
          <w:sz w:val="22"/>
          <w:lang w:val="en-US"/>
        </w:rPr>
      </w:pPr>
    </w:p>
    <w:p w14:paraId="14BB827D" w14:textId="1F9BB5D3" w:rsidR="007D799C" w:rsidRPr="005D0A85" w:rsidRDefault="007D799C" w:rsidP="007D799C">
      <w:pPr>
        <w:pStyle w:val="1"/>
        <w:numPr>
          <w:ilvl w:val="0"/>
          <w:numId w:val="5"/>
        </w:numPr>
        <w:spacing w:after="120"/>
        <w:jc w:val="both"/>
        <w:rPr>
          <w:b/>
          <w:lang w:val="en-US"/>
        </w:rPr>
      </w:pPr>
      <w:r>
        <w:rPr>
          <w:b/>
          <w:lang w:val="en-US"/>
        </w:rPr>
        <w:t>UE procedure when the PDSCH pre-emption is indicated</w:t>
      </w:r>
    </w:p>
    <w:p w14:paraId="58749B40" w14:textId="39347129" w:rsidR="007D799C" w:rsidRDefault="007D799C" w:rsidP="007A29D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w:t>
      </w:r>
      <w:r>
        <w:rPr>
          <w:rFonts w:eastAsia="ＭＳ 明朝" w:hint="eastAsia"/>
          <w:sz w:val="22"/>
          <w:lang w:val="en-US"/>
        </w:rPr>
        <w:t xml:space="preserve">e </w:t>
      </w:r>
      <w:r>
        <w:rPr>
          <w:rFonts w:eastAsia="ＭＳ 明朝"/>
          <w:sz w:val="22"/>
          <w:lang w:val="en-US"/>
        </w:rPr>
        <w:t xml:space="preserve">pre-emption indication is </w:t>
      </w:r>
      <w:r w:rsidR="003209E0">
        <w:rPr>
          <w:rFonts w:eastAsia="ＭＳ 明朝"/>
          <w:sz w:val="22"/>
          <w:lang w:val="en-US"/>
        </w:rPr>
        <w:t>targeting to inform puncturing a data with</w:t>
      </w:r>
      <w:r>
        <w:rPr>
          <w:rFonts w:eastAsia="ＭＳ 明朝"/>
          <w:sz w:val="22"/>
          <w:lang w:val="en-US"/>
        </w:rPr>
        <w:t xml:space="preserve"> slot-based scheduling. The UE receiving PDSCH starts demodulation/decoding procedure; channel estimation, demodulation, and decoding. If the UE receives pre-emption indication </w:t>
      </w:r>
      <w:r w:rsidR="00A1540B">
        <w:rPr>
          <w:rFonts w:eastAsia="ＭＳ 明朝"/>
          <w:sz w:val="22"/>
          <w:lang w:val="en-US"/>
        </w:rPr>
        <w:t>informing</w:t>
      </w:r>
      <w:r>
        <w:rPr>
          <w:rFonts w:eastAsia="ＭＳ 明朝"/>
          <w:sz w:val="22"/>
          <w:lang w:val="en-US"/>
        </w:rPr>
        <w:t xml:space="preserve"> </w:t>
      </w:r>
      <w:r w:rsidR="003209E0">
        <w:rPr>
          <w:rFonts w:eastAsia="ＭＳ 明朝"/>
          <w:sz w:val="22"/>
          <w:lang w:val="en-US"/>
        </w:rPr>
        <w:t>the punctured resource</w:t>
      </w:r>
      <w:r>
        <w:rPr>
          <w:rFonts w:eastAsia="ＭＳ 明朝"/>
          <w:sz w:val="22"/>
          <w:lang w:val="en-US"/>
        </w:rPr>
        <w:t xml:space="preserve"> in the PDSCH, the UE </w:t>
      </w:r>
      <w:r w:rsidR="003209E0">
        <w:rPr>
          <w:rFonts w:eastAsia="ＭＳ 明朝"/>
          <w:sz w:val="22"/>
          <w:lang w:val="en-US"/>
        </w:rPr>
        <w:t xml:space="preserve">should </w:t>
      </w:r>
      <w:r w:rsidR="00A1540B">
        <w:rPr>
          <w:rFonts w:eastAsia="ＭＳ 明朝"/>
          <w:sz w:val="22"/>
          <w:lang w:val="en-US"/>
        </w:rPr>
        <w:t xml:space="preserve">re-start </w:t>
      </w:r>
      <w:r w:rsidR="003209E0">
        <w:rPr>
          <w:rFonts w:eastAsia="ＭＳ 明朝"/>
          <w:sz w:val="22"/>
          <w:lang w:val="en-US"/>
        </w:rPr>
        <w:t>demodulation/decoding procedure</w:t>
      </w:r>
      <w:r w:rsidR="00A1540B">
        <w:rPr>
          <w:rFonts w:eastAsia="ＭＳ 明朝"/>
          <w:sz w:val="22"/>
          <w:lang w:val="en-US"/>
        </w:rPr>
        <w:t xml:space="preserve"> taking into account </w:t>
      </w:r>
      <w:r w:rsidR="003209E0">
        <w:rPr>
          <w:rFonts w:eastAsia="ＭＳ 明朝"/>
          <w:sz w:val="22"/>
          <w:lang w:val="en-US"/>
        </w:rPr>
        <w:t>the received parts in the</w:t>
      </w:r>
      <w:r w:rsidR="00A1540B">
        <w:rPr>
          <w:rFonts w:eastAsia="ＭＳ 明朝"/>
          <w:sz w:val="22"/>
          <w:lang w:val="en-US"/>
        </w:rPr>
        <w:t xml:space="preserve"> pre-empted resource</w:t>
      </w:r>
      <w:r w:rsidR="003209E0">
        <w:rPr>
          <w:rFonts w:eastAsia="ＭＳ 明朝"/>
          <w:sz w:val="22"/>
          <w:lang w:val="en-US"/>
        </w:rPr>
        <w:t>s</w:t>
      </w:r>
      <w:r w:rsidR="00A1540B">
        <w:rPr>
          <w:rFonts w:eastAsia="ＭＳ 明朝"/>
          <w:sz w:val="22"/>
          <w:lang w:val="en-US"/>
        </w:rPr>
        <w:t xml:space="preserve"> are not reliable.</w:t>
      </w:r>
    </w:p>
    <w:p w14:paraId="5C4E5AC8" w14:textId="0DEDF142" w:rsidR="000C234A" w:rsidRDefault="00A1540B" w:rsidP="007A29D2">
      <w:pPr>
        <w:spacing w:afterLines="50" w:after="120"/>
        <w:jc w:val="both"/>
        <w:rPr>
          <w:rFonts w:eastAsia="ＭＳ 明朝"/>
          <w:sz w:val="22"/>
          <w:lang w:val="en-US"/>
        </w:rPr>
      </w:pPr>
      <w:r>
        <w:rPr>
          <w:rFonts w:eastAsia="ＭＳ 明朝"/>
          <w:sz w:val="22"/>
          <w:lang w:val="en-US"/>
        </w:rPr>
        <w:t>UE needs a certain time interval to report HARQ-ACK based on t</w:t>
      </w:r>
      <w:r w:rsidR="003209E0">
        <w:rPr>
          <w:rFonts w:eastAsia="ＭＳ 明朝"/>
          <w:sz w:val="22"/>
          <w:lang w:val="en-US"/>
        </w:rPr>
        <w:t>he decoding result of a PDSCH. R</w:t>
      </w:r>
      <w:r w:rsidR="002D28BA">
        <w:rPr>
          <w:rFonts w:eastAsia="ＭＳ 明朝"/>
          <w:sz w:val="22"/>
          <w:lang w:val="en-US"/>
        </w:rPr>
        <w:t xml:space="preserve">eception of pre-emption indication for a </w:t>
      </w:r>
      <w:r w:rsidR="002D28BA">
        <w:rPr>
          <w:rFonts w:eastAsia="ＭＳ 明朝" w:hint="eastAsia"/>
          <w:sz w:val="22"/>
          <w:lang w:val="en-US"/>
        </w:rPr>
        <w:t xml:space="preserve">PDSCH may have impact on HARQ timeline for the PDSCH. </w:t>
      </w:r>
      <w:r w:rsidR="000C234A">
        <w:rPr>
          <w:rFonts w:eastAsia="ＭＳ 明朝"/>
          <w:sz w:val="22"/>
          <w:lang w:val="en-US"/>
        </w:rPr>
        <w:t>For example, if the HARQ-ACK timing is the minimum timing the UE can process, if the pre-emption indication is received after the PDSCH reception, the UE may not be able to feedback HARQ-ACK at the timing indicated by the scheduling DCI.</w:t>
      </w:r>
      <w:r w:rsidR="003209E0">
        <w:rPr>
          <w:rFonts w:eastAsia="ＭＳ 明朝"/>
          <w:sz w:val="22"/>
          <w:lang w:val="en-US"/>
        </w:rPr>
        <w:t xml:space="preserve"> </w:t>
      </w:r>
      <w:r w:rsidR="000C234A">
        <w:rPr>
          <w:rFonts w:eastAsia="ＭＳ 明朝"/>
          <w:sz w:val="22"/>
          <w:lang w:val="en-US"/>
        </w:rPr>
        <w:t>In order to address this issue, following options can be considered:</w:t>
      </w:r>
    </w:p>
    <w:p w14:paraId="31575776" w14:textId="78C0873C" w:rsidR="000C234A" w:rsidRDefault="000C234A" w:rsidP="007A29D2">
      <w:pPr>
        <w:spacing w:afterLines="50" w:after="120"/>
        <w:jc w:val="both"/>
        <w:rPr>
          <w:rFonts w:eastAsia="ＭＳ 明朝"/>
          <w:sz w:val="22"/>
          <w:lang w:val="en-US"/>
        </w:rPr>
      </w:pPr>
      <w:r>
        <w:rPr>
          <w:rFonts w:eastAsia="ＭＳ 明朝"/>
          <w:sz w:val="22"/>
          <w:lang w:val="en-US"/>
        </w:rPr>
        <w:t xml:space="preserve">Option 1: </w:t>
      </w:r>
      <w:r w:rsidR="00C66511">
        <w:rPr>
          <w:rFonts w:eastAsia="ＭＳ 明朝"/>
          <w:sz w:val="22"/>
          <w:lang w:val="en-US"/>
        </w:rPr>
        <w:t>Based on</w:t>
      </w:r>
      <w:r>
        <w:rPr>
          <w:rFonts w:eastAsia="ＭＳ 明朝"/>
          <w:sz w:val="22"/>
          <w:lang w:val="en-US"/>
        </w:rPr>
        <w:t xml:space="preserve"> the pre-emption indication, HARQ-ACK timing </w:t>
      </w:r>
      <w:r w:rsidR="00C66511">
        <w:rPr>
          <w:rFonts w:eastAsia="ＭＳ 明朝"/>
          <w:sz w:val="22"/>
          <w:lang w:val="en-US"/>
        </w:rPr>
        <w:t>is updated.</w:t>
      </w:r>
    </w:p>
    <w:p w14:paraId="0D10FB71" w14:textId="2D1F6B7F" w:rsidR="00C66511" w:rsidRDefault="00C66511" w:rsidP="007A29D2">
      <w:pPr>
        <w:spacing w:afterLines="50" w:after="120"/>
        <w:jc w:val="both"/>
        <w:rPr>
          <w:rFonts w:eastAsia="ＭＳ 明朝"/>
          <w:sz w:val="22"/>
          <w:lang w:val="en-US"/>
        </w:rPr>
      </w:pPr>
      <w:r>
        <w:rPr>
          <w:rFonts w:eastAsia="ＭＳ 明朝"/>
          <w:sz w:val="22"/>
          <w:lang w:val="en-US"/>
        </w:rPr>
        <w:t>Option 2: Together with the pre-emption indication, HARQ-ACK timing</w:t>
      </w:r>
      <w:r w:rsidR="003209E0">
        <w:rPr>
          <w:rFonts w:eastAsia="ＭＳ 明朝"/>
          <w:sz w:val="22"/>
          <w:lang w:val="en-US"/>
        </w:rPr>
        <w:t>/resource update information</w:t>
      </w:r>
      <w:r>
        <w:rPr>
          <w:rFonts w:eastAsia="ＭＳ 明朝"/>
          <w:sz w:val="22"/>
          <w:lang w:val="en-US"/>
        </w:rPr>
        <w:t xml:space="preserve"> is </w:t>
      </w:r>
      <w:r w:rsidR="003209E0">
        <w:rPr>
          <w:rFonts w:eastAsia="ＭＳ 明朝"/>
          <w:sz w:val="22"/>
          <w:lang w:val="en-US"/>
        </w:rPr>
        <w:t>signaled</w:t>
      </w:r>
      <w:r>
        <w:rPr>
          <w:rFonts w:eastAsia="ＭＳ 明朝"/>
          <w:sz w:val="22"/>
          <w:lang w:val="en-US"/>
        </w:rPr>
        <w:t>.</w:t>
      </w:r>
    </w:p>
    <w:p w14:paraId="1071AB05" w14:textId="3B75C121" w:rsidR="000C234A" w:rsidRDefault="00777F9A" w:rsidP="007A29D2">
      <w:pPr>
        <w:spacing w:afterLines="50" w:after="120"/>
        <w:jc w:val="both"/>
        <w:rPr>
          <w:rFonts w:eastAsia="ＭＳ 明朝"/>
          <w:sz w:val="22"/>
          <w:lang w:val="en-US"/>
        </w:rPr>
      </w:pPr>
      <w:r>
        <w:rPr>
          <w:rFonts w:eastAsia="ＭＳ 明朝"/>
          <w:sz w:val="22"/>
          <w:lang w:val="en-US"/>
        </w:rPr>
        <w:t>Option 3</w:t>
      </w:r>
      <w:r w:rsidR="000C234A">
        <w:rPr>
          <w:rFonts w:eastAsia="ＭＳ 明朝"/>
          <w:sz w:val="22"/>
          <w:lang w:val="en-US"/>
        </w:rPr>
        <w:t>: The scheduling DCI indicates HARQ-ACK timing</w:t>
      </w:r>
      <w:r w:rsidR="003209E0">
        <w:rPr>
          <w:rFonts w:eastAsia="ＭＳ 明朝"/>
          <w:sz w:val="22"/>
          <w:lang w:val="en-US"/>
        </w:rPr>
        <w:t>,</w:t>
      </w:r>
      <w:r w:rsidR="000C234A">
        <w:rPr>
          <w:rFonts w:eastAsia="ＭＳ 明朝"/>
          <w:sz w:val="22"/>
          <w:lang w:val="en-US"/>
        </w:rPr>
        <w:t xml:space="preserve"> such that the time difference between pre-emption indication and the HARQ-ACK timing is equal to or larger than the minimum HARQ timeline.</w:t>
      </w:r>
      <w:r w:rsidR="00F60A5F">
        <w:rPr>
          <w:rFonts w:eastAsia="ＭＳ 明朝"/>
          <w:sz w:val="22"/>
          <w:lang w:val="en-US"/>
        </w:rPr>
        <w:t xml:space="preserve"> In other words, scheduler takes into account the timeline such that the minimum HARQ timeline is ensured after the reception of pre-emption indication.</w:t>
      </w:r>
    </w:p>
    <w:p w14:paraId="2CE91688" w14:textId="7815389F" w:rsidR="00C66511" w:rsidRDefault="00F60A5F" w:rsidP="007A29D2">
      <w:pPr>
        <w:spacing w:afterLines="50" w:after="120"/>
        <w:jc w:val="both"/>
        <w:rPr>
          <w:rFonts w:eastAsia="ＭＳ 明朝"/>
          <w:sz w:val="22"/>
          <w:lang w:val="en-US"/>
        </w:rPr>
      </w:pPr>
      <w:r>
        <w:rPr>
          <w:rFonts w:eastAsia="ＭＳ 明朝" w:hint="eastAsia"/>
          <w:sz w:val="22"/>
          <w:lang w:val="en-US"/>
        </w:rPr>
        <w:lastRenderedPageBreak/>
        <w:t>Among them, option 3 would</w:t>
      </w:r>
      <w:r w:rsidR="00777F9A">
        <w:rPr>
          <w:rFonts w:eastAsia="ＭＳ 明朝" w:hint="eastAsia"/>
          <w:sz w:val="22"/>
          <w:lang w:val="en-US"/>
        </w:rPr>
        <w:t xml:space="preserve"> only </w:t>
      </w:r>
      <w:r>
        <w:rPr>
          <w:rFonts w:eastAsia="ＭＳ 明朝"/>
          <w:sz w:val="22"/>
          <w:lang w:val="en-US"/>
        </w:rPr>
        <w:t>be feasible</w:t>
      </w:r>
      <w:r w:rsidR="00777F9A">
        <w:rPr>
          <w:rFonts w:eastAsia="ＭＳ 明朝" w:hint="eastAsia"/>
          <w:sz w:val="22"/>
          <w:lang w:val="en-US"/>
        </w:rPr>
        <w:t xml:space="preserve">. </w:t>
      </w:r>
      <w:r w:rsidR="00777F9A">
        <w:rPr>
          <w:rFonts w:eastAsia="ＭＳ 明朝"/>
          <w:sz w:val="22"/>
          <w:lang w:val="en-US"/>
        </w:rPr>
        <w:t>Option 1 requires network to reserve multiple PUCCH resources for a PDSCH such that pote</w:t>
      </w:r>
      <w:r>
        <w:rPr>
          <w:rFonts w:eastAsia="ＭＳ 明朝"/>
          <w:sz w:val="22"/>
          <w:lang w:val="en-US"/>
        </w:rPr>
        <w:t>ntial pre-emption can be informed</w:t>
      </w:r>
      <w:r w:rsidR="00777F9A">
        <w:rPr>
          <w:rFonts w:eastAsia="ＭＳ 明朝"/>
          <w:sz w:val="22"/>
          <w:lang w:val="en-US"/>
        </w:rPr>
        <w:t xml:space="preserve">. Option 2 is not realistic since the pre-emption indication is transmitted in the group-common </w:t>
      </w:r>
      <w:r>
        <w:rPr>
          <w:rFonts w:eastAsia="ＭＳ 明朝"/>
          <w:sz w:val="22"/>
          <w:lang w:val="en-US"/>
        </w:rPr>
        <w:t>DCI</w:t>
      </w:r>
      <w:r w:rsidR="00777F9A">
        <w:rPr>
          <w:rFonts w:eastAsia="ＭＳ 明朝"/>
          <w:sz w:val="22"/>
          <w:lang w:val="en-US"/>
        </w:rPr>
        <w:t xml:space="preserve">, while the HARQ-ACK timing is UE-specific. </w:t>
      </w:r>
      <w:r>
        <w:rPr>
          <w:rFonts w:eastAsia="ＭＳ 明朝"/>
          <w:sz w:val="22"/>
          <w:lang w:val="en-US"/>
        </w:rPr>
        <w:t>Option 3, although it requires to delay the HARQ-ACK timing when no pre-emption is indicated, resolves the issue without harm.</w:t>
      </w:r>
    </w:p>
    <w:p w14:paraId="0BC0CC66" w14:textId="35E0A787" w:rsidR="00777F9A" w:rsidRPr="00777F9A" w:rsidRDefault="00777F9A" w:rsidP="00777F9A">
      <w:pPr>
        <w:spacing w:afterLines="50" w:after="120"/>
        <w:jc w:val="both"/>
        <w:rPr>
          <w:rFonts w:eastAsia="ＭＳ 明朝"/>
          <w:b/>
          <w:sz w:val="22"/>
          <w:u w:val="single"/>
          <w:lang w:val="en-US"/>
        </w:rPr>
      </w:pPr>
      <w:r>
        <w:rPr>
          <w:rFonts w:eastAsia="ＭＳ 明朝"/>
          <w:b/>
          <w:sz w:val="22"/>
          <w:u w:val="single"/>
          <w:lang w:val="en-US"/>
        </w:rPr>
        <w:t>Proposal 3</w:t>
      </w:r>
      <w:r w:rsidRPr="00777F9A">
        <w:rPr>
          <w:rFonts w:eastAsia="ＭＳ 明朝"/>
          <w:b/>
          <w:sz w:val="22"/>
          <w:u w:val="single"/>
          <w:lang w:val="en-US"/>
        </w:rPr>
        <w:t>:</w:t>
      </w:r>
    </w:p>
    <w:p w14:paraId="44DB5C8D" w14:textId="58E0EA5F" w:rsidR="00777F9A" w:rsidRPr="00F60A5F" w:rsidRDefault="00777F9A" w:rsidP="007A29D2">
      <w:pPr>
        <w:numPr>
          <w:ilvl w:val="0"/>
          <w:numId w:val="16"/>
        </w:numPr>
        <w:spacing w:afterLines="50" w:after="120"/>
        <w:jc w:val="both"/>
        <w:rPr>
          <w:rFonts w:eastAsia="ＭＳ 明朝"/>
          <w:i/>
          <w:sz w:val="22"/>
          <w:lang w:val="en-US"/>
        </w:rPr>
      </w:pPr>
      <w:r>
        <w:rPr>
          <w:rFonts w:eastAsia="ＭＳ 明朝"/>
          <w:i/>
          <w:sz w:val="22"/>
          <w:lang w:val="en-US"/>
        </w:rPr>
        <w:t xml:space="preserve">gNB should ensure sufficient time interval for </w:t>
      </w:r>
      <w:r w:rsidR="00F60A5F">
        <w:rPr>
          <w:rFonts w:eastAsia="ＭＳ 明朝"/>
          <w:i/>
          <w:sz w:val="22"/>
          <w:lang w:val="en-US"/>
        </w:rPr>
        <w:t xml:space="preserve">UE </w:t>
      </w:r>
      <w:r>
        <w:rPr>
          <w:rFonts w:eastAsia="ＭＳ 明朝"/>
          <w:i/>
          <w:sz w:val="22"/>
          <w:lang w:val="en-US"/>
        </w:rPr>
        <w:t xml:space="preserve">processing a PDSCH after </w:t>
      </w:r>
      <w:r w:rsidR="00F60A5F">
        <w:rPr>
          <w:rFonts w:eastAsia="ＭＳ 明朝"/>
          <w:i/>
          <w:sz w:val="22"/>
          <w:lang w:val="en-US"/>
        </w:rPr>
        <w:t>receiving a</w:t>
      </w:r>
      <w:r>
        <w:rPr>
          <w:rFonts w:eastAsia="ＭＳ 明朝"/>
          <w:i/>
          <w:sz w:val="22"/>
          <w:lang w:val="en-US"/>
        </w:rPr>
        <w:t xml:space="preserve"> pre-emption indication </w:t>
      </w:r>
      <w:r w:rsidR="00F60A5F">
        <w:rPr>
          <w:rFonts w:eastAsia="ＭＳ 明朝"/>
          <w:i/>
          <w:sz w:val="22"/>
          <w:lang w:val="en-US"/>
        </w:rPr>
        <w:t xml:space="preserve">for the PDSCH </w:t>
      </w:r>
      <w:r>
        <w:rPr>
          <w:rFonts w:eastAsia="ＭＳ 明朝"/>
          <w:i/>
          <w:sz w:val="22"/>
          <w:lang w:val="en-US"/>
        </w:rPr>
        <w:t>unt</w:t>
      </w:r>
      <w:r w:rsidR="00F60A5F">
        <w:rPr>
          <w:rFonts w:eastAsia="ＭＳ 明朝"/>
          <w:i/>
          <w:sz w:val="22"/>
          <w:lang w:val="en-US"/>
        </w:rPr>
        <w:t>il HARQ-ACK is sent</w:t>
      </w:r>
      <w:r>
        <w:rPr>
          <w:rFonts w:eastAsia="ＭＳ 明朝"/>
          <w:i/>
          <w:sz w:val="22"/>
          <w:lang w:val="en-US"/>
        </w:rPr>
        <w:t>.</w:t>
      </w:r>
    </w:p>
    <w:p w14:paraId="14D28335" w14:textId="77777777" w:rsidR="007D799C" w:rsidRPr="00F60A5F" w:rsidRDefault="007D799C" w:rsidP="007A29D2">
      <w:pPr>
        <w:spacing w:afterLines="50" w:after="120"/>
        <w:jc w:val="both"/>
        <w:rPr>
          <w:rFonts w:eastAsia="ＭＳ 明朝"/>
          <w:sz w:val="22"/>
          <w:lang w:val="en-US"/>
        </w:rPr>
      </w:pPr>
    </w:p>
    <w:p w14:paraId="72F5D085" w14:textId="77777777" w:rsidR="00D5166A" w:rsidRPr="00CD7FA2" w:rsidRDefault="00D5166A" w:rsidP="00A65BF3">
      <w:pPr>
        <w:pStyle w:val="1"/>
        <w:numPr>
          <w:ilvl w:val="0"/>
          <w:numId w:val="5"/>
        </w:numPr>
        <w:spacing w:after="120"/>
        <w:jc w:val="both"/>
        <w:rPr>
          <w:b/>
          <w:lang w:val="en-US"/>
        </w:rPr>
      </w:pPr>
      <w:r>
        <w:rPr>
          <w:rFonts w:hint="eastAsia"/>
          <w:b/>
          <w:lang w:val="en-US"/>
        </w:rPr>
        <w:t>Conclusion</w:t>
      </w:r>
    </w:p>
    <w:p w14:paraId="72747D67" w14:textId="70F0261A" w:rsidR="00895E2D" w:rsidRDefault="00D501B3" w:rsidP="00386F11">
      <w:pPr>
        <w:widowControl w:val="0"/>
        <w:spacing w:after="120"/>
        <w:jc w:val="both"/>
        <w:rPr>
          <w:sz w:val="22"/>
          <w:szCs w:val="22"/>
          <w:lang w:val="en-US"/>
        </w:rPr>
      </w:pPr>
      <w:r>
        <w:rPr>
          <w:rFonts w:hint="eastAsia"/>
          <w:sz w:val="22"/>
          <w:szCs w:val="22"/>
          <w:lang w:val="en-US"/>
        </w:rPr>
        <w:t xml:space="preserve">In this contribution, we discussed </w:t>
      </w:r>
      <w:r w:rsidR="006B5DF5">
        <w:rPr>
          <w:sz w:val="22"/>
          <w:szCs w:val="22"/>
          <w:lang w:val="en-US"/>
        </w:rPr>
        <w:t>pre-emption indication for downlink and made following proposal</w:t>
      </w:r>
      <w:r>
        <w:rPr>
          <w:rFonts w:hint="eastAsia"/>
          <w:sz w:val="22"/>
          <w:szCs w:val="22"/>
          <w:lang w:val="en-US"/>
        </w:rPr>
        <w:t>s:</w:t>
      </w:r>
    </w:p>
    <w:p w14:paraId="1780E40A" w14:textId="77777777" w:rsidR="00F60A5F" w:rsidRPr="00D501B3" w:rsidRDefault="00F60A5F" w:rsidP="00F60A5F">
      <w:pPr>
        <w:spacing w:afterLines="50" w:after="120"/>
        <w:jc w:val="both"/>
        <w:rPr>
          <w:rFonts w:eastAsia="ＭＳ 明朝"/>
          <w:b/>
          <w:sz w:val="22"/>
          <w:u w:val="single"/>
          <w:lang w:val="en-US"/>
        </w:rPr>
      </w:pPr>
      <w:r w:rsidRPr="00D501B3">
        <w:rPr>
          <w:rFonts w:eastAsia="ＭＳ 明朝"/>
          <w:b/>
          <w:sz w:val="22"/>
          <w:u w:val="single"/>
          <w:lang w:val="en-US"/>
        </w:rPr>
        <w:t>Proposal 1:</w:t>
      </w:r>
    </w:p>
    <w:p w14:paraId="46B8FF64" w14:textId="77777777" w:rsidR="00F60A5F" w:rsidRDefault="00F60A5F" w:rsidP="00F60A5F">
      <w:pPr>
        <w:pStyle w:val="afc"/>
        <w:numPr>
          <w:ilvl w:val="0"/>
          <w:numId w:val="16"/>
        </w:numPr>
        <w:spacing w:afterLines="50" w:after="120"/>
        <w:ind w:leftChars="0"/>
        <w:jc w:val="both"/>
        <w:rPr>
          <w:rFonts w:eastAsia="ＭＳ 明朝"/>
          <w:i/>
          <w:sz w:val="22"/>
          <w:lang w:val="en-US"/>
        </w:rPr>
      </w:pPr>
      <w:r>
        <w:rPr>
          <w:rFonts w:eastAsia="ＭＳ 明朝"/>
          <w:i/>
          <w:sz w:val="22"/>
          <w:lang w:val="en-US"/>
        </w:rPr>
        <w:t>Pre-emption indication is included in a group-common PDCCH.</w:t>
      </w:r>
    </w:p>
    <w:p w14:paraId="422A7C2A" w14:textId="77777777" w:rsidR="00F60A5F" w:rsidRDefault="00F60A5F" w:rsidP="00F60A5F">
      <w:pPr>
        <w:pStyle w:val="afc"/>
        <w:numPr>
          <w:ilvl w:val="1"/>
          <w:numId w:val="16"/>
        </w:numPr>
        <w:spacing w:afterLines="50" w:after="120"/>
        <w:ind w:leftChars="0"/>
        <w:jc w:val="both"/>
        <w:rPr>
          <w:rFonts w:eastAsia="ＭＳ 明朝"/>
          <w:i/>
          <w:sz w:val="22"/>
          <w:lang w:val="en-US"/>
        </w:rPr>
      </w:pPr>
      <w:r>
        <w:rPr>
          <w:rFonts w:eastAsia="ＭＳ 明朝"/>
          <w:i/>
          <w:sz w:val="22"/>
          <w:lang w:val="en-US"/>
        </w:rPr>
        <w:t>UE can be configured to monitor group-common PDCCH carrying either or both of SFI and pre-emption indication.</w:t>
      </w:r>
    </w:p>
    <w:p w14:paraId="0BEB7235" w14:textId="77777777" w:rsidR="00F60A5F" w:rsidRPr="00D501B3" w:rsidRDefault="00F60A5F" w:rsidP="00F60A5F">
      <w:pPr>
        <w:spacing w:afterLines="50" w:after="120"/>
        <w:jc w:val="both"/>
        <w:rPr>
          <w:rFonts w:eastAsia="ＭＳ 明朝"/>
          <w:b/>
          <w:sz w:val="22"/>
          <w:u w:val="single"/>
          <w:lang w:val="en-US"/>
        </w:rPr>
      </w:pPr>
      <w:r>
        <w:rPr>
          <w:rFonts w:eastAsia="ＭＳ 明朝"/>
          <w:b/>
          <w:sz w:val="22"/>
          <w:u w:val="single"/>
          <w:lang w:val="en-US"/>
        </w:rPr>
        <w:t>Proposal 2</w:t>
      </w:r>
      <w:r w:rsidRPr="00D501B3">
        <w:rPr>
          <w:rFonts w:eastAsia="ＭＳ 明朝"/>
          <w:b/>
          <w:sz w:val="22"/>
          <w:u w:val="single"/>
          <w:lang w:val="en-US"/>
        </w:rPr>
        <w:t>:</w:t>
      </w:r>
    </w:p>
    <w:p w14:paraId="628916BF" w14:textId="77777777" w:rsidR="00F60A5F" w:rsidRDefault="00F60A5F" w:rsidP="00F60A5F">
      <w:pPr>
        <w:pStyle w:val="afc"/>
        <w:numPr>
          <w:ilvl w:val="0"/>
          <w:numId w:val="16"/>
        </w:numPr>
        <w:spacing w:afterLines="50" w:after="120"/>
        <w:ind w:leftChars="0"/>
        <w:jc w:val="both"/>
        <w:rPr>
          <w:rFonts w:eastAsia="ＭＳ 明朝"/>
          <w:i/>
          <w:sz w:val="22"/>
          <w:lang w:val="en-US"/>
        </w:rPr>
      </w:pPr>
      <w:r>
        <w:rPr>
          <w:rFonts w:eastAsia="ＭＳ 明朝"/>
          <w:i/>
          <w:sz w:val="22"/>
          <w:lang w:val="en-US"/>
        </w:rPr>
        <w:t>Granularity of time/frequency resources for pre-emption indication should be discussed together with the resource allocation mechanism/granularity for URLLC data.</w:t>
      </w:r>
    </w:p>
    <w:p w14:paraId="2C0CF12B" w14:textId="77777777" w:rsidR="00F60A5F" w:rsidRPr="00777F9A" w:rsidRDefault="00F60A5F" w:rsidP="00F60A5F">
      <w:pPr>
        <w:spacing w:afterLines="50" w:after="120"/>
        <w:jc w:val="both"/>
        <w:rPr>
          <w:rFonts w:eastAsia="ＭＳ 明朝"/>
          <w:b/>
          <w:sz w:val="22"/>
          <w:u w:val="single"/>
          <w:lang w:val="en-US"/>
        </w:rPr>
      </w:pPr>
      <w:r>
        <w:rPr>
          <w:rFonts w:eastAsia="ＭＳ 明朝"/>
          <w:b/>
          <w:sz w:val="22"/>
          <w:u w:val="single"/>
          <w:lang w:val="en-US"/>
        </w:rPr>
        <w:t>Proposal 3</w:t>
      </w:r>
      <w:r w:rsidRPr="00777F9A">
        <w:rPr>
          <w:rFonts w:eastAsia="ＭＳ 明朝"/>
          <w:b/>
          <w:sz w:val="22"/>
          <w:u w:val="single"/>
          <w:lang w:val="en-US"/>
        </w:rPr>
        <w:t>:</w:t>
      </w:r>
    </w:p>
    <w:p w14:paraId="078CDB2A" w14:textId="77777777" w:rsidR="00F60A5F" w:rsidRPr="00F60A5F" w:rsidRDefault="00F60A5F" w:rsidP="00F60A5F">
      <w:pPr>
        <w:numPr>
          <w:ilvl w:val="0"/>
          <w:numId w:val="16"/>
        </w:numPr>
        <w:spacing w:afterLines="50" w:after="120"/>
        <w:jc w:val="both"/>
        <w:rPr>
          <w:rFonts w:eastAsia="ＭＳ 明朝"/>
          <w:i/>
          <w:sz w:val="22"/>
          <w:lang w:val="en-US"/>
        </w:rPr>
      </w:pPr>
      <w:r>
        <w:rPr>
          <w:rFonts w:eastAsia="ＭＳ 明朝"/>
          <w:i/>
          <w:sz w:val="22"/>
          <w:lang w:val="en-US"/>
        </w:rPr>
        <w:t>gNB should ensure sufficient time interval for UE processing a PDSCH after receiving a pre-emption indication for the PDSCH until HARQ-ACK is sent.</w:t>
      </w:r>
    </w:p>
    <w:p w14:paraId="21DEBC37" w14:textId="77777777" w:rsidR="00D501B3" w:rsidRPr="00F60A5F" w:rsidRDefault="00D501B3" w:rsidP="00386F11">
      <w:pPr>
        <w:widowControl w:val="0"/>
        <w:spacing w:after="120"/>
        <w:jc w:val="both"/>
        <w:rPr>
          <w:sz w:val="22"/>
          <w:szCs w:val="22"/>
          <w:lang w:val="en-US"/>
        </w:rPr>
      </w:pPr>
    </w:p>
    <w:p w14:paraId="6EB13424" w14:textId="77777777" w:rsidR="00D00A4F" w:rsidRPr="007B3BA0" w:rsidRDefault="00D00A4F" w:rsidP="00D00A4F">
      <w:pPr>
        <w:pStyle w:val="1"/>
        <w:spacing w:after="120"/>
        <w:jc w:val="both"/>
        <w:rPr>
          <w:b/>
          <w:lang w:val="en-US"/>
        </w:rPr>
      </w:pPr>
      <w:r w:rsidRPr="007B3BA0">
        <w:rPr>
          <w:b/>
          <w:lang w:val="en-US"/>
        </w:rPr>
        <w:t>References</w:t>
      </w:r>
    </w:p>
    <w:p w14:paraId="1F2A31E8" w14:textId="1DF9CC3E" w:rsidR="00D00A4F" w:rsidRDefault="00F44620" w:rsidP="00D00A4F">
      <w:pPr>
        <w:widowControl w:val="0"/>
        <w:numPr>
          <w:ilvl w:val="0"/>
          <w:numId w:val="18"/>
        </w:numPr>
        <w:spacing w:after="120"/>
        <w:jc w:val="both"/>
        <w:rPr>
          <w:sz w:val="22"/>
          <w:szCs w:val="22"/>
          <w:lang w:val="en-US"/>
        </w:rPr>
      </w:pPr>
      <w:r>
        <w:rPr>
          <w:sz w:val="22"/>
          <w:szCs w:val="22"/>
          <w:lang w:val="en-US"/>
        </w:rPr>
        <w:t>3GPP RAN1#89 Chairman’s note.</w:t>
      </w:r>
    </w:p>
    <w:p w14:paraId="131D2A43" w14:textId="416785B3" w:rsidR="007166AB" w:rsidRDefault="007166AB" w:rsidP="00D00A4F">
      <w:pPr>
        <w:widowControl w:val="0"/>
        <w:numPr>
          <w:ilvl w:val="0"/>
          <w:numId w:val="18"/>
        </w:numPr>
        <w:spacing w:after="120"/>
        <w:jc w:val="both"/>
        <w:rPr>
          <w:sz w:val="22"/>
          <w:szCs w:val="22"/>
          <w:lang w:val="en-US"/>
        </w:rPr>
      </w:pPr>
      <w:r>
        <w:rPr>
          <w:sz w:val="22"/>
          <w:szCs w:val="22"/>
          <w:lang w:val="en-US"/>
        </w:rPr>
        <w:t>3GPP RAN1 AH#2, Chairman’s note.</w:t>
      </w:r>
    </w:p>
    <w:p w14:paraId="527AC0C7" w14:textId="6AED0B26" w:rsidR="00781C9D" w:rsidRDefault="00781C9D" w:rsidP="00781C9D">
      <w:pPr>
        <w:widowControl w:val="0"/>
        <w:numPr>
          <w:ilvl w:val="0"/>
          <w:numId w:val="18"/>
        </w:numPr>
        <w:spacing w:after="120"/>
        <w:jc w:val="both"/>
        <w:rPr>
          <w:sz w:val="22"/>
          <w:szCs w:val="22"/>
          <w:lang w:val="en-US"/>
        </w:rPr>
      </w:pPr>
      <w:r>
        <w:rPr>
          <w:sz w:val="22"/>
          <w:szCs w:val="22"/>
          <w:lang w:val="en-US"/>
        </w:rPr>
        <w:t>R1-17</w:t>
      </w:r>
      <w:r w:rsidR="0057120B">
        <w:rPr>
          <w:sz w:val="22"/>
          <w:szCs w:val="22"/>
          <w:lang w:val="en-US"/>
        </w:rPr>
        <w:t>13953</w:t>
      </w:r>
      <w:r>
        <w:rPr>
          <w:sz w:val="22"/>
          <w:szCs w:val="22"/>
          <w:lang w:val="en-US"/>
        </w:rPr>
        <w:t>, ‘CBG construction’, NTT DOCOMO, INC.</w:t>
      </w:r>
    </w:p>
    <w:p w14:paraId="28074706" w14:textId="19792893" w:rsidR="00781C9D" w:rsidRPr="00781C9D" w:rsidRDefault="00781C9D" w:rsidP="00781C9D">
      <w:pPr>
        <w:widowControl w:val="0"/>
        <w:numPr>
          <w:ilvl w:val="0"/>
          <w:numId w:val="18"/>
        </w:numPr>
        <w:spacing w:after="120"/>
        <w:jc w:val="both"/>
        <w:rPr>
          <w:sz w:val="22"/>
          <w:szCs w:val="22"/>
          <w:lang w:val="en-US"/>
        </w:rPr>
      </w:pPr>
      <w:r>
        <w:rPr>
          <w:sz w:val="22"/>
          <w:szCs w:val="22"/>
          <w:lang w:val="en-US"/>
        </w:rPr>
        <w:t>R1-17</w:t>
      </w:r>
      <w:r w:rsidR="0057120B">
        <w:rPr>
          <w:sz w:val="22"/>
          <w:szCs w:val="22"/>
          <w:lang w:val="en-US"/>
        </w:rPr>
        <w:t>13954</w:t>
      </w:r>
      <w:r>
        <w:rPr>
          <w:sz w:val="22"/>
          <w:szCs w:val="22"/>
          <w:lang w:val="en-US"/>
        </w:rPr>
        <w:t>, ‘DL control signaling for CBG-based (re)transmission’, NTT DOCOMO, INC.</w:t>
      </w:r>
    </w:p>
    <w:p w14:paraId="383FA6C9" w14:textId="3AAA11DF" w:rsidR="00781C9D" w:rsidRPr="00781C9D" w:rsidRDefault="00781C9D" w:rsidP="00781C9D">
      <w:pPr>
        <w:widowControl w:val="0"/>
        <w:numPr>
          <w:ilvl w:val="0"/>
          <w:numId w:val="18"/>
        </w:numPr>
        <w:spacing w:after="120"/>
        <w:jc w:val="both"/>
        <w:rPr>
          <w:sz w:val="22"/>
          <w:szCs w:val="22"/>
          <w:lang w:val="en-US"/>
        </w:rPr>
      </w:pPr>
      <w:r>
        <w:rPr>
          <w:sz w:val="22"/>
          <w:szCs w:val="22"/>
          <w:lang w:val="en-US"/>
        </w:rPr>
        <w:t>R1-17</w:t>
      </w:r>
      <w:r w:rsidR="0057120B">
        <w:rPr>
          <w:sz w:val="22"/>
          <w:szCs w:val="22"/>
          <w:lang w:val="en-US"/>
        </w:rPr>
        <w:t>13955</w:t>
      </w:r>
      <w:r>
        <w:rPr>
          <w:sz w:val="22"/>
          <w:szCs w:val="22"/>
          <w:lang w:val="en-US"/>
        </w:rPr>
        <w:t>, ‘UL control signaling for CBG-based (re)transmission’, NTT DOCOMO, INC.</w:t>
      </w:r>
    </w:p>
    <w:p w14:paraId="4BE4277A" w14:textId="27C440AE" w:rsidR="00D34136" w:rsidRDefault="00D34136" w:rsidP="00D00A4F">
      <w:pPr>
        <w:widowControl w:val="0"/>
        <w:numPr>
          <w:ilvl w:val="0"/>
          <w:numId w:val="18"/>
        </w:numPr>
        <w:spacing w:after="120"/>
        <w:jc w:val="both"/>
        <w:rPr>
          <w:sz w:val="22"/>
          <w:szCs w:val="22"/>
          <w:lang w:val="en-US"/>
        </w:rPr>
      </w:pPr>
      <w:r>
        <w:rPr>
          <w:sz w:val="22"/>
          <w:szCs w:val="22"/>
          <w:lang w:val="en-US"/>
        </w:rPr>
        <w:t>R1-17</w:t>
      </w:r>
      <w:r w:rsidR="0057120B">
        <w:rPr>
          <w:sz w:val="22"/>
          <w:szCs w:val="22"/>
          <w:lang w:val="en-US"/>
        </w:rPr>
        <w:t>13934</w:t>
      </w:r>
      <w:r>
        <w:rPr>
          <w:sz w:val="22"/>
          <w:szCs w:val="22"/>
          <w:lang w:val="en-US"/>
        </w:rPr>
        <w:t>, ‘</w:t>
      </w:r>
      <w:r w:rsidR="0057120B">
        <w:rPr>
          <w:sz w:val="22"/>
          <w:szCs w:val="22"/>
          <w:lang w:val="en-US"/>
        </w:rPr>
        <w:t>Remaining issues on s</w:t>
      </w:r>
      <w:r w:rsidR="00241194">
        <w:rPr>
          <w:sz w:val="22"/>
          <w:szCs w:val="22"/>
          <w:lang w:val="en-US"/>
        </w:rPr>
        <w:t>tructure</w:t>
      </w:r>
      <w:r w:rsidR="00F44620">
        <w:rPr>
          <w:sz w:val="22"/>
          <w:szCs w:val="22"/>
          <w:lang w:val="en-US"/>
        </w:rPr>
        <w:t xml:space="preserve"> of group-common PDCCH</w:t>
      </w:r>
      <w:r>
        <w:rPr>
          <w:sz w:val="22"/>
          <w:szCs w:val="22"/>
          <w:lang w:val="en-US"/>
        </w:rPr>
        <w:t>’, NTT DOCOMO, INC.</w:t>
      </w:r>
    </w:p>
    <w:p w14:paraId="181D6B0F" w14:textId="651CC871" w:rsidR="00B366DF" w:rsidRDefault="00B366DF" w:rsidP="00B366DF">
      <w:pPr>
        <w:widowControl w:val="0"/>
        <w:numPr>
          <w:ilvl w:val="0"/>
          <w:numId w:val="18"/>
        </w:numPr>
        <w:spacing w:after="120"/>
        <w:jc w:val="both"/>
        <w:rPr>
          <w:sz w:val="22"/>
          <w:szCs w:val="22"/>
          <w:lang w:val="en-US"/>
        </w:rPr>
      </w:pPr>
      <w:r>
        <w:rPr>
          <w:sz w:val="22"/>
          <w:szCs w:val="22"/>
          <w:lang w:val="en-US"/>
        </w:rPr>
        <w:t>R1-17</w:t>
      </w:r>
      <w:r w:rsidR="0057120B">
        <w:rPr>
          <w:sz w:val="22"/>
          <w:szCs w:val="22"/>
          <w:lang w:val="en-US"/>
        </w:rPr>
        <w:t>13935</w:t>
      </w:r>
      <w:r>
        <w:rPr>
          <w:sz w:val="22"/>
          <w:szCs w:val="22"/>
          <w:lang w:val="en-US"/>
        </w:rPr>
        <w:t>, ‘</w:t>
      </w:r>
      <w:r w:rsidR="00241194">
        <w:rPr>
          <w:sz w:val="22"/>
          <w:szCs w:val="22"/>
          <w:lang w:val="en-US"/>
        </w:rPr>
        <w:t>SFI and semi-static configurations</w:t>
      </w:r>
      <w:r>
        <w:rPr>
          <w:sz w:val="22"/>
          <w:szCs w:val="22"/>
          <w:lang w:val="en-US"/>
        </w:rPr>
        <w:t>’, NTT DOCOMO, INC.</w:t>
      </w:r>
    </w:p>
    <w:p w14:paraId="77665A70" w14:textId="7D4942E7" w:rsidR="00B366DF" w:rsidRDefault="00B366DF" w:rsidP="00B366DF">
      <w:pPr>
        <w:widowControl w:val="0"/>
        <w:numPr>
          <w:ilvl w:val="0"/>
          <w:numId w:val="18"/>
        </w:numPr>
        <w:spacing w:after="120"/>
        <w:jc w:val="both"/>
        <w:rPr>
          <w:sz w:val="22"/>
          <w:szCs w:val="22"/>
          <w:lang w:val="en-US"/>
        </w:rPr>
      </w:pPr>
      <w:r>
        <w:rPr>
          <w:sz w:val="22"/>
          <w:szCs w:val="22"/>
          <w:lang w:val="en-US"/>
        </w:rPr>
        <w:t>R1-17</w:t>
      </w:r>
      <w:r w:rsidR="0057120B">
        <w:rPr>
          <w:sz w:val="22"/>
          <w:szCs w:val="22"/>
          <w:lang w:val="en-US"/>
        </w:rPr>
        <w:t>13936</w:t>
      </w:r>
      <w:r>
        <w:rPr>
          <w:sz w:val="22"/>
          <w:szCs w:val="22"/>
          <w:lang w:val="en-US"/>
        </w:rPr>
        <w:t xml:space="preserve">, </w:t>
      </w:r>
      <w:r w:rsidR="00241194">
        <w:rPr>
          <w:sz w:val="22"/>
          <w:szCs w:val="22"/>
          <w:lang w:val="en-US"/>
        </w:rPr>
        <w:t>‘UE behavior for group-common PDCCH</w:t>
      </w:r>
      <w:r>
        <w:rPr>
          <w:sz w:val="22"/>
          <w:szCs w:val="22"/>
          <w:lang w:val="en-US"/>
        </w:rPr>
        <w:t>’, NTT DOCOMO, INC.</w:t>
      </w:r>
    </w:p>
    <w:p w14:paraId="5F9D3179" w14:textId="0EEE0E0F" w:rsidR="00272794" w:rsidRDefault="0057120B" w:rsidP="00272794">
      <w:pPr>
        <w:widowControl w:val="0"/>
        <w:numPr>
          <w:ilvl w:val="0"/>
          <w:numId w:val="18"/>
        </w:numPr>
        <w:spacing w:after="120"/>
        <w:jc w:val="both"/>
        <w:rPr>
          <w:sz w:val="22"/>
          <w:szCs w:val="22"/>
          <w:lang w:val="en-US"/>
        </w:rPr>
      </w:pPr>
      <w:r>
        <w:rPr>
          <w:sz w:val="22"/>
          <w:szCs w:val="22"/>
          <w:lang w:val="en-US"/>
        </w:rPr>
        <w:t>R1-1713948</w:t>
      </w:r>
      <w:r w:rsidR="00272794">
        <w:rPr>
          <w:sz w:val="22"/>
          <w:szCs w:val="22"/>
          <w:lang w:val="en-US"/>
        </w:rPr>
        <w:t>, ‘Frequency-domain resource allocation’, NTT DOCOMO, INC.</w:t>
      </w:r>
    </w:p>
    <w:p w14:paraId="1F7F560A" w14:textId="3E51BC7C" w:rsidR="00272794" w:rsidRDefault="00272794" w:rsidP="00272794">
      <w:pPr>
        <w:widowControl w:val="0"/>
        <w:numPr>
          <w:ilvl w:val="0"/>
          <w:numId w:val="18"/>
        </w:numPr>
        <w:spacing w:after="120"/>
        <w:jc w:val="both"/>
        <w:rPr>
          <w:sz w:val="22"/>
          <w:szCs w:val="22"/>
          <w:lang w:val="en-US"/>
        </w:rPr>
      </w:pPr>
      <w:r>
        <w:rPr>
          <w:sz w:val="22"/>
          <w:szCs w:val="22"/>
          <w:lang w:val="en-US"/>
        </w:rPr>
        <w:t>R1-17</w:t>
      </w:r>
      <w:r w:rsidR="0057120B">
        <w:rPr>
          <w:sz w:val="22"/>
          <w:szCs w:val="22"/>
          <w:lang w:val="en-US"/>
        </w:rPr>
        <w:t>13949</w:t>
      </w:r>
      <w:bookmarkStart w:id="7" w:name="_GoBack"/>
      <w:bookmarkEnd w:id="7"/>
      <w:r>
        <w:rPr>
          <w:sz w:val="22"/>
          <w:szCs w:val="22"/>
          <w:lang w:val="en-US"/>
        </w:rPr>
        <w:t>, ‘Time-domain resource allocation’, NTT DOCOMO, INC.</w:t>
      </w:r>
    </w:p>
    <w:p w14:paraId="19376196" w14:textId="77777777" w:rsidR="00895E2D" w:rsidRPr="00272794" w:rsidRDefault="00895E2D" w:rsidP="00386F11">
      <w:pPr>
        <w:widowControl w:val="0"/>
        <w:spacing w:after="120"/>
        <w:jc w:val="both"/>
        <w:rPr>
          <w:sz w:val="22"/>
          <w:szCs w:val="22"/>
          <w:lang w:val="en-US"/>
        </w:rPr>
      </w:pPr>
    </w:p>
    <w:p w14:paraId="1FAED610" w14:textId="77777777" w:rsidR="00C1321D" w:rsidRPr="00C1321D" w:rsidRDefault="00C1321D" w:rsidP="00386F11">
      <w:pPr>
        <w:widowControl w:val="0"/>
        <w:spacing w:after="120"/>
        <w:jc w:val="both"/>
        <w:rPr>
          <w:sz w:val="22"/>
          <w:szCs w:val="22"/>
          <w:lang w:val="en-US"/>
        </w:rPr>
      </w:pPr>
    </w:p>
    <w:sectPr w:rsidR="00C1321D" w:rsidRPr="00C1321D">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AD936" w14:textId="77777777" w:rsidR="00FA7DA1" w:rsidRDefault="00FA7DA1">
      <w:r>
        <w:separator/>
      </w:r>
    </w:p>
  </w:endnote>
  <w:endnote w:type="continuationSeparator" w:id="0">
    <w:p w14:paraId="6076388B" w14:textId="77777777" w:rsidR="00FA7DA1" w:rsidRDefault="00FA7DA1">
      <w:r>
        <w:continuationSeparator/>
      </w:r>
    </w:p>
  </w:endnote>
  <w:endnote w:type="continuationNotice" w:id="1">
    <w:p w14:paraId="4345580D" w14:textId="77777777" w:rsidR="00FA7DA1" w:rsidRDefault="00FA7D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69738C2F" w:rsidR="00A85EBF" w:rsidRPr="00000924" w:rsidRDefault="00A85EB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F566B">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F566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F8A9C" w14:textId="77777777" w:rsidR="00FA7DA1" w:rsidRDefault="00FA7DA1">
      <w:r>
        <w:separator/>
      </w:r>
    </w:p>
  </w:footnote>
  <w:footnote w:type="continuationSeparator" w:id="0">
    <w:p w14:paraId="1A5D3C9B" w14:textId="77777777" w:rsidR="00FA7DA1" w:rsidRDefault="00FA7DA1">
      <w:r>
        <w:continuationSeparator/>
      </w:r>
    </w:p>
  </w:footnote>
  <w:footnote w:type="continuationNotice" w:id="1">
    <w:p w14:paraId="1A0B5881" w14:textId="77777777" w:rsidR="00FA7DA1" w:rsidRDefault="00FA7D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D20B34"/>
    <w:multiLevelType w:val="hybridMultilevel"/>
    <w:tmpl w:val="44503064"/>
    <w:lvl w:ilvl="0" w:tplc="06E4C6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38A6AEB"/>
    <w:multiLevelType w:val="hybridMultilevel"/>
    <w:tmpl w:val="6C684D5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F60516"/>
    <w:multiLevelType w:val="hybridMultilevel"/>
    <w:tmpl w:val="94A64F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C852023"/>
    <w:multiLevelType w:val="hybridMultilevel"/>
    <w:tmpl w:val="F6A83540"/>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34C49870">
      <w:numFmt w:val="bullet"/>
      <w:lvlText w:val="-"/>
      <w:lvlJc w:val="left"/>
      <w:pPr>
        <w:ind w:left="2880" w:hanging="360"/>
      </w:pPr>
      <w:rPr>
        <w:rFonts w:ascii="Times New Roman" w:eastAsia="ＭＳ ゴシック" w:hAnsi="Times New Roman" w:cs="Times New Roman" w:hint="default"/>
        <w:sz w:val="24"/>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51658ED"/>
    <w:multiLevelType w:val="hybridMultilevel"/>
    <w:tmpl w:val="EC5E88FC"/>
    <w:lvl w:ilvl="0" w:tplc="423EA47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D7331AA"/>
    <w:multiLevelType w:val="hybridMultilevel"/>
    <w:tmpl w:val="B958D9A2"/>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D9900282">
      <w:start w:val="3"/>
      <w:numFmt w:val="bullet"/>
      <w:lvlText w:val="-"/>
      <w:lvlJc w:val="left"/>
      <w:pPr>
        <w:ind w:left="3600" w:hanging="360"/>
      </w:pPr>
      <w:rPr>
        <w:rFonts w:ascii="Times New Roman" w:eastAsia="ＭＳ 明朝" w:hAnsi="Times New Roman" w:cs="Times New Roman"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4DD02BF"/>
    <w:multiLevelType w:val="hybridMultilevel"/>
    <w:tmpl w:val="7FF69C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645CF1"/>
    <w:multiLevelType w:val="hybridMultilevel"/>
    <w:tmpl w:val="A7724AF6"/>
    <w:lvl w:ilvl="0" w:tplc="449CA4D8">
      <w:start w:val="1"/>
      <w:numFmt w:val="bullet"/>
      <w:lvlText w:val="•"/>
      <w:lvlJc w:val="left"/>
      <w:pPr>
        <w:tabs>
          <w:tab w:val="num" w:pos="720"/>
        </w:tabs>
        <w:ind w:left="720" w:hanging="360"/>
      </w:pPr>
      <w:rPr>
        <w:rFonts w:ascii="Arial" w:hAnsi="Arial" w:hint="default"/>
      </w:rPr>
    </w:lvl>
    <w:lvl w:ilvl="1" w:tplc="7598DE9A">
      <w:numFmt w:val="bullet"/>
      <w:lvlText w:val="•"/>
      <w:lvlJc w:val="left"/>
      <w:pPr>
        <w:tabs>
          <w:tab w:val="num" w:pos="1440"/>
        </w:tabs>
        <w:ind w:left="1440" w:hanging="360"/>
      </w:pPr>
      <w:rPr>
        <w:rFonts w:ascii="Arial" w:hAnsi="Arial" w:hint="default"/>
      </w:rPr>
    </w:lvl>
    <w:lvl w:ilvl="2" w:tplc="584E3C82">
      <w:numFmt w:val="bullet"/>
      <w:lvlText w:val="•"/>
      <w:lvlJc w:val="left"/>
      <w:pPr>
        <w:tabs>
          <w:tab w:val="num" w:pos="2160"/>
        </w:tabs>
        <w:ind w:left="2160" w:hanging="360"/>
      </w:pPr>
      <w:rPr>
        <w:rFonts w:ascii="Arial" w:hAnsi="Arial" w:hint="default"/>
      </w:rPr>
    </w:lvl>
    <w:lvl w:ilvl="3" w:tplc="975E7922">
      <w:numFmt w:val="bullet"/>
      <w:lvlText w:val="•"/>
      <w:lvlJc w:val="left"/>
      <w:pPr>
        <w:tabs>
          <w:tab w:val="num" w:pos="2880"/>
        </w:tabs>
        <w:ind w:left="2880" w:hanging="360"/>
      </w:pPr>
      <w:rPr>
        <w:rFonts w:ascii="Arial" w:hAnsi="Arial" w:hint="default"/>
      </w:rPr>
    </w:lvl>
    <w:lvl w:ilvl="4" w:tplc="AF1C70F6">
      <w:start w:val="1"/>
      <w:numFmt w:val="bullet"/>
      <w:lvlText w:val="•"/>
      <w:lvlJc w:val="left"/>
      <w:pPr>
        <w:tabs>
          <w:tab w:val="num" w:pos="3600"/>
        </w:tabs>
        <w:ind w:left="3600" w:hanging="360"/>
      </w:pPr>
      <w:rPr>
        <w:rFonts w:ascii="Arial" w:hAnsi="Arial" w:hint="default"/>
      </w:rPr>
    </w:lvl>
    <w:lvl w:ilvl="5" w:tplc="06962834">
      <w:start w:val="1"/>
      <w:numFmt w:val="bullet"/>
      <w:lvlText w:val="•"/>
      <w:lvlJc w:val="left"/>
      <w:pPr>
        <w:tabs>
          <w:tab w:val="num" w:pos="4320"/>
        </w:tabs>
        <w:ind w:left="4320" w:hanging="360"/>
      </w:pPr>
      <w:rPr>
        <w:rFonts w:ascii="Arial" w:hAnsi="Arial" w:hint="default"/>
      </w:rPr>
    </w:lvl>
    <w:lvl w:ilvl="6" w:tplc="C6D67A68" w:tentative="1">
      <w:start w:val="1"/>
      <w:numFmt w:val="bullet"/>
      <w:lvlText w:val="•"/>
      <w:lvlJc w:val="left"/>
      <w:pPr>
        <w:tabs>
          <w:tab w:val="num" w:pos="5040"/>
        </w:tabs>
        <w:ind w:left="5040" w:hanging="360"/>
      </w:pPr>
      <w:rPr>
        <w:rFonts w:ascii="Arial" w:hAnsi="Arial" w:hint="default"/>
      </w:rPr>
    </w:lvl>
    <w:lvl w:ilvl="7" w:tplc="5BBE1EE4" w:tentative="1">
      <w:start w:val="1"/>
      <w:numFmt w:val="bullet"/>
      <w:lvlText w:val="•"/>
      <w:lvlJc w:val="left"/>
      <w:pPr>
        <w:tabs>
          <w:tab w:val="num" w:pos="5760"/>
        </w:tabs>
        <w:ind w:left="5760" w:hanging="360"/>
      </w:pPr>
      <w:rPr>
        <w:rFonts w:ascii="Arial" w:hAnsi="Arial" w:hint="default"/>
      </w:rPr>
    </w:lvl>
    <w:lvl w:ilvl="8" w:tplc="6DAE171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2"/>
  </w:num>
  <w:num w:numId="3">
    <w:abstractNumId w:val="7"/>
  </w:num>
  <w:num w:numId="4">
    <w:abstractNumId w:val="18"/>
  </w:num>
  <w:num w:numId="5">
    <w:abstractNumId w:val="10"/>
  </w:num>
  <w:num w:numId="6">
    <w:abstractNumId w:val="5"/>
  </w:num>
  <w:num w:numId="7">
    <w:abstractNumId w:val="1"/>
  </w:num>
  <w:num w:numId="8">
    <w:abstractNumId w:val="11"/>
  </w:num>
  <w:num w:numId="9">
    <w:abstractNumId w:val="14"/>
  </w:num>
  <w:num w:numId="10">
    <w:abstractNumId w:val="9"/>
  </w:num>
  <w:num w:numId="11">
    <w:abstractNumId w:val="16"/>
  </w:num>
  <w:num w:numId="12">
    <w:abstractNumId w:val="2"/>
  </w:num>
  <w:num w:numId="13">
    <w:abstractNumId w:val="15"/>
  </w:num>
  <w:num w:numId="14">
    <w:abstractNumId w:val="3"/>
  </w:num>
  <w:num w:numId="15">
    <w:abstractNumId w:val="13"/>
  </w:num>
  <w:num w:numId="16">
    <w:abstractNumId w:val="6"/>
  </w:num>
  <w:num w:numId="17">
    <w:abstractNumId w:val="17"/>
  </w:num>
  <w:num w:numId="18">
    <w:abstractNumId w:val="4"/>
  </w:num>
  <w:num w:numId="19">
    <w:abstractNumId w:val="8"/>
  </w:num>
  <w:num w:numId="2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B4"/>
    <w:rsid w:val="0000485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CDA"/>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18B"/>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425"/>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CED"/>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96C"/>
    <w:rsid w:val="000B2B16"/>
    <w:rsid w:val="000B31EE"/>
    <w:rsid w:val="000B4059"/>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34A"/>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7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B6D"/>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3E33"/>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ED7"/>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06"/>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553"/>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73A"/>
    <w:rsid w:val="0022207C"/>
    <w:rsid w:val="00222A2D"/>
    <w:rsid w:val="002233C0"/>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194"/>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2794"/>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9FE"/>
    <w:rsid w:val="00286A2C"/>
    <w:rsid w:val="00286AB3"/>
    <w:rsid w:val="00287CA4"/>
    <w:rsid w:val="00287EFB"/>
    <w:rsid w:val="00287F93"/>
    <w:rsid w:val="0029095B"/>
    <w:rsid w:val="0029154E"/>
    <w:rsid w:val="00291632"/>
    <w:rsid w:val="0029179A"/>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00"/>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BF1"/>
    <w:rsid w:val="002C6D00"/>
    <w:rsid w:val="002D05E4"/>
    <w:rsid w:val="002D083A"/>
    <w:rsid w:val="002D0A71"/>
    <w:rsid w:val="002D0CAF"/>
    <w:rsid w:val="002D188F"/>
    <w:rsid w:val="002D217F"/>
    <w:rsid w:val="002D261B"/>
    <w:rsid w:val="002D2798"/>
    <w:rsid w:val="002D28BA"/>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32A"/>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49B"/>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AA8"/>
    <w:rsid w:val="00313B61"/>
    <w:rsid w:val="003145CA"/>
    <w:rsid w:val="00314A5F"/>
    <w:rsid w:val="00314FA9"/>
    <w:rsid w:val="00314FC2"/>
    <w:rsid w:val="00315CBB"/>
    <w:rsid w:val="00315E4B"/>
    <w:rsid w:val="00315E54"/>
    <w:rsid w:val="00316448"/>
    <w:rsid w:val="00316712"/>
    <w:rsid w:val="00316917"/>
    <w:rsid w:val="00316ABF"/>
    <w:rsid w:val="00317174"/>
    <w:rsid w:val="003174D8"/>
    <w:rsid w:val="0031753C"/>
    <w:rsid w:val="00317865"/>
    <w:rsid w:val="003178CA"/>
    <w:rsid w:val="00317A16"/>
    <w:rsid w:val="00317A1C"/>
    <w:rsid w:val="00317FB1"/>
    <w:rsid w:val="003209E0"/>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2C8"/>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09"/>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A7"/>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30C"/>
    <w:rsid w:val="003F1DB8"/>
    <w:rsid w:val="003F1E22"/>
    <w:rsid w:val="003F1E84"/>
    <w:rsid w:val="003F265C"/>
    <w:rsid w:val="003F2E99"/>
    <w:rsid w:val="003F3021"/>
    <w:rsid w:val="003F376E"/>
    <w:rsid w:val="003F42D6"/>
    <w:rsid w:val="003F4CA0"/>
    <w:rsid w:val="003F4D1B"/>
    <w:rsid w:val="003F4D3E"/>
    <w:rsid w:val="003F566B"/>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393"/>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4DB"/>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11D"/>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92"/>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0E6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12"/>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C0D"/>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0C61"/>
    <w:rsid w:val="0057120B"/>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895"/>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A4D"/>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6C0"/>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0DED"/>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291"/>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9A7"/>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DF5"/>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653"/>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62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EDF"/>
    <w:rsid w:val="00713767"/>
    <w:rsid w:val="00713D53"/>
    <w:rsid w:val="00713DA7"/>
    <w:rsid w:val="00713E3C"/>
    <w:rsid w:val="00713EBC"/>
    <w:rsid w:val="00713ECC"/>
    <w:rsid w:val="0071531E"/>
    <w:rsid w:val="00715620"/>
    <w:rsid w:val="0071581D"/>
    <w:rsid w:val="0071583F"/>
    <w:rsid w:val="00715AC1"/>
    <w:rsid w:val="007166AB"/>
    <w:rsid w:val="0071672E"/>
    <w:rsid w:val="00716E35"/>
    <w:rsid w:val="007170A9"/>
    <w:rsid w:val="007173BF"/>
    <w:rsid w:val="00717704"/>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E30"/>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77F9A"/>
    <w:rsid w:val="00780445"/>
    <w:rsid w:val="007804E7"/>
    <w:rsid w:val="00780B79"/>
    <w:rsid w:val="00781116"/>
    <w:rsid w:val="00781631"/>
    <w:rsid w:val="007816E7"/>
    <w:rsid w:val="00781703"/>
    <w:rsid w:val="00781988"/>
    <w:rsid w:val="00781ADE"/>
    <w:rsid w:val="00781C9D"/>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3BB"/>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99C"/>
    <w:rsid w:val="007D7AF1"/>
    <w:rsid w:val="007D7DB9"/>
    <w:rsid w:val="007D7E03"/>
    <w:rsid w:val="007E0189"/>
    <w:rsid w:val="007E04DD"/>
    <w:rsid w:val="007E0716"/>
    <w:rsid w:val="007E0EF6"/>
    <w:rsid w:val="007E1868"/>
    <w:rsid w:val="007E1B0B"/>
    <w:rsid w:val="007E21A0"/>
    <w:rsid w:val="007E24C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669"/>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018"/>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25E"/>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851"/>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D3C"/>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6B6"/>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5F50"/>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E39"/>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ED1"/>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473"/>
    <w:rsid w:val="00991577"/>
    <w:rsid w:val="00991695"/>
    <w:rsid w:val="0099183F"/>
    <w:rsid w:val="00991BA0"/>
    <w:rsid w:val="0099261B"/>
    <w:rsid w:val="00992C1D"/>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11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1DC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40B"/>
    <w:rsid w:val="00A15677"/>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1F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BF3"/>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26"/>
    <w:rsid w:val="00A8167F"/>
    <w:rsid w:val="00A81865"/>
    <w:rsid w:val="00A81897"/>
    <w:rsid w:val="00A818D0"/>
    <w:rsid w:val="00A821EE"/>
    <w:rsid w:val="00A82F56"/>
    <w:rsid w:val="00A833D8"/>
    <w:rsid w:val="00A833DF"/>
    <w:rsid w:val="00A83E41"/>
    <w:rsid w:val="00A83E4A"/>
    <w:rsid w:val="00A84BED"/>
    <w:rsid w:val="00A84F57"/>
    <w:rsid w:val="00A85131"/>
    <w:rsid w:val="00A85EBF"/>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033"/>
    <w:rsid w:val="00AA7124"/>
    <w:rsid w:val="00AA7D37"/>
    <w:rsid w:val="00AA7E33"/>
    <w:rsid w:val="00AB0B65"/>
    <w:rsid w:val="00AB0E94"/>
    <w:rsid w:val="00AB1A44"/>
    <w:rsid w:val="00AB1BAC"/>
    <w:rsid w:val="00AB2119"/>
    <w:rsid w:val="00AB26A6"/>
    <w:rsid w:val="00AB28A6"/>
    <w:rsid w:val="00AB2F38"/>
    <w:rsid w:val="00AB3145"/>
    <w:rsid w:val="00AB3709"/>
    <w:rsid w:val="00AB3A84"/>
    <w:rsid w:val="00AB45BF"/>
    <w:rsid w:val="00AB4DCD"/>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1C"/>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72B"/>
    <w:rsid w:val="00B00C9A"/>
    <w:rsid w:val="00B01057"/>
    <w:rsid w:val="00B0161F"/>
    <w:rsid w:val="00B017FB"/>
    <w:rsid w:val="00B01854"/>
    <w:rsid w:val="00B019E6"/>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642"/>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66DF"/>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C32"/>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AB"/>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4FDB"/>
    <w:rsid w:val="00BC657B"/>
    <w:rsid w:val="00BC72F0"/>
    <w:rsid w:val="00BC77CB"/>
    <w:rsid w:val="00BC787F"/>
    <w:rsid w:val="00BC78BE"/>
    <w:rsid w:val="00BC7B23"/>
    <w:rsid w:val="00BC7D42"/>
    <w:rsid w:val="00BC7F14"/>
    <w:rsid w:val="00BD0B22"/>
    <w:rsid w:val="00BD0E12"/>
    <w:rsid w:val="00BD1179"/>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0DC6"/>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06C"/>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523"/>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11"/>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C3E"/>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390"/>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0C5A"/>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5C5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AFD"/>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7CE"/>
    <w:rsid w:val="00D00A4F"/>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6EB1"/>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36"/>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1B3"/>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C8D"/>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C7F"/>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2FCA"/>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E9D"/>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55C"/>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0AC"/>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4F"/>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6EF"/>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4F74"/>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3F57"/>
    <w:rsid w:val="00E8408C"/>
    <w:rsid w:val="00E8489F"/>
    <w:rsid w:val="00E84A70"/>
    <w:rsid w:val="00E84DDF"/>
    <w:rsid w:val="00E84E8C"/>
    <w:rsid w:val="00E84F13"/>
    <w:rsid w:val="00E85324"/>
    <w:rsid w:val="00E8599C"/>
    <w:rsid w:val="00E85C8D"/>
    <w:rsid w:val="00E85CEB"/>
    <w:rsid w:val="00E86320"/>
    <w:rsid w:val="00E863BF"/>
    <w:rsid w:val="00E8681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3F6"/>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333"/>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C7E0D"/>
    <w:rsid w:val="00ED04D1"/>
    <w:rsid w:val="00ED06EE"/>
    <w:rsid w:val="00ED0839"/>
    <w:rsid w:val="00ED0A5B"/>
    <w:rsid w:val="00ED12AE"/>
    <w:rsid w:val="00ED17B6"/>
    <w:rsid w:val="00ED1B9A"/>
    <w:rsid w:val="00ED1CFC"/>
    <w:rsid w:val="00ED252C"/>
    <w:rsid w:val="00ED3714"/>
    <w:rsid w:val="00ED39DA"/>
    <w:rsid w:val="00ED4151"/>
    <w:rsid w:val="00ED43B8"/>
    <w:rsid w:val="00ED4AED"/>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3D30"/>
    <w:rsid w:val="00F14815"/>
    <w:rsid w:val="00F14C53"/>
    <w:rsid w:val="00F14D9A"/>
    <w:rsid w:val="00F14DF0"/>
    <w:rsid w:val="00F157E7"/>
    <w:rsid w:val="00F15B1B"/>
    <w:rsid w:val="00F15B22"/>
    <w:rsid w:val="00F15D38"/>
    <w:rsid w:val="00F15DA8"/>
    <w:rsid w:val="00F1606B"/>
    <w:rsid w:val="00F161ED"/>
    <w:rsid w:val="00F16562"/>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620"/>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A5F"/>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440"/>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72F"/>
    <w:rsid w:val="00F959E5"/>
    <w:rsid w:val="00F95DC0"/>
    <w:rsid w:val="00F95E6D"/>
    <w:rsid w:val="00F962D9"/>
    <w:rsid w:val="00F9743E"/>
    <w:rsid w:val="00F97638"/>
    <w:rsid w:val="00F97904"/>
    <w:rsid w:val="00F97B14"/>
    <w:rsid w:val="00F97F7B"/>
    <w:rsid w:val="00F97FF5"/>
    <w:rsid w:val="00FA0046"/>
    <w:rsid w:val="00FA04C6"/>
    <w:rsid w:val="00FA0972"/>
    <w:rsid w:val="00FA11CA"/>
    <w:rsid w:val="00FA2260"/>
    <w:rsid w:val="00FA26D2"/>
    <w:rsid w:val="00FA2833"/>
    <w:rsid w:val="00FA29F6"/>
    <w:rsid w:val="00FA2B64"/>
    <w:rsid w:val="00FA3059"/>
    <w:rsid w:val="00FA3395"/>
    <w:rsid w:val="00FA3731"/>
    <w:rsid w:val="00FA3B98"/>
    <w:rsid w:val="00FA41C2"/>
    <w:rsid w:val="00FA48CA"/>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A7DA1"/>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6009">
      <w:bodyDiv w:val="1"/>
      <w:marLeft w:val="0"/>
      <w:marRight w:val="0"/>
      <w:marTop w:val="0"/>
      <w:marBottom w:val="0"/>
      <w:divBdr>
        <w:top w:val="none" w:sz="0" w:space="0" w:color="auto"/>
        <w:left w:val="none" w:sz="0" w:space="0" w:color="auto"/>
        <w:bottom w:val="none" w:sz="0" w:space="0" w:color="auto"/>
        <w:right w:val="none" w:sz="0" w:space="0" w:color="auto"/>
      </w:divBdr>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4328494">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595190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3B209-95F3-4461-A0DA-7B0B4EE49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1226</Words>
  <Characters>6989</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TAKEDA(r7)</cp:lastModifiedBy>
  <cp:revision>3</cp:revision>
  <cp:lastPrinted>2016-09-21T11:03:00Z</cp:lastPrinted>
  <dcterms:created xsi:type="dcterms:W3CDTF">2017-08-12T04:29:00Z</dcterms:created>
  <dcterms:modified xsi:type="dcterms:W3CDTF">2017-08-12T04:29:00Z</dcterms:modified>
</cp:coreProperties>
</file>