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A0" w:rsidRPr="00DA7AA1" w:rsidRDefault="00CD2BA0" w:rsidP="00CD2BA0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86bis</w:t>
      </w:r>
      <w:r w:rsidRPr="00A60380">
        <w:rPr>
          <w:lang w:val="de-DE"/>
        </w:rPr>
        <w:tab/>
      </w:r>
      <w:r w:rsidR="004D5E44" w:rsidRPr="004D5E44">
        <w:rPr>
          <w:rFonts w:cs="Arial"/>
          <w:color w:val="000000"/>
          <w:szCs w:val="20"/>
        </w:rPr>
        <w:t>R1-1609685</w:t>
      </w:r>
    </w:p>
    <w:bookmarkEnd w:id="0"/>
    <w:p w:rsidR="00CD2BA0" w:rsidRPr="002865B2" w:rsidRDefault="00CD2BA0" w:rsidP="00CD2BA0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Lisbon, Portugal, 10-14</w:t>
      </w:r>
      <w:r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October</w:t>
      </w:r>
      <w:r w:rsidRPr="002865B2">
        <w:rPr>
          <w:rFonts w:ascii="Arial" w:hAnsi="Arial" w:cs="Arial"/>
          <w:sz w:val="20"/>
          <w:lang w:val="en-US"/>
        </w:rPr>
        <w:t>, 2016</w:t>
      </w:r>
    </w:p>
    <w:p w:rsidR="00CD2BA0" w:rsidRPr="00067A4F" w:rsidRDefault="00CD2BA0" w:rsidP="00CD2BA0">
      <w:pPr>
        <w:pStyle w:val="Header"/>
      </w:pPr>
    </w:p>
    <w:p w:rsidR="00CD2BA0" w:rsidRPr="009D2B97" w:rsidRDefault="00CD2BA0" w:rsidP="00CD2BA0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CD2BA0" w:rsidRPr="00F56EBE" w:rsidRDefault="00CD2BA0" w:rsidP="00CD2BA0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>
        <w:t>Power control for SRS carrier based switching</w:t>
      </w:r>
    </w:p>
    <w:p w:rsidR="00CD2BA0" w:rsidRPr="00067A4F" w:rsidRDefault="00CD2BA0" w:rsidP="00CD2BA0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4D5E44">
        <w:t>7.2.5.2</w:t>
      </w:r>
    </w:p>
    <w:p w:rsidR="00CD2BA0" w:rsidRPr="009D2B97" w:rsidRDefault="00CD2BA0" w:rsidP="00CD2BA0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CD2BA0" w:rsidRPr="009D2B97" w:rsidRDefault="00CD2BA0" w:rsidP="00CD2BA0">
      <w:pPr>
        <w:pBdr>
          <w:bottom w:val="single" w:sz="4" w:space="1" w:color="auto"/>
        </w:pBdr>
        <w:tabs>
          <w:tab w:val="left" w:pos="2552"/>
        </w:tabs>
      </w:pPr>
    </w:p>
    <w:p w:rsidR="00CD2BA0" w:rsidRDefault="00CD2BA0" w:rsidP="00CD2BA0">
      <w:pPr>
        <w:pStyle w:val="Heading1"/>
      </w:pPr>
      <w:r w:rsidRPr="003178F4">
        <w:t>Introduction</w:t>
      </w:r>
    </w:p>
    <w:p w:rsidR="00CD2BA0" w:rsidRPr="00BE4FC8" w:rsidRDefault="00CD2BA0" w:rsidP="00CD2BA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 xml:space="preserve">In RAN1#86, the following </w:t>
      </w:r>
      <w:proofErr w:type="gramStart"/>
      <w:r>
        <w:t xml:space="preserve">agreements </w:t>
      </w:r>
      <w:r w:rsidR="00BD7EB4">
        <w:t xml:space="preserve"> </w:t>
      </w:r>
      <w:r w:rsidR="00311D52">
        <w:t>where</w:t>
      </w:r>
      <w:proofErr w:type="gramEnd"/>
      <w:r w:rsidR="00311D52">
        <w:t xml:space="preserve"> captured</w:t>
      </w:r>
      <w:r>
        <w:t xml:space="preserve"> </w:t>
      </w:r>
      <w:r>
        <w:fldChar w:fldCharType="begin"/>
      </w:r>
      <w:r>
        <w:instrText xml:space="preserve"> REF _Ref458425895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:rsidR="00311D52" w:rsidRDefault="00BD7EB4" w:rsidP="00311D52">
      <w:pPr>
        <w:rPr>
          <w:rFonts w:eastAsia="MS Mincho"/>
          <w:lang w:eastAsia="ja-JP"/>
        </w:rPr>
      </w:pPr>
      <w:r>
        <w:t xml:space="preserve"> </w:t>
      </w:r>
      <w:r w:rsidR="00311D52" w:rsidRPr="00CC58B1">
        <w:rPr>
          <w:rFonts w:eastAsia="MS Mincho"/>
          <w:highlight w:val="green"/>
          <w:lang w:eastAsia="ja-JP"/>
        </w:rPr>
        <w:t>Agreement</w:t>
      </w:r>
      <w:r w:rsidR="00311D52" w:rsidRPr="00DF143F">
        <w:rPr>
          <w:rFonts w:eastAsia="MS Mincho"/>
          <w:highlight w:val="green"/>
          <w:lang w:eastAsia="ja-JP"/>
        </w:rPr>
        <w:t>s</w:t>
      </w:r>
      <w:r w:rsidR="00311D52">
        <w:rPr>
          <w:rFonts w:eastAsia="MS Mincho"/>
          <w:lang w:eastAsia="ja-JP"/>
        </w:rPr>
        <w:t>:</w:t>
      </w:r>
    </w:p>
    <w:p w:rsidR="00311D52" w:rsidRPr="00B04181" w:rsidRDefault="00311D52" w:rsidP="00311D52">
      <w:pPr>
        <w:numPr>
          <w:ilvl w:val="0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>PC parameters</w:t>
      </w:r>
    </w:p>
    <w:p w:rsidR="00311D52" w:rsidRPr="00707BE9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>Configure open loop parameters Po and alpha for SRS-only CC</w:t>
      </w:r>
    </w:p>
    <w:p w:rsidR="00311D52" w:rsidRPr="00707BE9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 need to have </w:t>
      </w:r>
      <w:proofErr w:type="spellStart"/>
      <w:r>
        <w:rPr>
          <w:rFonts w:eastAsia="MS Mincho"/>
          <w:lang w:eastAsia="ja-JP"/>
        </w:rPr>
        <w:t>P_SRS_offset</w:t>
      </w:r>
      <w:proofErr w:type="spellEnd"/>
    </w:p>
    <w:p w:rsidR="00311D52" w:rsidRPr="00B04181" w:rsidRDefault="00311D52" w:rsidP="00311D52">
      <w:pPr>
        <w:rPr>
          <w:rFonts w:eastAsia="MS Mincho"/>
          <w:lang w:eastAsia="ja-JP"/>
        </w:rPr>
      </w:pPr>
    </w:p>
    <w:p w:rsidR="00311D52" w:rsidRPr="00B04181" w:rsidRDefault="00311D52" w:rsidP="00311D52">
      <w:pPr>
        <w:numPr>
          <w:ilvl w:val="0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>Down selection from TPC command options:</w:t>
      </w:r>
    </w:p>
    <w:p w:rsidR="00311D52" w:rsidRPr="00B04181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>Option 1: by UL grant DCI 0/4 (with cross-carrier indication)</w:t>
      </w:r>
    </w:p>
    <w:p w:rsidR="00311D52" w:rsidRPr="00B04181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>Option 2: by DL DCI (with cross-carrier indication)</w:t>
      </w:r>
    </w:p>
    <w:p w:rsidR="00311D52" w:rsidRPr="008A1896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3: by group DCI</w:t>
      </w:r>
    </w:p>
    <w:p w:rsidR="00311D52" w:rsidRPr="00B04181" w:rsidRDefault="00311D52" w:rsidP="00311D52">
      <w:pPr>
        <w:rPr>
          <w:rFonts w:eastAsia="MS Mincho"/>
          <w:lang w:eastAsia="ja-JP"/>
        </w:rPr>
      </w:pPr>
    </w:p>
    <w:p w:rsidR="00311D52" w:rsidRPr="008A1896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 xml:space="preserve">Adopt Option 3 </w:t>
      </w:r>
      <w:r>
        <w:rPr>
          <w:rFonts w:eastAsia="MS Mincho"/>
          <w:lang w:eastAsia="ja-JP"/>
        </w:rPr>
        <w:t>and only apply to SRS-only CC without PUSCH</w:t>
      </w:r>
    </w:p>
    <w:p w:rsidR="00311D52" w:rsidRPr="008A1896" w:rsidRDefault="00311D52" w:rsidP="00311D52">
      <w:pPr>
        <w:numPr>
          <w:ilvl w:val="2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Joint group DCI for triggering and TPC</w:t>
      </w:r>
    </w:p>
    <w:p w:rsidR="00311D52" w:rsidRPr="00707BE9" w:rsidRDefault="00311D52" w:rsidP="00311D52">
      <w:pPr>
        <w:numPr>
          <w:ilvl w:val="2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Number of bits for each UE and the meaning for the states of the field</w:t>
      </w:r>
    </w:p>
    <w:p w:rsidR="00311D52" w:rsidRPr="007C382A" w:rsidRDefault="00311D52" w:rsidP="00311D52">
      <w:pPr>
        <w:numPr>
          <w:ilvl w:val="2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>Introduce RNTI for the group</w:t>
      </w:r>
    </w:p>
    <w:p w:rsidR="00311D52" w:rsidRDefault="00311D52" w:rsidP="00311D52">
      <w:pPr>
        <w:rPr>
          <w:rFonts w:eastAsia="MS Mincho"/>
          <w:lang w:eastAsia="ja-JP"/>
        </w:rPr>
      </w:pPr>
    </w:p>
    <w:p w:rsidR="00311D52" w:rsidRPr="008A1896" w:rsidRDefault="00311D52" w:rsidP="00311D52">
      <w:pPr>
        <w:numPr>
          <w:ilvl w:val="0"/>
          <w:numId w:val="42"/>
        </w:numPr>
        <w:rPr>
          <w:rFonts w:eastAsia="MS Mincho"/>
          <w:lang w:eastAsia="ja-JP"/>
        </w:rPr>
      </w:pPr>
      <w:r w:rsidRPr="00B04181">
        <w:rPr>
          <w:rFonts w:eastAsia="MS Mincho"/>
          <w:lang w:eastAsia="ja-JP"/>
        </w:rPr>
        <w:t xml:space="preserve">Support 2 types of PHR as in Rel-13 </w:t>
      </w:r>
    </w:p>
    <w:p w:rsidR="00311D52" w:rsidRPr="00F543D4" w:rsidRDefault="00311D52" w:rsidP="00311D52">
      <w:pPr>
        <w:numPr>
          <w:ilvl w:val="1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FFS</w:t>
      </w:r>
    </w:p>
    <w:p w:rsidR="004A7315" w:rsidRPr="00CD2BA0" w:rsidRDefault="00311D52" w:rsidP="001E21AD">
      <w:pPr>
        <w:numPr>
          <w:ilvl w:val="0"/>
          <w:numId w:val="42"/>
        </w:numPr>
        <w:rPr>
          <w:i/>
          <w:color w:val="000000"/>
          <w:lang w:eastAsia="ko-KR"/>
        </w:rPr>
      </w:pPr>
      <w:r w:rsidRPr="00B04181">
        <w:rPr>
          <w:rFonts w:eastAsia="MS Mincho"/>
          <w:lang w:eastAsia="ja-JP"/>
        </w:rPr>
        <w:t>Dropping/power scaling rules as in Rel-13</w:t>
      </w:r>
      <w:r w:rsidR="001E21AD">
        <w:rPr>
          <w:rFonts w:eastAsia="MS Mincho"/>
          <w:lang w:eastAsia="ja-JP"/>
        </w:rPr>
        <w:t xml:space="preserve"> </w:t>
      </w:r>
    </w:p>
    <w:p w:rsidR="00CD2BA0" w:rsidRDefault="00CD2BA0" w:rsidP="00CD2BA0">
      <w:pPr>
        <w:pStyle w:val="Heading1"/>
        <w:rPr>
          <w:lang w:eastAsia="ko-KR"/>
        </w:rPr>
      </w:pPr>
      <w:r>
        <w:rPr>
          <w:lang w:eastAsia="ko-KR"/>
        </w:rPr>
        <w:t xml:space="preserve">Parameters for Power control </w:t>
      </w:r>
    </w:p>
    <w:p w:rsidR="00850130" w:rsidRDefault="00850130" w:rsidP="00311D52">
      <w:pPr>
        <w:pStyle w:val="BodyText"/>
        <w:rPr>
          <w:lang w:eastAsia="ko-KR"/>
        </w:rPr>
      </w:pPr>
    </w:p>
    <w:p w:rsidR="00311D52" w:rsidRDefault="00311D52" w:rsidP="00311D52">
      <w:pPr>
        <w:pStyle w:val="BodyText"/>
        <w:rPr>
          <w:lang w:eastAsia="ko-KR"/>
        </w:rPr>
      </w:pPr>
      <w:r>
        <w:rPr>
          <w:lang w:eastAsia="ko-KR"/>
        </w:rPr>
        <w:t>The sounding reference signal (SRS) is power controlled using the following equation</w:t>
      </w:r>
    </w:p>
    <w:p w:rsidR="00311D52" w:rsidRPr="005605DD" w:rsidRDefault="00850130" w:rsidP="005605DD">
      <w:pPr>
        <w:pStyle w:val="BodyText"/>
        <w:jc w:val="center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i</m:t>
            </m:r>
          </m:e>
        </m:d>
        <m:r>
          <w:rPr>
            <w:rFonts w:ascii="Cambria Math" w:hAnsi="Cambria Math"/>
            <w:lang w:eastAsia="ko-KR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>min⁡</m:t>
        </m:r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eq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i</m:t>
            </m:r>
          </m:e>
        </m:d>
        <m:r>
          <w:rPr>
            <w:rFonts w:ascii="Cambria Math" w:hAnsi="Cambria Math"/>
            <w:lang w:eastAsia="ko-KR"/>
          </w:rPr>
          <m:t>)</m:t>
        </m:r>
      </m:oMath>
      <w:r w:rsidR="005605DD">
        <w:rPr>
          <w:lang w:eastAsia="ko-KR"/>
        </w:rPr>
        <w:t>.</w:t>
      </w:r>
    </w:p>
    <w:p w:rsidR="005605DD" w:rsidRDefault="005605DD" w:rsidP="00311D52">
      <w:pPr>
        <w:pStyle w:val="BodyText"/>
        <w:rPr>
          <w:lang w:eastAsia="ko-KR"/>
        </w:rPr>
      </w:pPr>
      <w:r>
        <w:rPr>
          <w:lang w:eastAsia="ko-KR"/>
        </w:rPr>
        <w:t>With</w:t>
      </w:r>
    </w:p>
    <w:p w:rsidR="005605DD" w:rsidRPr="00311D52" w:rsidRDefault="00850130" w:rsidP="005605DD">
      <w:pPr>
        <w:pStyle w:val="BodyText"/>
        <w:jc w:val="center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SRSeq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i</m:t>
            </m:r>
          </m:e>
        </m:d>
        <m:r>
          <w:rPr>
            <w:rFonts w:ascii="Cambria Math" w:hAnsi="Cambria Math"/>
            <w:lang w:eastAsia="ko-KR"/>
          </w:rPr>
          <m:t>=10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log</m:t>
            </m:r>
          </m:e>
          <m:sub>
            <m:r>
              <w:rPr>
                <w:rFonts w:ascii="Cambria Math" w:hAnsi="Cambria Math"/>
                <w:lang w:eastAsia="ko-KR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0,pusch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j</m:t>
            </m:r>
          </m:e>
        </m:d>
        <m:r>
          <w:rPr>
            <w:rFonts w:ascii="Cambria Math" w:hAnsi="Cambria Math"/>
            <w:lang w:eastAsia="ko-KR"/>
          </w:rPr>
          <m:t>+PLα+f(i)</m:t>
        </m:r>
      </m:oMath>
      <w:r w:rsidR="005605DD">
        <w:rPr>
          <w:lang w:eastAsia="ko-KR"/>
        </w:rPr>
        <w:t>,</w:t>
      </w:r>
    </w:p>
    <w:p w:rsidR="005605DD" w:rsidRDefault="005605DD" w:rsidP="00311D52">
      <w:pPr>
        <w:pStyle w:val="BodyText"/>
        <w:rPr>
          <w:lang w:eastAsia="ko-KR"/>
        </w:rPr>
      </w:pPr>
      <w:r>
        <w:rPr>
          <w:lang w:eastAsia="ko-KR"/>
        </w:rPr>
        <w:t xml:space="preserve">The parameters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PL, P</m:t>
            </m:r>
          </m:e>
          <m:sub>
            <m:r>
              <w:rPr>
                <w:rFonts w:ascii="Cambria Math" w:hAnsi="Cambria Math"/>
                <w:lang w:eastAsia="ko-KR"/>
              </w:rPr>
              <m:t>0,pusch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j</m:t>
            </m:r>
          </m:e>
        </m:d>
      </m:oMath>
      <w:r>
        <w:rPr>
          <w:lang w:eastAsia="ko-KR"/>
        </w:rPr>
        <w:t xml:space="preserve"> and </w:t>
      </w:r>
      <m:oMath>
        <m:r>
          <w:rPr>
            <w:rFonts w:ascii="Cambria Math" w:hAnsi="Cambria Math"/>
            <w:lang w:eastAsia="ko-KR"/>
          </w:rPr>
          <m:t>α(j)</m:t>
        </m:r>
      </m:oMath>
      <w:r>
        <w:rPr>
          <w:lang w:eastAsia="ko-KR"/>
        </w:rPr>
        <w:t xml:space="preserve"> are </w:t>
      </w:r>
      <w:r w:rsidR="004F14CB">
        <w:rPr>
          <w:lang w:eastAsia="ko-KR"/>
        </w:rPr>
        <w:t>the cell specific open loop parameters which are signaled through higher layer and do not change over subframes.</w:t>
      </w:r>
      <w:r>
        <w:rPr>
          <w:lang w:eastAsia="ko-KR"/>
        </w:rPr>
        <w:t xml:space="preserve"> The function </w:t>
      </w:r>
      <m:oMath>
        <m:r>
          <w:rPr>
            <w:rFonts w:ascii="Cambria Math" w:hAnsi="Cambria Math"/>
            <w:lang w:eastAsia="ko-KR"/>
          </w:rPr>
          <m:t>f(i)</m:t>
        </m:r>
      </m:oMath>
      <w:r>
        <w:rPr>
          <w:lang w:eastAsia="ko-KR"/>
        </w:rPr>
        <w:t xml:space="preserve"> represents the accumulation of the TPC commands</w:t>
      </w:r>
      <w:r w:rsidR="004F14CB">
        <w:rPr>
          <w:lang w:eastAsia="ko-KR"/>
        </w:rPr>
        <w:t>, i.e. the closed loop parameter, which is also cell specific but changes from subframe to subframes</w:t>
      </w:r>
      <w:r>
        <w:rPr>
          <w:lang w:eastAsia="ko-KR"/>
        </w:rPr>
        <w:t xml:space="preserve">. </w:t>
      </w:r>
    </w:p>
    <w:p w:rsidR="00CD2BA0" w:rsidRDefault="00CD2BA0" w:rsidP="00CD2BA0">
      <w:pPr>
        <w:pStyle w:val="Heading2"/>
      </w:pPr>
      <w:r w:rsidRPr="00CD2BA0">
        <w:t>Open Loop</w:t>
      </w:r>
    </w:p>
    <w:p w:rsidR="004F14CB" w:rsidRDefault="004F14CB" w:rsidP="002F799E">
      <w:pPr>
        <w:pStyle w:val="B2"/>
        <w:ind w:left="0" w:firstLine="0"/>
        <w:rPr>
          <w:rFonts w:ascii="AdvP6F00" w:eastAsiaTheme="minorEastAsia" w:hAnsi="AdvP6F00" w:cs="AdvP6F00"/>
          <w:lang w:eastAsia="ja-JP"/>
        </w:rPr>
      </w:pPr>
      <w:r w:rsidRPr="0066487F">
        <w:rPr>
          <w:lang w:eastAsia="ko-KR"/>
        </w:rPr>
        <w:t xml:space="preserve">In the current specifications, open loop parameters are signaled via higher layers. </w:t>
      </w:r>
      <w:r w:rsidR="0066487F" w:rsidRPr="0066487F">
        <w:rPr>
          <w:lang w:eastAsia="ko-KR"/>
        </w:rPr>
        <w:t xml:space="preserve"> The </w:t>
      </w:r>
      <w:r w:rsidR="0066487F">
        <w:rPr>
          <w:lang w:eastAsia="ko-KR"/>
        </w:rPr>
        <w:t xml:space="preserve">initial power P0pusch, </w:t>
      </w:r>
      <w:r w:rsidR="0066487F">
        <w:t xml:space="preserve">is calculated for each cell using parameters signalled from higher layers. </w:t>
      </w:r>
      <w:r>
        <w:rPr>
          <w:lang w:eastAsia="ko-KR"/>
        </w:rPr>
        <w:t xml:space="preserve">The Path loss is signaled with </w:t>
      </w:r>
      <w:r w:rsidR="0066487F">
        <w:t xml:space="preserve">PL </w:t>
      </w:r>
      <w:r w:rsidR="0066487F" w:rsidRPr="00E9040D">
        <w:t>the downlink path</w:t>
      </w:r>
      <w:r w:rsidR="0066487F">
        <w:t xml:space="preserve"> </w:t>
      </w:r>
      <w:r w:rsidR="0066487F" w:rsidRPr="00E9040D">
        <w:t xml:space="preserve">loss estimate calculated in the UE for serving cell </w:t>
      </w:r>
      <w:r w:rsidR="0066487F" w:rsidRPr="00E9040D">
        <w:rPr>
          <w:position w:val="-6"/>
        </w:rPr>
        <w:object w:dxaOrig="1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9.35pt" o:ole="">
            <v:imagedata r:id="rId5" o:title=""/>
          </v:shape>
          <o:OLEObject Type="Embed" ProgID="Equation.3" ShapeID="_x0000_i1025" DrawAspect="Content" ObjectID="_1536760528" r:id="rId6"/>
        </w:object>
      </w:r>
      <w:r w:rsidR="0066487F" w:rsidRPr="00E9040D">
        <w:rPr>
          <w:rFonts w:eastAsia="MS Mincho"/>
        </w:rPr>
        <w:t xml:space="preserve"> in dB and </w:t>
      </w:r>
      <w:r w:rsidR="002F799E">
        <w:rPr>
          <w:rFonts w:eastAsia="MS Mincho"/>
        </w:rPr>
        <w:t xml:space="preserve">is provided by higher layers.  </w:t>
      </w:r>
      <w:r>
        <w:rPr>
          <w:rFonts w:ascii="AdvEucSymb-i" w:eastAsia="AdvEucSymb-i" w:hAnsi="AdvP6F0B" w:cs="AdvEucSymb-i" w:hint="eastAsia"/>
          <w:lang w:val="sv-SE" w:eastAsia="ja-JP"/>
        </w:rPr>
        <w:t>α</w:t>
      </w:r>
      <w:r w:rsidRPr="004F14CB">
        <w:rPr>
          <w:rFonts w:ascii="AdvEucSymb-i" w:eastAsia="AdvEucSymb-i" w:hAnsi="AdvP6F0B" w:cs="AdvEucSymb-i"/>
          <w:lang w:eastAsia="ja-JP"/>
        </w:rPr>
        <w:t xml:space="preserve"> </w:t>
      </w:r>
      <w:r w:rsidRPr="004F14CB">
        <w:rPr>
          <w:rFonts w:ascii="AdvP6F00" w:eastAsiaTheme="minorEastAsia" w:hAnsi="AdvP6F00" w:cs="AdvP6F00"/>
          <w:lang w:eastAsia="ja-JP"/>
        </w:rPr>
        <w:t>represents the path loss compensation factor, which is a 3-bit cell-specific</w:t>
      </w:r>
      <w:r w:rsidR="0066487F">
        <w:rPr>
          <w:rFonts w:ascii="AdvP6F00" w:eastAsiaTheme="minorEastAsia" w:hAnsi="AdvP6F00" w:cs="AdvP6F00"/>
          <w:lang w:eastAsia="ja-JP"/>
        </w:rPr>
        <w:t xml:space="preserve"> </w:t>
      </w:r>
      <w:r w:rsidRPr="004F14CB">
        <w:rPr>
          <w:rFonts w:ascii="AdvP6F00" w:eastAsiaTheme="minorEastAsia" w:hAnsi="AdvP6F00" w:cs="AdvP6F00"/>
          <w:lang w:eastAsia="ja-JP"/>
        </w:rPr>
        <w:t xml:space="preserve">parameter in the range of [0 1] which is </w:t>
      </w:r>
      <w:r w:rsidR="00FC634C" w:rsidRPr="004F14CB">
        <w:rPr>
          <w:rFonts w:ascii="AdvP6F00" w:eastAsiaTheme="minorEastAsia" w:hAnsi="AdvP6F00" w:cs="AdvP6F00"/>
          <w:lang w:eastAsia="ja-JP"/>
        </w:rPr>
        <w:t>signalled</w:t>
      </w:r>
      <w:r w:rsidRPr="004F14CB">
        <w:rPr>
          <w:rFonts w:ascii="AdvP6F00" w:eastAsiaTheme="minorEastAsia" w:hAnsi="AdvP6F00" w:cs="AdvP6F00"/>
          <w:lang w:eastAsia="ja-JP"/>
        </w:rPr>
        <w:t xml:space="preserve"> through higher-layer</w:t>
      </w:r>
      <w:r w:rsidR="0066487F">
        <w:rPr>
          <w:rFonts w:ascii="AdvP6F00" w:eastAsiaTheme="minorEastAsia" w:hAnsi="AdvP6F00" w:cs="AdvP6F00"/>
          <w:lang w:eastAsia="ja-JP"/>
        </w:rPr>
        <w:t xml:space="preserve"> </w:t>
      </w:r>
      <w:r w:rsidR="00FC634C" w:rsidRPr="004F14CB">
        <w:rPr>
          <w:rFonts w:ascii="AdvP6F00" w:eastAsiaTheme="minorEastAsia" w:hAnsi="AdvP6F00" w:cs="AdvP6F00"/>
          <w:lang w:eastAsia="ja-JP"/>
        </w:rPr>
        <w:t>signalling</w:t>
      </w:r>
      <w:r w:rsidRPr="004F14CB">
        <w:rPr>
          <w:rFonts w:ascii="AdvP6F00" w:eastAsiaTheme="minorEastAsia" w:hAnsi="AdvP6F00" w:cs="AdvP6F00"/>
          <w:lang w:eastAsia="ja-JP"/>
        </w:rPr>
        <w:t xml:space="preserve">, where </w:t>
      </w:r>
      <w:r>
        <w:rPr>
          <w:rFonts w:ascii="AdvEucSymb-i" w:eastAsia="AdvEucSymb-i" w:hAnsi="AdvP6F0B" w:cs="AdvEucSymb-i" w:hint="eastAsia"/>
          <w:lang w:val="sv-SE" w:eastAsia="ja-JP"/>
        </w:rPr>
        <w:t>α</w:t>
      </w:r>
      <w:r w:rsidR="0066487F" w:rsidRPr="0066487F">
        <w:rPr>
          <w:rFonts w:ascii="AdvEucSymb-i" w:eastAsia="AdvEucSymb-i" w:hAnsi="AdvP6F0B" w:cs="AdvEucSymb-i" w:hint="eastAsia"/>
          <w:lang w:eastAsia="ja-JP"/>
        </w:rPr>
        <w:t>=000</w:t>
      </w:r>
      <w:r w:rsidRPr="004F14CB">
        <w:rPr>
          <w:rFonts w:ascii="AdvP6F00" w:eastAsiaTheme="minorEastAsia" w:hAnsi="AdvP6F00" w:cs="AdvP6F00"/>
          <w:lang w:eastAsia="ja-JP"/>
        </w:rPr>
        <w:t xml:space="preserve"> corresponds to “no compensation” and </w:t>
      </w:r>
      <w:r>
        <w:rPr>
          <w:rFonts w:ascii="AdvEucSymb-i" w:eastAsia="AdvEucSymb-i" w:hAnsi="AdvP6F0B" w:cs="AdvEucSymb-i" w:hint="eastAsia"/>
          <w:lang w:val="sv-SE" w:eastAsia="ja-JP"/>
        </w:rPr>
        <w:t>α</w:t>
      </w:r>
      <w:r w:rsidR="002F799E" w:rsidRPr="002F799E">
        <w:rPr>
          <w:rFonts w:ascii="AdvEucSymb-i" w:eastAsia="AdvEucSymb-i" w:hAnsi="AdvP6F0B" w:cs="AdvEucSymb-i" w:hint="eastAsia"/>
          <w:lang w:val="en-US" w:eastAsia="ja-JP"/>
        </w:rPr>
        <w:t>=</w:t>
      </w:r>
      <w:r w:rsidR="0066487F">
        <w:rPr>
          <w:rFonts w:ascii="AdvOT410c0b94" w:eastAsiaTheme="minorEastAsia" w:hAnsi="AdvOT410c0b94" w:cs="AdvOT410c0b94"/>
          <w:lang w:eastAsia="ja-JP"/>
        </w:rPr>
        <w:t>111</w:t>
      </w:r>
      <w:r w:rsidR="002F799E">
        <w:rPr>
          <w:rFonts w:ascii="AdvOT410c0b94" w:eastAsiaTheme="minorEastAsia" w:hAnsi="AdvOT410c0b94" w:cs="AdvOT410c0b94"/>
          <w:lang w:eastAsia="ja-JP"/>
        </w:rPr>
        <w:t xml:space="preserve"> </w:t>
      </w:r>
      <w:r w:rsidRPr="004F14CB">
        <w:rPr>
          <w:rFonts w:ascii="AdvP6F00" w:eastAsiaTheme="minorEastAsia" w:hAnsi="AdvP6F00" w:cs="AdvP6F00"/>
          <w:lang w:eastAsia="ja-JP"/>
        </w:rPr>
        <w:t>corresponds to “full compensation.”</w:t>
      </w:r>
    </w:p>
    <w:p w:rsidR="0066487F" w:rsidRPr="00C905A5" w:rsidRDefault="00C905A5" w:rsidP="004F14CB">
      <w:pPr>
        <w:autoSpaceDE w:val="0"/>
        <w:autoSpaceDN w:val="0"/>
        <w:adjustRightInd w:val="0"/>
        <w:rPr>
          <w:rFonts w:ascii="AdvP6F00" w:eastAsiaTheme="minorEastAsia" w:hAnsi="AdvP6F00" w:cs="AdvP6F00"/>
          <w:b/>
          <w:szCs w:val="20"/>
          <w:lang w:eastAsia="ja-JP"/>
        </w:rPr>
      </w:pPr>
      <w:r w:rsidRPr="00C905A5">
        <w:rPr>
          <w:rFonts w:ascii="AdvP6F00" w:eastAsiaTheme="minorEastAsia" w:hAnsi="AdvP6F00" w:cs="AdvP6F00"/>
          <w:b/>
          <w:szCs w:val="20"/>
          <w:lang w:eastAsia="ja-JP"/>
        </w:rPr>
        <w:t xml:space="preserve">Proposal: do not introduce new open loop parameters. The optimal values of the parameters are implementation specific. </w:t>
      </w:r>
    </w:p>
    <w:p w:rsidR="00CD2BA0" w:rsidRDefault="00CD2BA0" w:rsidP="00CD2BA0">
      <w:pPr>
        <w:pStyle w:val="Heading2"/>
      </w:pPr>
      <w:r w:rsidRPr="00CD2BA0">
        <w:lastRenderedPageBreak/>
        <w:t>Closed Loop</w:t>
      </w:r>
    </w:p>
    <w:p w:rsidR="00850130" w:rsidRDefault="00850130" w:rsidP="000145AE">
      <w:pPr>
        <w:rPr>
          <w:rFonts w:eastAsia="MS Mincho"/>
          <w:lang w:eastAsia="ja-JP"/>
        </w:rPr>
      </w:pPr>
    </w:p>
    <w:p w:rsidR="000145AE" w:rsidRDefault="000145AE" w:rsidP="000145A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closed loop is controlled by a TPC command signaled via DCI. In ran1#86, group DCI (PDCCH format 3) was chosen to control the TPC command. It was also agreed to introduce a TPC SRS RNTI for the group of Ues. </w:t>
      </w:r>
    </w:p>
    <w:p w:rsidR="00C905A5" w:rsidRDefault="000145AE" w:rsidP="00CF0CDF">
      <w:pPr>
        <w:rPr>
          <w:rFonts w:eastAsia="MS Mincho"/>
          <w:lang w:eastAsia="ja-JP"/>
        </w:rPr>
      </w:pPr>
      <w:r w:rsidRPr="000145AE">
        <w:rPr>
          <w:rFonts w:ascii="NimbusRomNo9L-Medi" w:eastAsiaTheme="minorEastAsia" w:hAnsi="NimbusRomNo9L-Medi" w:cs="NimbusRomNo9L-Medi"/>
          <w:lang w:eastAsia="ja-JP"/>
        </w:rPr>
        <w:t xml:space="preserve">Formats 3 and 3A. </w:t>
      </w:r>
      <w:r w:rsidRPr="000145AE">
        <w:rPr>
          <w:rFonts w:eastAsiaTheme="minorEastAsia"/>
          <w:lang w:eastAsia="ja-JP"/>
        </w:rPr>
        <w:t>DCI Formats 3 and 3A are used for the transmission of power control</w:t>
      </w:r>
      <w:r>
        <w:rPr>
          <w:rFonts w:eastAsiaTheme="minorEastAsia"/>
          <w:lang w:eastAsia="ja-JP"/>
        </w:rPr>
        <w:t xml:space="preserve"> </w:t>
      </w:r>
      <w:r w:rsidRPr="000145AE">
        <w:rPr>
          <w:rFonts w:eastAsiaTheme="minorEastAsia"/>
          <w:lang w:eastAsia="ja-JP"/>
        </w:rPr>
        <w:t>commands for PUCCH and PUSCH, with 2-bit or 1-bit power adjustments respectively.</w:t>
      </w:r>
      <w:r>
        <w:rPr>
          <w:rFonts w:eastAsiaTheme="minorEastAsia"/>
          <w:lang w:eastAsia="ja-JP"/>
        </w:rPr>
        <w:t xml:space="preserve"> </w:t>
      </w:r>
      <w:r w:rsidRPr="000145AE">
        <w:rPr>
          <w:rFonts w:eastAsiaTheme="minorEastAsia"/>
          <w:lang w:eastAsia="ja-JP"/>
        </w:rPr>
        <w:t>These DCI formats contain individual power control commands for a group of UEs.</w:t>
      </w:r>
      <w:r w:rsidR="00C905A5">
        <w:rPr>
          <w:rFonts w:eastAsia="MS Mincho"/>
          <w:lang w:eastAsia="ja-JP"/>
        </w:rPr>
        <w:t xml:space="preserve"> </w:t>
      </w:r>
    </w:p>
    <w:p w:rsidR="002F799E" w:rsidRDefault="002F799E" w:rsidP="002F799E">
      <w:pPr>
        <w:rPr>
          <w:rFonts w:eastAsia="MS Mincho"/>
          <w:lang w:eastAsia="ja-JP"/>
        </w:rPr>
      </w:pPr>
    </w:p>
    <w:p w:rsidR="002F799E" w:rsidRPr="00E9040D" w:rsidRDefault="002F799E" w:rsidP="002F799E">
      <w:pPr>
        <w:pStyle w:val="TH"/>
      </w:pPr>
      <w:r w:rsidRPr="00E9040D">
        <w:t xml:space="preserve">Table 5.1.1.1-2: Mapping of TPC Command Field in DCI format 0/3/4 </w:t>
      </w:r>
      <w:proofErr w:type="gramStart"/>
      <w:r w:rsidRPr="00E9040D">
        <w:t>to</w:t>
      </w:r>
      <w:proofErr w:type="gramEnd"/>
      <w:r w:rsidRPr="00E9040D">
        <w:t xml:space="preserve"> absolute and accumulated </w:t>
      </w:r>
      <w:r w:rsidRPr="00E9040D">
        <w:rPr>
          <w:position w:val="-12"/>
        </w:rPr>
        <w:object w:dxaOrig="820" w:dyaOrig="320">
          <v:shape id="_x0000_i1026" type="#_x0000_t75" style="width:41.15pt;height:15.9pt" o:ole="">
            <v:imagedata r:id="rId7" o:title=""/>
          </v:shape>
          <o:OLEObject Type="Embed" ProgID="Equation.3" ShapeID="_x0000_i1026" DrawAspect="Content" ObjectID="_1536760529" r:id="rId8"/>
        </w:object>
      </w:r>
      <w:r w:rsidRPr="00E9040D"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7"/>
        <w:gridCol w:w="2636"/>
        <w:gridCol w:w="3966"/>
      </w:tblGrid>
      <w:tr w:rsidR="002F799E" w:rsidRPr="00E9040D" w:rsidTr="00AA2547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F799E" w:rsidRPr="00E9040D" w:rsidRDefault="002F799E" w:rsidP="00AA2547">
            <w:pPr>
              <w:pStyle w:val="TAH"/>
            </w:pPr>
            <w:r w:rsidRPr="00E9040D">
              <w:t>TPC Command Field in</w:t>
            </w:r>
          </w:p>
          <w:p w:rsidR="002F799E" w:rsidRPr="00E9040D" w:rsidRDefault="002F799E" w:rsidP="00AA2547">
            <w:pPr>
              <w:pStyle w:val="TAH"/>
            </w:pPr>
            <w:r w:rsidRPr="00E9040D">
              <w:t>DCI format 0/3/4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2F799E" w:rsidRPr="00E9040D" w:rsidRDefault="002F799E" w:rsidP="00AA2547">
            <w:pPr>
              <w:pStyle w:val="TAH"/>
              <w:rPr>
                <w:szCs w:val="18"/>
              </w:rPr>
            </w:pPr>
            <w:r w:rsidRPr="00E9040D">
              <w:t xml:space="preserve">Accumulated </w:t>
            </w:r>
            <w:r w:rsidRPr="00E9040D">
              <w:rPr>
                <w:position w:val="-12"/>
              </w:rPr>
              <w:object w:dxaOrig="820" w:dyaOrig="320">
                <v:shape id="_x0000_i1027" type="#_x0000_t75" style="width:41.15pt;height:15.9pt" o:ole="">
                  <v:imagedata r:id="rId7" o:title=""/>
                </v:shape>
                <o:OLEObject Type="Embed" ProgID="Equation.3" ShapeID="_x0000_i1027" DrawAspect="Content" ObjectID="_1536760530" r:id="rId9"/>
              </w:object>
            </w:r>
            <w:r w:rsidRPr="00E9040D" w:rsidDel="005872D2">
              <w:t xml:space="preserve"> </w:t>
            </w:r>
            <w:r w:rsidRPr="00E9040D">
              <w:t>[dB]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2F799E" w:rsidRPr="00E9040D" w:rsidRDefault="002F799E" w:rsidP="00AA2547">
            <w:pPr>
              <w:pStyle w:val="TAH"/>
              <w:rPr>
                <w:szCs w:val="18"/>
              </w:rPr>
            </w:pPr>
            <w:r w:rsidRPr="00E9040D">
              <w:t xml:space="preserve">Absolute </w:t>
            </w:r>
            <w:r w:rsidRPr="00E9040D">
              <w:rPr>
                <w:position w:val="-12"/>
              </w:rPr>
              <w:object w:dxaOrig="820" w:dyaOrig="320">
                <v:shape id="_x0000_i1028" type="#_x0000_t75" style="width:41.15pt;height:15.9pt" o:ole="">
                  <v:imagedata r:id="rId7" o:title=""/>
                </v:shape>
                <o:OLEObject Type="Embed" ProgID="Equation.3" ShapeID="_x0000_i1028" DrawAspect="Content" ObjectID="_1536760531" r:id="rId10"/>
              </w:object>
            </w:r>
            <w:r w:rsidRPr="00E9040D" w:rsidDel="005872D2">
              <w:t xml:space="preserve"> </w:t>
            </w:r>
            <w:r w:rsidRPr="00E9040D">
              <w:t>[dB] only DCI format 0/4</w:t>
            </w:r>
          </w:p>
        </w:tc>
      </w:tr>
      <w:tr w:rsidR="002F799E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-1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-4</w:t>
            </w:r>
          </w:p>
        </w:tc>
      </w:tr>
      <w:tr w:rsidR="002F799E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-1</w:t>
            </w:r>
          </w:p>
        </w:tc>
      </w:tr>
      <w:tr w:rsidR="002F799E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1</w:t>
            </w:r>
          </w:p>
        </w:tc>
      </w:tr>
      <w:tr w:rsidR="002F799E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4</w:t>
            </w:r>
          </w:p>
        </w:tc>
      </w:tr>
    </w:tbl>
    <w:p w:rsidR="002F799E" w:rsidRPr="00E9040D" w:rsidRDefault="002F799E" w:rsidP="002F799E"/>
    <w:p w:rsidR="002F799E" w:rsidRPr="00E9040D" w:rsidRDefault="002F799E" w:rsidP="002F799E">
      <w:pPr>
        <w:pStyle w:val="TH"/>
      </w:pPr>
      <w:r w:rsidRPr="00E9040D">
        <w:t>Table 5.1.1.1-3: Mapping of TPC Command Field in DCI format 3A to</w:t>
      </w:r>
      <w:r w:rsidRPr="00E9040D">
        <w:rPr>
          <w:sz w:val="19"/>
          <w:szCs w:val="19"/>
        </w:rPr>
        <w:t xml:space="preserve"> accumulated</w:t>
      </w:r>
      <w:r w:rsidRPr="00E9040D">
        <w:t xml:space="preserve"> </w:t>
      </w:r>
      <w:r w:rsidRPr="00E9040D">
        <w:rPr>
          <w:position w:val="-12"/>
        </w:rPr>
        <w:object w:dxaOrig="820" w:dyaOrig="320">
          <v:shape id="_x0000_i1029" type="#_x0000_t75" style="width:41.15pt;height:15.9pt" o:ole="">
            <v:imagedata r:id="rId7" o:title=""/>
          </v:shape>
          <o:OLEObject Type="Embed" ProgID="Equation.3" ShapeID="_x0000_i1029" DrawAspect="Content" ObjectID="_1536760532" r:id="rId11"/>
        </w:object>
      </w:r>
      <w:r w:rsidRPr="00E9040D"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7"/>
        <w:gridCol w:w="2648"/>
      </w:tblGrid>
      <w:tr w:rsidR="002F799E" w:rsidRPr="00E9040D" w:rsidTr="00AA2547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F799E" w:rsidRPr="00E9040D" w:rsidRDefault="002F799E" w:rsidP="00AA2547">
            <w:pPr>
              <w:pStyle w:val="TAH"/>
            </w:pPr>
            <w:r w:rsidRPr="00E9040D">
              <w:t>TPC Command Field in</w:t>
            </w:r>
          </w:p>
          <w:p w:rsidR="002F799E" w:rsidRPr="00E9040D" w:rsidRDefault="002F799E" w:rsidP="00AA2547">
            <w:pPr>
              <w:pStyle w:val="TAH"/>
            </w:pPr>
            <w:r w:rsidRPr="00E9040D">
              <w:t>DCI format 3A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2F799E" w:rsidRPr="00E9040D" w:rsidRDefault="002F799E" w:rsidP="00AA2547">
            <w:pPr>
              <w:pStyle w:val="TAH"/>
              <w:rPr>
                <w:szCs w:val="18"/>
              </w:rPr>
            </w:pPr>
            <w:r w:rsidRPr="00E9040D">
              <w:rPr>
                <w:sz w:val="19"/>
                <w:szCs w:val="19"/>
              </w:rPr>
              <w:t>Accumulated</w:t>
            </w:r>
            <w:r w:rsidRPr="00E9040D">
              <w:rPr>
                <w:position w:val="-12"/>
              </w:rPr>
              <w:object w:dxaOrig="820" w:dyaOrig="320">
                <v:shape id="_x0000_i1030" type="#_x0000_t75" style="width:41.15pt;height:15.9pt" o:ole="">
                  <v:imagedata r:id="rId7" o:title=""/>
                </v:shape>
                <o:OLEObject Type="Embed" ProgID="Equation.3" ShapeID="_x0000_i1030" DrawAspect="Content" ObjectID="_1536760533" r:id="rId12"/>
              </w:object>
            </w:r>
            <w:r w:rsidRPr="00E9040D">
              <w:t xml:space="preserve"> [dB]</w:t>
            </w:r>
          </w:p>
        </w:tc>
      </w:tr>
      <w:tr w:rsidR="002F799E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-1</w:t>
            </w:r>
          </w:p>
        </w:tc>
      </w:tr>
      <w:tr w:rsidR="002F799E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2F799E" w:rsidRPr="00E9040D" w:rsidRDefault="002F799E" w:rsidP="00AA2547">
            <w:pPr>
              <w:pStyle w:val="TAC"/>
            </w:pPr>
            <w:r w:rsidRPr="00E9040D">
              <w:t>1</w:t>
            </w:r>
          </w:p>
        </w:tc>
      </w:tr>
    </w:tbl>
    <w:p w:rsidR="002F799E" w:rsidRDefault="002F799E" w:rsidP="002F799E">
      <w:pPr>
        <w:rPr>
          <w:rFonts w:eastAsia="MS Mincho"/>
          <w:lang w:eastAsia="ja-JP"/>
        </w:rPr>
      </w:pPr>
    </w:p>
    <w:p w:rsidR="002F799E" w:rsidRDefault="00CF0CDF" w:rsidP="002F799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As it is foreseen that SRS will be sent with large periods of time between transmission, format 3 is better suited </w:t>
      </w:r>
      <w:proofErr w:type="gramStart"/>
      <w:r>
        <w:rPr>
          <w:rFonts w:eastAsia="MS Mincho"/>
          <w:lang w:eastAsia="ja-JP"/>
        </w:rPr>
        <w:t>to  handle</w:t>
      </w:r>
      <w:proofErr w:type="gramEnd"/>
      <w:r>
        <w:rPr>
          <w:rFonts w:eastAsia="MS Mincho"/>
          <w:lang w:eastAsia="ja-JP"/>
        </w:rPr>
        <w:t xml:space="preserve"> larger swings in power control. </w:t>
      </w:r>
    </w:p>
    <w:p w:rsidR="00850130" w:rsidRDefault="00850130" w:rsidP="002F799E">
      <w:pPr>
        <w:rPr>
          <w:rFonts w:eastAsia="MS Mincho"/>
          <w:b/>
          <w:lang w:eastAsia="ja-JP"/>
        </w:rPr>
      </w:pPr>
    </w:p>
    <w:p w:rsidR="00CF0CDF" w:rsidRDefault="00CF0CDF" w:rsidP="002F799E">
      <w:pPr>
        <w:rPr>
          <w:rFonts w:eastAsia="MS Mincho"/>
          <w:b/>
          <w:lang w:eastAsia="ja-JP"/>
        </w:rPr>
      </w:pPr>
      <w:r w:rsidRPr="00CF0CDF">
        <w:rPr>
          <w:rFonts w:eastAsia="MS Mincho"/>
          <w:b/>
          <w:lang w:eastAsia="ja-JP"/>
        </w:rPr>
        <w:t>Proposal:</w:t>
      </w:r>
      <w:r w:rsidR="00FC634C">
        <w:rPr>
          <w:rFonts w:eastAsia="MS Mincho"/>
          <w:b/>
          <w:lang w:eastAsia="ja-JP"/>
        </w:rPr>
        <w:t xml:space="preserve"> </w:t>
      </w:r>
      <w:r w:rsidRPr="00CF0CDF">
        <w:rPr>
          <w:rFonts w:eastAsia="MS Mincho"/>
          <w:b/>
          <w:lang w:eastAsia="ja-JP"/>
        </w:rPr>
        <w:t xml:space="preserve">use two bits for TPC power control </w:t>
      </w:r>
      <w:r w:rsidR="00E651CA">
        <w:rPr>
          <w:rFonts w:eastAsia="MS Mincho"/>
          <w:b/>
          <w:lang w:eastAsia="ja-JP"/>
        </w:rPr>
        <w:t xml:space="preserve">of SRS </w:t>
      </w:r>
      <w:r w:rsidRPr="00CF0CDF">
        <w:rPr>
          <w:rFonts w:eastAsia="MS Mincho"/>
          <w:b/>
          <w:lang w:eastAsia="ja-JP"/>
        </w:rPr>
        <w:t>as stated in table 5.1.1.1-2 in 36.213.</w:t>
      </w:r>
    </w:p>
    <w:p w:rsidR="00964506" w:rsidRPr="00964506" w:rsidRDefault="00964506" w:rsidP="00964506">
      <w:pPr>
        <w:pStyle w:val="Heading2"/>
      </w:pPr>
      <w:r>
        <w:t xml:space="preserve">Combined TPC and SRS trigger </w:t>
      </w:r>
      <w:proofErr w:type="spellStart"/>
      <w:r>
        <w:t>signalling</w:t>
      </w:r>
      <w:proofErr w:type="spellEnd"/>
    </w:p>
    <w:p w:rsidR="00964506" w:rsidRDefault="00CF0CDF" w:rsidP="00964506">
      <w:pPr>
        <w:pStyle w:val="BodyText"/>
      </w:pPr>
      <w:r>
        <w:t xml:space="preserve">A-SRS requests flags transmission </w:t>
      </w:r>
      <w:r w:rsidR="00E651CA">
        <w:t xml:space="preserve">could </w:t>
      </w:r>
      <w:r>
        <w:t xml:space="preserve">be combined with power control. </w:t>
      </w:r>
      <w:r w:rsidR="00E651CA">
        <w:t>An additional bit can be added to the TPC command field to account for the flag:</w:t>
      </w:r>
    </w:p>
    <w:p w:rsidR="00E651CA" w:rsidRPr="00E9040D" w:rsidRDefault="00E651CA" w:rsidP="00E651CA">
      <w:pPr>
        <w:pStyle w:val="TH"/>
      </w:pPr>
      <w:r w:rsidRPr="00E9040D">
        <w:t>Table 5.1.1.1-2</w:t>
      </w:r>
      <w:r>
        <w:t>x</w:t>
      </w:r>
      <w:r w:rsidRPr="00E9040D">
        <w:t>: Mapping of TP</w:t>
      </w:r>
      <w:r>
        <w:t xml:space="preserve">C Command Field in DCI format </w:t>
      </w:r>
      <w:r w:rsidRPr="00E9040D">
        <w:t xml:space="preserve">3 to accumulated </w:t>
      </w:r>
      <w:r w:rsidR="00DF7E11" w:rsidRPr="00E651CA">
        <w:rPr>
          <w:position w:val="-14"/>
        </w:rPr>
        <w:object w:dxaOrig="560" w:dyaOrig="380">
          <v:shape id="_x0000_i1031" type="#_x0000_t75" style="width:28.05pt;height:19.65pt" o:ole="">
            <v:imagedata r:id="rId13" o:title=""/>
          </v:shape>
          <o:OLEObject Type="Embed" ProgID="Equation.3" ShapeID="_x0000_i1031" DrawAspect="Content" ObjectID="_1536760534" r:id="rId14"/>
        </w:object>
      </w:r>
      <w:r w:rsidRPr="00E9040D"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7"/>
        <w:gridCol w:w="2364"/>
        <w:gridCol w:w="1657"/>
      </w:tblGrid>
      <w:tr w:rsidR="00E651CA" w:rsidRPr="00E9040D" w:rsidTr="00AA2547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651CA" w:rsidRPr="00E9040D" w:rsidRDefault="00E651CA" w:rsidP="00AA2547">
            <w:pPr>
              <w:pStyle w:val="TAH"/>
            </w:pPr>
            <w:r w:rsidRPr="00E9040D">
              <w:t>TPC Command Field in</w:t>
            </w:r>
          </w:p>
          <w:p w:rsidR="00E651CA" w:rsidRPr="00E9040D" w:rsidRDefault="00E651CA" w:rsidP="00AA2547">
            <w:pPr>
              <w:pStyle w:val="TAH"/>
            </w:pPr>
            <w:r w:rsidRPr="00E9040D">
              <w:t>DCI format 3</w:t>
            </w:r>
            <w:r w:rsidR="00DF7E11">
              <w:t>x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651CA" w:rsidRPr="00E9040D" w:rsidRDefault="00E651CA" w:rsidP="00AA2547">
            <w:pPr>
              <w:pStyle w:val="TAH"/>
              <w:rPr>
                <w:szCs w:val="18"/>
              </w:rPr>
            </w:pPr>
            <w:r w:rsidRPr="00E9040D">
              <w:t xml:space="preserve">Accumulated </w:t>
            </w:r>
            <w:r w:rsidR="002A21F9" w:rsidRPr="00DF7E11">
              <w:rPr>
                <w:position w:val="-14"/>
              </w:rPr>
              <w:object w:dxaOrig="560" w:dyaOrig="380">
                <v:shape id="_x0000_i1032" type="#_x0000_t75" style="width:28.05pt;height:19.65pt" o:ole="">
                  <v:imagedata r:id="rId15" o:title=""/>
                </v:shape>
                <o:OLEObject Type="Embed" ProgID="Equation.3" ShapeID="_x0000_i1032" DrawAspect="Content" ObjectID="_1536760535" r:id="rId16"/>
              </w:object>
            </w:r>
            <w:r w:rsidRPr="00E9040D" w:rsidDel="005872D2">
              <w:t xml:space="preserve"> </w:t>
            </w:r>
            <w:r w:rsidRPr="00E9040D">
              <w:t>[dB]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651CA" w:rsidRPr="00E9040D" w:rsidRDefault="00E651CA" w:rsidP="00AA2547">
            <w:pPr>
              <w:pStyle w:val="TAH"/>
              <w:rPr>
                <w:szCs w:val="18"/>
              </w:rPr>
            </w:pPr>
            <w:r>
              <w:t>SRS request flag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AA2547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AA2547">
            <w:pPr>
              <w:pStyle w:val="TAC"/>
            </w:pPr>
            <w:r w:rsidRPr="00E9040D">
              <w:t>-1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AA2547">
            <w:pPr>
              <w:pStyle w:val="TAC"/>
            </w:pPr>
            <w:r>
              <w:t>0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0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0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0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-1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1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1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Default="00E651CA" w:rsidP="00E651CA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1</w:t>
            </w:r>
          </w:p>
        </w:tc>
      </w:tr>
      <w:tr w:rsidR="00E651CA" w:rsidRPr="00E9040D" w:rsidTr="00AA2547">
        <w:trPr>
          <w:trHeight w:hRule="exact" w:val="227"/>
          <w:jc w:val="center"/>
        </w:trPr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E651CA" w:rsidRPr="00E9040D" w:rsidRDefault="00E651CA" w:rsidP="00E651CA">
            <w:pPr>
              <w:pStyle w:val="TAC"/>
            </w:pPr>
            <w:r>
              <w:t>1</w:t>
            </w:r>
          </w:p>
        </w:tc>
      </w:tr>
    </w:tbl>
    <w:p w:rsidR="00850130" w:rsidRDefault="00850130" w:rsidP="00BE4728">
      <w:pPr>
        <w:rPr>
          <w:rFonts w:eastAsia="MS Mincho"/>
          <w:b/>
          <w:lang w:eastAsia="ja-JP"/>
        </w:rPr>
      </w:pPr>
    </w:p>
    <w:p w:rsidR="00004FCA" w:rsidRDefault="00004FCA" w:rsidP="00BE4728">
      <w:pPr>
        <w:rPr>
          <w:rFonts w:eastAsia="MS Mincho"/>
          <w:b/>
          <w:lang w:eastAsia="ja-JP"/>
        </w:rPr>
      </w:pPr>
      <w:r w:rsidRPr="00CF0CDF">
        <w:rPr>
          <w:rFonts w:eastAsia="MS Mincho"/>
          <w:b/>
          <w:lang w:eastAsia="ja-JP"/>
        </w:rPr>
        <w:t>Proposal:</w:t>
      </w:r>
      <w:r>
        <w:rPr>
          <w:rFonts w:eastAsia="MS Mincho"/>
          <w:b/>
          <w:lang w:eastAsia="ja-JP"/>
        </w:rPr>
        <w:t xml:space="preserve"> </w:t>
      </w:r>
      <w:r w:rsidRPr="00CF0CDF">
        <w:rPr>
          <w:rFonts w:eastAsia="MS Mincho"/>
          <w:b/>
          <w:lang w:eastAsia="ja-JP"/>
        </w:rPr>
        <w:t xml:space="preserve">use </w:t>
      </w:r>
      <w:r>
        <w:rPr>
          <w:rFonts w:eastAsia="MS Mincho"/>
          <w:b/>
          <w:lang w:eastAsia="ja-JP"/>
        </w:rPr>
        <w:t>one</w:t>
      </w:r>
      <w:r w:rsidRPr="00CF0CDF">
        <w:rPr>
          <w:rFonts w:eastAsia="MS Mincho"/>
          <w:b/>
          <w:lang w:eastAsia="ja-JP"/>
        </w:rPr>
        <w:t xml:space="preserve"> bit for</w:t>
      </w:r>
      <w:r>
        <w:rPr>
          <w:rFonts w:eastAsia="MS Mincho"/>
          <w:b/>
          <w:lang w:eastAsia="ja-JP"/>
        </w:rPr>
        <w:t xml:space="preserve"> SRS request flag in group DCI format 3.</w:t>
      </w:r>
    </w:p>
    <w:p w:rsidR="00850130" w:rsidRDefault="00850130">
      <w:pPr>
        <w:spacing w:after="200" w:line="276" w:lineRule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br w:type="page"/>
      </w:r>
    </w:p>
    <w:p w:rsidR="003852A3" w:rsidRPr="009D2B97" w:rsidRDefault="003852A3" w:rsidP="00964506">
      <w:pPr>
        <w:pBdr>
          <w:bottom w:val="single" w:sz="4" w:space="1" w:color="auto"/>
        </w:pBdr>
        <w:tabs>
          <w:tab w:val="left" w:pos="2552"/>
        </w:tabs>
      </w:pPr>
    </w:p>
    <w:p w:rsidR="00964506" w:rsidRDefault="00964506" w:rsidP="00964506">
      <w:pPr>
        <w:pStyle w:val="Heading1"/>
      </w:pPr>
      <w:bookmarkStart w:id="4" w:name="_GoBack"/>
      <w:bookmarkEnd w:id="4"/>
      <w:r>
        <w:t>Conclusions</w:t>
      </w:r>
    </w:p>
    <w:p w:rsidR="00964506" w:rsidRDefault="00004FCA" w:rsidP="00964506">
      <w:pPr>
        <w:pStyle w:val="BodyText"/>
        <w:rPr>
          <w:lang w:eastAsia="ko-KR"/>
        </w:rPr>
      </w:pPr>
      <w:r>
        <w:rPr>
          <w:lang w:eastAsia="ko-KR"/>
        </w:rPr>
        <w:t>This contribution addressed the details of power control for SRS carrier based switching. The following proposals are made:</w:t>
      </w:r>
    </w:p>
    <w:p w:rsidR="00484B0A" w:rsidRPr="00C905A5" w:rsidRDefault="00484B0A" w:rsidP="00484B0A">
      <w:pPr>
        <w:autoSpaceDE w:val="0"/>
        <w:autoSpaceDN w:val="0"/>
        <w:adjustRightInd w:val="0"/>
        <w:rPr>
          <w:rFonts w:ascii="AdvP6F00" w:eastAsiaTheme="minorEastAsia" w:hAnsi="AdvP6F00" w:cs="AdvP6F00"/>
          <w:b/>
          <w:szCs w:val="20"/>
          <w:lang w:eastAsia="ja-JP"/>
        </w:rPr>
      </w:pPr>
      <w:r w:rsidRPr="00C905A5">
        <w:rPr>
          <w:rFonts w:ascii="AdvP6F00" w:eastAsiaTheme="minorEastAsia" w:hAnsi="AdvP6F00" w:cs="AdvP6F00"/>
          <w:b/>
          <w:szCs w:val="20"/>
          <w:lang w:eastAsia="ja-JP"/>
        </w:rPr>
        <w:t xml:space="preserve">Proposal: do not introduce new open loop parameters. The optimal values of the parameters are implementation specific. </w:t>
      </w:r>
    </w:p>
    <w:p w:rsidR="00484B0A" w:rsidRDefault="00484B0A" w:rsidP="00484B0A">
      <w:pPr>
        <w:rPr>
          <w:rFonts w:eastAsia="MS Mincho"/>
          <w:b/>
          <w:lang w:eastAsia="ja-JP"/>
        </w:rPr>
      </w:pPr>
      <w:proofErr w:type="spellStart"/>
      <w:proofErr w:type="gramStart"/>
      <w:r w:rsidRPr="00CF0CDF">
        <w:rPr>
          <w:rFonts w:eastAsia="MS Mincho"/>
          <w:b/>
          <w:lang w:eastAsia="ja-JP"/>
        </w:rPr>
        <w:t>Proposal:use</w:t>
      </w:r>
      <w:proofErr w:type="spellEnd"/>
      <w:proofErr w:type="gramEnd"/>
      <w:r w:rsidRPr="00CF0CDF">
        <w:rPr>
          <w:rFonts w:eastAsia="MS Mincho"/>
          <w:b/>
          <w:lang w:eastAsia="ja-JP"/>
        </w:rPr>
        <w:t xml:space="preserve"> two bits for TPC power control </w:t>
      </w:r>
      <w:r>
        <w:rPr>
          <w:rFonts w:eastAsia="MS Mincho"/>
          <w:b/>
          <w:lang w:eastAsia="ja-JP"/>
        </w:rPr>
        <w:t xml:space="preserve">of SRS </w:t>
      </w:r>
      <w:r w:rsidRPr="00CF0CDF">
        <w:rPr>
          <w:rFonts w:eastAsia="MS Mincho"/>
          <w:b/>
          <w:lang w:eastAsia="ja-JP"/>
        </w:rPr>
        <w:t>as stated in table 5.1.1.1-2 in 36.213.</w:t>
      </w:r>
    </w:p>
    <w:p w:rsidR="00484B0A" w:rsidRDefault="00484B0A" w:rsidP="00484B0A">
      <w:pPr>
        <w:rPr>
          <w:rFonts w:eastAsia="MS Mincho"/>
          <w:b/>
          <w:lang w:eastAsia="ja-JP"/>
        </w:rPr>
      </w:pPr>
      <w:r w:rsidRPr="00CF0CDF">
        <w:rPr>
          <w:rFonts w:eastAsia="MS Mincho"/>
          <w:b/>
          <w:lang w:eastAsia="ja-JP"/>
        </w:rPr>
        <w:t>Proposal:</w:t>
      </w:r>
      <w:r>
        <w:rPr>
          <w:rFonts w:eastAsia="MS Mincho"/>
          <w:b/>
          <w:lang w:eastAsia="ja-JP"/>
        </w:rPr>
        <w:t xml:space="preserve"> </w:t>
      </w:r>
      <w:r w:rsidRPr="00CF0CDF">
        <w:rPr>
          <w:rFonts w:eastAsia="MS Mincho"/>
          <w:b/>
          <w:lang w:eastAsia="ja-JP"/>
        </w:rPr>
        <w:t xml:space="preserve">use </w:t>
      </w:r>
      <w:r>
        <w:rPr>
          <w:rFonts w:eastAsia="MS Mincho"/>
          <w:b/>
          <w:lang w:eastAsia="ja-JP"/>
        </w:rPr>
        <w:t>one</w:t>
      </w:r>
      <w:r w:rsidRPr="00CF0CDF">
        <w:rPr>
          <w:rFonts w:eastAsia="MS Mincho"/>
          <w:b/>
          <w:lang w:eastAsia="ja-JP"/>
        </w:rPr>
        <w:t xml:space="preserve"> bit for</w:t>
      </w:r>
      <w:r>
        <w:rPr>
          <w:rFonts w:eastAsia="MS Mincho"/>
          <w:b/>
          <w:lang w:eastAsia="ja-JP"/>
        </w:rPr>
        <w:t xml:space="preserve"> SRS request flag in group DCI format 3.</w:t>
      </w:r>
    </w:p>
    <w:p w:rsidR="001E21AD" w:rsidRPr="00B46C47" w:rsidRDefault="001E21AD" w:rsidP="001E21AD">
      <w:pPr>
        <w:pStyle w:val="BodyText"/>
        <w:jc w:val="left"/>
        <w:rPr>
          <w:b/>
        </w:rPr>
      </w:pPr>
    </w:p>
    <w:p w:rsidR="001E21AD" w:rsidRPr="009D2B97" w:rsidRDefault="001E21AD" w:rsidP="001E21AD">
      <w:pPr>
        <w:pBdr>
          <w:bottom w:val="single" w:sz="4" w:space="1" w:color="auto"/>
        </w:pBdr>
        <w:tabs>
          <w:tab w:val="left" w:pos="2552"/>
        </w:tabs>
      </w:pPr>
    </w:p>
    <w:p w:rsidR="001E21AD" w:rsidRPr="00964506" w:rsidRDefault="001E21AD" w:rsidP="001E21AD">
      <w:pPr>
        <w:pStyle w:val="Heading1"/>
        <w:rPr>
          <w:lang w:eastAsia="ko-KR"/>
        </w:rPr>
      </w:pPr>
      <w:r>
        <w:t xml:space="preserve">References </w:t>
      </w:r>
    </w:p>
    <w:p w:rsidR="001E21AD" w:rsidRPr="007B6CF0" w:rsidRDefault="001E21AD" w:rsidP="001E21AD">
      <w:pPr>
        <w:pStyle w:val="Reference"/>
        <w:numPr>
          <w:ilvl w:val="0"/>
          <w:numId w:val="45"/>
        </w:numPr>
        <w:rPr>
          <w:lang w:val="sv-SE"/>
        </w:rPr>
      </w:pPr>
      <w:r w:rsidRPr="007B6CF0">
        <w:rPr>
          <w:lang w:val="sv-SE"/>
        </w:rPr>
        <w:t xml:space="preserve"> </w:t>
      </w:r>
      <w:bookmarkStart w:id="5" w:name="_Ref461698379"/>
      <w:proofErr w:type="spellStart"/>
      <w:r w:rsidRPr="007B6CF0">
        <w:rPr>
          <w:lang w:val="sv-SE"/>
        </w:rPr>
        <w:t>Chairman</w:t>
      </w:r>
      <w:proofErr w:type="spellEnd"/>
      <w:r w:rsidRPr="007B6CF0">
        <w:rPr>
          <w:lang w:val="sv-SE"/>
        </w:rPr>
        <w:t xml:space="preserve"> Notes RAN1 86, </w:t>
      </w:r>
      <w:proofErr w:type="spellStart"/>
      <w:r w:rsidRPr="007B6CF0">
        <w:rPr>
          <w:lang w:val="sv-SE"/>
        </w:rPr>
        <w:t>göteborg</w:t>
      </w:r>
      <w:proofErr w:type="spellEnd"/>
      <w:r w:rsidRPr="007B6CF0">
        <w:rPr>
          <w:lang w:val="sv-SE"/>
        </w:rPr>
        <w:t>, Sweden, 2016.</w:t>
      </w:r>
      <w:bookmarkEnd w:id="5"/>
    </w:p>
    <w:p w:rsidR="00964506" w:rsidRPr="00FC634C" w:rsidRDefault="00964506" w:rsidP="001E21AD">
      <w:pPr>
        <w:pStyle w:val="BodyText"/>
        <w:rPr>
          <w:lang w:val="sv-SE"/>
        </w:rPr>
      </w:pPr>
    </w:p>
    <w:sectPr w:rsidR="00964506" w:rsidRPr="00FC634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vP6F0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EucSymb-i">
    <w:altName w:val="MS P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dvP6F0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OT410c0b94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mbusRomNo9L-Med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42B70"/>
    <w:multiLevelType w:val="hybridMultilevel"/>
    <w:tmpl w:val="56460F58"/>
    <w:lvl w:ilvl="0" w:tplc="21D8B4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BECD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AE659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26645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CB2F3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2D07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2BE24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6420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F267C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2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5BA011D"/>
    <w:multiLevelType w:val="hybridMultilevel"/>
    <w:tmpl w:val="0D222424"/>
    <w:lvl w:ilvl="0" w:tplc="E550D9E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32778"/>
    <w:multiLevelType w:val="hybridMultilevel"/>
    <w:tmpl w:val="59DA7386"/>
    <w:lvl w:ilvl="0" w:tplc="95FEA1BC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70978"/>
    <w:multiLevelType w:val="multilevel"/>
    <w:tmpl w:val="6ADCD4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ED369B5"/>
    <w:multiLevelType w:val="hybridMultilevel"/>
    <w:tmpl w:val="46545990"/>
    <w:lvl w:ilvl="0" w:tplc="08090001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33A3D"/>
    <w:multiLevelType w:val="hybridMultilevel"/>
    <w:tmpl w:val="093EF70E"/>
    <w:lvl w:ilvl="0" w:tplc="6470B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0ACA0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CE05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60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C65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A9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C8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E2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4D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1"/>
  </w:num>
  <w:num w:numId="2">
    <w:abstractNumId w:val="30"/>
  </w:num>
  <w:num w:numId="3">
    <w:abstractNumId w:val="42"/>
  </w:num>
  <w:num w:numId="4">
    <w:abstractNumId w:val="25"/>
  </w:num>
  <w:num w:numId="5">
    <w:abstractNumId w:val="11"/>
  </w:num>
  <w:num w:numId="6">
    <w:abstractNumId w:val="3"/>
  </w:num>
  <w:num w:numId="7">
    <w:abstractNumId w:val="33"/>
  </w:num>
  <w:num w:numId="8">
    <w:abstractNumId w:val="4"/>
  </w:num>
  <w:num w:numId="9">
    <w:abstractNumId w:val="1"/>
  </w:num>
  <w:num w:numId="10">
    <w:abstractNumId w:val="10"/>
  </w:num>
  <w:num w:numId="11">
    <w:abstractNumId w:val="40"/>
  </w:num>
  <w:num w:numId="12">
    <w:abstractNumId w:val="14"/>
  </w:num>
  <w:num w:numId="13">
    <w:abstractNumId w:val="6"/>
  </w:num>
  <w:num w:numId="14">
    <w:abstractNumId w:val="44"/>
  </w:num>
  <w:num w:numId="15">
    <w:abstractNumId w:val="12"/>
  </w:num>
  <w:num w:numId="16">
    <w:abstractNumId w:val="22"/>
  </w:num>
  <w:num w:numId="17">
    <w:abstractNumId w:val="5"/>
  </w:num>
  <w:num w:numId="18">
    <w:abstractNumId w:val="26"/>
  </w:num>
  <w:num w:numId="19">
    <w:abstractNumId w:val="19"/>
  </w:num>
  <w:num w:numId="20">
    <w:abstractNumId w:val="7"/>
  </w:num>
  <w:num w:numId="21">
    <w:abstractNumId w:val="28"/>
  </w:num>
  <w:num w:numId="22">
    <w:abstractNumId w:val="3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9"/>
  </w:num>
  <w:num w:numId="25">
    <w:abstractNumId w:val="23"/>
  </w:num>
  <w:num w:numId="26">
    <w:abstractNumId w:val="21"/>
  </w:num>
  <w:num w:numId="27">
    <w:abstractNumId w:val="8"/>
  </w:num>
  <w:num w:numId="28">
    <w:abstractNumId w:val="37"/>
  </w:num>
  <w:num w:numId="29">
    <w:abstractNumId w:val="18"/>
  </w:num>
  <w:num w:numId="30">
    <w:abstractNumId w:val="32"/>
  </w:num>
  <w:num w:numId="31">
    <w:abstractNumId w:val="13"/>
  </w:num>
  <w:num w:numId="32">
    <w:abstractNumId w:val="31"/>
  </w:num>
  <w:num w:numId="33">
    <w:abstractNumId w:val="24"/>
  </w:num>
  <w:num w:numId="34">
    <w:abstractNumId w:val="9"/>
  </w:num>
  <w:num w:numId="35">
    <w:abstractNumId w:val="36"/>
  </w:num>
  <w:num w:numId="36">
    <w:abstractNumId w:val="0"/>
  </w:num>
  <w:num w:numId="37">
    <w:abstractNumId w:val="15"/>
  </w:num>
  <w:num w:numId="38">
    <w:abstractNumId w:val="43"/>
  </w:num>
  <w:num w:numId="39">
    <w:abstractNumId w:val="20"/>
  </w:num>
  <w:num w:numId="40">
    <w:abstractNumId w:val="17"/>
  </w:num>
  <w:num w:numId="41">
    <w:abstractNumId w:val="2"/>
  </w:num>
  <w:num w:numId="42">
    <w:abstractNumId w:val="38"/>
  </w:num>
  <w:num w:numId="43">
    <w:abstractNumId w:val="35"/>
  </w:num>
  <w:num w:numId="44">
    <w:abstractNumId w:val="27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A0"/>
    <w:rsid w:val="00004FCA"/>
    <w:rsid w:val="000145AE"/>
    <w:rsid w:val="001E21AD"/>
    <w:rsid w:val="002473E7"/>
    <w:rsid w:val="002A21F9"/>
    <w:rsid w:val="002F799E"/>
    <w:rsid w:val="00311D52"/>
    <w:rsid w:val="003852A3"/>
    <w:rsid w:val="004456E1"/>
    <w:rsid w:val="00484B0A"/>
    <w:rsid w:val="004A7315"/>
    <w:rsid w:val="004D5E44"/>
    <w:rsid w:val="004F14CB"/>
    <w:rsid w:val="005605DD"/>
    <w:rsid w:val="00567664"/>
    <w:rsid w:val="0066487F"/>
    <w:rsid w:val="00850130"/>
    <w:rsid w:val="008C0BFB"/>
    <w:rsid w:val="00964506"/>
    <w:rsid w:val="009A4949"/>
    <w:rsid w:val="00A20C7F"/>
    <w:rsid w:val="00BD7EB4"/>
    <w:rsid w:val="00BE4728"/>
    <w:rsid w:val="00C07FE4"/>
    <w:rsid w:val="00C905A5"/>
    <w:rsid w:val="00CD2BA0"/>
    <w:rsid w:val="00CF0CDF"/>
    <w:rsid w:val="00DE33E3"/>
    <w:rsid w:val="00DF7E11"/>
    <w:rsid w:val="00E651CA"/>
    <w:rsid w:val="00FC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CEE42"/>
  <w15:chartTrackingRefBased/>
  <w15:docId w15:val="{6F1D081D-5CE0-4B8A-A34A-688DC36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2BA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1"/>
    <w:qFormat/>
    <w:rsid w:val="00CD2BA0"/>
    <w:pPr>
      <w:keepNext/>
      <w:numPr>
        <w:numId w:val="30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CD2BA0"/>
    <w:pPr>
      <w:keepNext/>
      <w:numPr>
        <w:ilvl w:val="1"/>
        <w:numId w:val="30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CD2BA0"/>
    <w:pPr>
      <w:keepNext/>
      <w:numPr>
        <w:ilvl w:val="2"/>
        <w:numId w:val="30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CD2BA0"/>
    <w:pPr>
      <w:keepNext/>
      <w:numPr>
        <w:ilvl w:val="3"/>
        <w:numId w:val="30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D2BA0"/>
    <w:pPr>
      <w:numPr>
        <w:ilvl w:val="4"/>
        <w:numId w:val="3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2BA0"/>
    <w:pPr>
      <w:numPr>
        <w:ilvl w:val="5"/>
        <w:numId w:val="30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D2BA0"/>
    <w:pPr>
      <w:numPr>
        <w:ilvl w:val="6"/>
        <w:numId w:val="30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D2BA0"/>
    <w:pPr>
      <w:numPr>
        <w:ilvl w:val="7"/>
        <w:numId w:val="30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D2BA0"/>
    <w:pPr>
      <w:numPr>
        <w:ilvl w:val="8"/>
        <w:numId w:val="30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D2B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CD2BA0"/>
    <w:rPr>
      <w:rFonts w:ascii="Helvetica" w:eastAsia="MS Mincho" w:hAnsi="Helvetica" w:cs="Arial"/>
      <w:b/>
      <w:bCs/>
      <w:iCs/>
      <w:sz w:val="24"/>
      <w:szCs w:val="28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CD2BA0"/>
    <w:rPr>
      <w:rFonts w:ascii="Arial" w:eastAsia="MS Mincho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2BA0"/>
    <w:rPr>
      <w:rFonts w:ascii="Times New Roman" w:eastAsia="MS Mincho" w:hAnsi="Times New Roman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D2BA0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D2BA0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CD2BA0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CD2BA0"/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CD2BA0"/>
    <w:rPr>
      <w:rFonts w:ascii="Arial" w:eastAsia="Batang" w:hAnsi="Arial" w:cs="Arial"/>
      <w:lang w:val="en-GB" w:eastAsia="en-US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CD2BA0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CD2BA0"/>
    <w:rPr>
      <w:rFonts w:ascii="Times New Roman" w:eastAsia="MS Mincho" w:hAnsi="Times New Roman" w:cs="Times New Roman"/>
      <w:sz w:val="20"/>
      <w:szCs w:val="24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D2B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D2BA0"/>
    <w:rPr>
      <w:rFonts w:ascii="Arial" w:eastAsia="MS Mincho" w:hAnsi="Arial" w:cs="Times New Roman"/>
      <w:b/>
      <w:sz w:val="20"/>
      <w:szCs w:val="24"/>
      <w:lang w:val="en-US" w:eastAsia="en-US"/>
    </w:rPr>
  </w:style>
  <w:style w:type="paragraph" w:customStyle="1" w:styleId="references">
    <w:name w:val="references"/>
    <w:rsid w:val="00CD2BA0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CD2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2BA0"/>
    <w:rPr>
      <w:rFonts w:ascii="Tahoma" w:eastAsia="Times New Roman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CD2B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D2BA0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CD2BA0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CD2BA0"/>
    <w:rPr>
      <w:szCs w:val="20"/>
    </w:rPr>
  </w:style>
  <w:style w:type="character" w:customStyle="1" w:styleId="CommentTextChar">
    <w:name w:val="Comment Text Char"/>
    <w:basedOn w:val="DefaultParagraphFont"/>
    <w:uiPriority w:val="99"/>
    <w:rsid w:val="00CD2BA0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2B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2BA0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CD2BA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2BA0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rsid w:val="00CD2BA0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CD2BA0"/>
    <w:pPr>
      <w:tabs>
        <w:tab w:val="num" w:pos="567"/>
        <w:tab w:val="num" w:pos="1134"/>
      </w:tabs>
      <w:ind w:left="567"/>
    </w:pPr>
  </w:style>
  <w:style w:type="paragraph" w:customStyle="1" w:styleId="Heading3GPP">
    <w:name w:val="Heading 3GPP"/>
    <w:basedOn w:val="Heading3"/>
    <w:next w:val="Heading3"/>
    <w:rsid w:val="00CD2BA0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D2BA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CD2BA0"/>
  </w:style>
  <w:style w:type="paragraph" w:styleId="DocumentMap">
    <w:name w:val="Document Map"/>
    <w:basedOn w:val="Normal"/>
    <w:link w:val="DocumentMapChar"/>
    <w:semiHidden/>
    <w:rsid w:val="00CD2BA0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D2BA0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character" w:styleId="Hyperlink">
    <w:name w:val="Hyperlink"/>
    <w:rsid w:val="00CD2BA0"/>
    <w:rPr>
      <w:color w:val="0000FF"/>
      <w:u w:val="single"/>
    </w:rPr>
  </w:style>
  <w:style w:type="paragraph" w:customStyle="1" w:styleId="H6">
    <w:name w:val="H6"/>
    <w:basedOn w:val="Heading5"/>
    <w:next w:val="Normal"/>
    <w:rsid w:val="00CD2BA0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CD2B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CD2BA0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CD2BA0"/>
    <w:rPr>
      <w:rFonts w:ascii="Times New Roman" w:eastAsia="Times New Roman" w:hAnsi="Times New Roman" w:cs="Times New Roman"/>
      <w:sz w:val="20"/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2BA0"/>
  </w:style>
  <w:style w:type="paragraph" w:customStyle="1" w:styleId="textintend3">
    <w:name w:val="text intend 3"/>
    <w:basedOn w:val="Normal"/>
    <w:rsid w:val="00CD2BA0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paragraph" w:styleId="ListBullet2">
    <w:name w:val="List Bullet 2"/>
    <w:rsid w:val="00CD2BA0"/>
    <w:pPr>
      <w:numPr>
        <w:numId w:val="5"/>
      </w:numPr>
      <w:spacing w:before="220" w:after="0" w:line="240" w:lineRule="auto"/>
    </w:pPr>
    <w:rPr>
      <w:rFonts w:ascii="Arial" w:eastAsia="Times New Roman" w:hAnsi="Arial" w:cs="Times New Roman"/>
      <w:szCs w:val="20"/>
      <w:lang w:val="en-US" w:eastAsia="en-US"/>
    </w:rPr>
  </w:style>
  <w:style w:type="paragraph" w:styleId="Revision">
    <w:name w:val="Revision"/>
    <w:hidden/>
    <w:uiPriority w:val="99"/>
    <w:semiHidden/>
    <w:rsid w:val="00CD2BA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CD2BA0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CD2B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D2BA0"/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D2BA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CD2BA0"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CD2BA0"/>
    <w:pPr>
      <w:spacing w:before="100" w:beforeAutospacing="1" w:after="100" w:afterAutospacing="1"/>
    </w:pPr>
    <w:rPr>
      <w:sz w:val="24"/>
      <w:lang w:val="en-CA" w:eastAsia="en-CA"/>
    </w:rPr>
  </w:style>
  <w:style w:type="paragraph" w:styleId="ListNumber">
    <w:name w:val="List Number"/>
    <w:rsid w:val="00CD2BA0"/>
    <w:pPr>
      <w:numPr>
        <w:numId w:val="14"/>
      </w:numPr>
      <w:tabs>
        <w:tab w:val="left" w:pos="1673"/>
      </w:tabs>
      <w:spacing w:before="180" w:after="0" w:line="240" w:lineRule="auto"/>
    </w:pPr>
    <w:rPr>
      <w:rFonts w:ascii="Arial" w:eastAsia="Times New Roman" w:hAnsi="Arial" w:cs="Times New Roman"/>
      <w:szCs w:val="20"/>
      <w:lang w:val="en-US" w:eastAsia="en-US"/>
    </w:rPr>
  </w:style>
  <w:style w:type="paragraph" w:customStyle="1" w:styleId="B1">
    <w:name w:val="B1"/>
    <w:basedOn w:val="List"/>
    <w:rsid w:val="00CD2BA0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D2BA0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D2BA0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D2BA0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D2BA0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D2BA0"/>
    <w:pPr>
      <w:ind w:left="851" w:hanging="851"/>
    </w:pPr>
  </w:style>
  <w:style w:type="character" w:customStyle="1" w:styleId="THChar">
    <w:name w:val="TH Char"/>
    <w:link w:val="TH"/>
    <w:rsid w:val="00CD2BA0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CD2BA0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CD2BA0"/>
    <w:pPr>
      <w:ind w:left="720" w:hanging="360"/>
      <w:contextualSpacing/>
    </w:pPr>
  </w:style>
  <w:style w:type="character" w:customStyle="1" w:styleId="TALChar">
    <w:name w:val="TAL Char"/>
    <w:link w:val="TAL"/>
    <w:rsid w:val="00CD2BA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CD2BA0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D2BA0"/>
    <w:rPr>
      <w:rFonts w:ascii="Helvetica" w:eastAsia="MS Mincho" w:hAnsi="Helvetica" w:cs="Arial"/>
      <w:b/>
      <w:bCs/>
      <w:kern w:val="32"/>
      <w:sz w:val="28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CD2BA0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CD2BA0"/>
    <w:pPr>
      <w:numPr>
        <w:numId w:val="28"/>
      </w:numPr>
      <w:tabs>
        <w:tab w:val="num" w:pos="360"/>
      </w:tabs>
      <w:ind w:left="432" w:hanging="432"/>
    </w:pPr>
    <w:rPr>
      <w:rFonts w:eastAsia="Times New Roman" w:cs="Times New Roman"/>
      <w:szCs w:val="20"/>
    </w:rPr>
  </w:style>
  <w:style w:type="character" w:styleId="FollowedHyperlink">
    <w:name w:val="FollowedHyperlink"/>
    <w:rsid w:val="00CD2BA0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CD2B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CD2BA0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605DD"/>
    <w:rPr>
      <w:color w:val="808080"/>
    </w:rPr>
  </w:style>
  <w:style w:type="paragraph" w:customStyle="1" w:styleId="TAC">
    <w:name w:val="TAC"/>
    <w:basedOn w:val="TAL"/>
    <w:link w:val="TACChar"/>
    <w:rsid w:val="002F799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2F799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Reference">
    <w:name w:val="Reference"/>
    <w:basedOn w:val="Normal"/>
    <w:rsid w:val="009A4949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11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image" Target="media/image4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706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 Munier</dc:creator>
  <cp:keywords/>
  <dc:description/>
  <cp:lastModifiedBy>Florent Munier</cp:lastModifiedBy>
  <cp:revision>19</cp:revision>
  <dcterms:created xsi:type="dcterms:W3CDTF">2016-09-12T08:49:00Z</dcterms:created>
  <dcterms:modified xsi:type="dcterms:W3CDTF">2016-09-30T15:09:00Z</dcterms:modified>
</cp:coreProperties>
</file>