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364B10" w14:textId="5A14092C" w:rsidR="00CD761B" w:rsidRPr="007C1B33" w:rsidRDefault="00CD761B" w:rsidP="00CD761B">
      <w:pPr>
        <w:pStyle w:val="TdocHeader2"/>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3GPP TSG RAN WG1 Meeting #86</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Pr="00722560">
        <w:rPr>
          <w:rFonts w:eastAsia="Times New Roman" w:cs="Arial"/>
          <w:bCs/>
          <w:noProof/>
          <w:sz w:val="20"/>
          <w:szCs w:val="18"/>
          <w:lang w:val="en-US" w:eastAsia="zh-CN"/>
        </w:rPr>
        <w:t>R1-16</w:t>
      </w:r>
      <w:r w:rsidR="00200FDB">
        <w:rPr>
          <w:rFonts w:eastAsia="Times New Roman" w:cs="Arial"/>
          <w:bCs/>
          <w:noProof/>
          <w:sz w:val="20"/>
          <w:szCs w:val="18"/>
          <w:lang w:val="en-US" w:eastAsia="zh-CN"/>
        </w:rPr>
        <w:t>7033</w:t>
      </w:r>
    </w:p>
    <w:p w14:paraId="3B1E96FC" w14:textId="2DFCA132" w:rsidR="00CD761B" w:rsidRDefault="00E1289E" w:rsidP="00CD761B">
      <w:pPr>
        <w:pStyle w:val="TdocHeader2"/>
        <w:rPr>
          <w:sz w:val="20"/>
          <w:lang w:val="en-US"/>
        </w:rPr>
      </w:pPr>
      <w:r w:rsidRPr="006E01AE">
        <w:rPr>
          <w:rFonts w:eastAsia="Times New Roman" w:cs="Arial"/>
          <w:bCs/>
          <w:noProof/>
          <w:sz w:val="20"/>
          <w:szCs w:val="18"/>
          <w:lang w:val="en-US" w:eastAsia="zh-CN"/>
        </w:rPr>
        <w:t>Göteborg, Sweden, 22th – 26th August, 2016.</w:t>
      </w:r>
    </w:p>
    <w:p w14:paraId="4CB7E4D5" w14:textId="77777777" w:rsidR="006E01AE" w:rsidRDefault="006E01AE" w:rsidP="00CD761B">
      <w:pPr>
        <w:pStyle w:val="TdocHeader2"/>
        <w:rPr>
          <w:sz w:val="20"/>
          <w:lang w:val="en-US"/>
        </w:rPr>
      </w:pPr>
    </w:p>
    <w:p w14:paraId="1F931CE3" w14:textId="77777777" w:rsidR="00CD761B" w:rsidRPr="008979AC" w:rsidRDefault="00CD761B" w:rsidP="00CD761B">
      <w:pPr>
        <w:pStyle w:val="TdocHeader2"/>
        <w:rPr>
          <w:sz w:val="20"/>
          <w:lang w:val="en-US"/>
        </w:rPr>
      </w:pPr>
      <w:r w:rsidRPr="008979AC">
        <w:rPr>
          <w:sz w:val="20"/>
          <w:lang w:val="en-US"/>
        </w:rPr>
        <w:t xml:space="preserve">Source: </w:t>
      </w:r>
      <w:r w:rsidRPr="008979AC">
        <w:rPr>
          <w:sz w:val="20"/>
          <w:lang w:val="en-US"/>
        </w:rPr>
        <w:tab/>
        <w:t>Ericsson</w:t>
      </w:r>
    </w:p>
    <w:p w14:paraId="69C7F40C" w14:textId="77777777" w:rsidR="00CD761B" w:rsidRPr="0027658D" w:rsidRDefault="00CD761B" w:rsidP="00CD761B">
      <w:pPr>
        <w:pStyle w:val="TdocHeader2"/>
        <w:rPr>
          <w:sz w:val="20"/>
          <w:lang w:val="en-US"/>
        </w:rPr>
      </w:pPr>
      <w:r w:rsidRPr="008979AC">
        <w:rPr>
          <w:sz w:val="20"/>
          <w:lang w:val="en-US"/>
        </w:rPr>
        <w:t>Title:</w:t>
      </w:r>
      <w:bookmarkStart w:id="3" w:name="Title"/>
      <w:bookmarkEnd w:id="3"/>
      <w:r w:rsidRPr="008979AC">
        <w:rPr>
          <w:sz w:val="20"/>
          <w:lang w:val="en-US"/>
        </w:rPr>
        <w:tab/>
      </w:r>
      <w:r w:rsidR="00D255C9" w:rsidRPr="00D255C9">
        <w:rPr>
          <w:sz w:val="20"/>
          <w:lang w:val="en-US"/>
        </w:rPr>
        <w:t>On resource allocation and guard subcarriers for mixed numerologies</w:t>
      </w:r>
    </w:p>
    <w:p w14:paraId="36EA6A6B" w14:textId="2FE70502" w:rsidR="00CD761B" w:rsidRPr="002D72B0" w:rsidRDefault="00CD761B" w:rsidP="00CD761B">
      <w:pPr>
        <w:pStyle w:val="TdocHeader2"/>
        <w:rPr>
          <w:sz w:val="20"/>
          <w:lang w:val="en-US"/>
        </w:rPr>
      </w:pPr>
      <w:r w:rsidRPr="002D72B0">
        <w:rPr>
          <w:sz w:val="20"/>
          <w:lang w:val="en-US"/>
        </w:rPr>
        <w:t>Agenda Item:</w:t>
      </w:r>
      <w:r w:rsidRPr="002D72B0">
        <w:rPr>
          <w:sz w:val="20"/>
          <w:lang w:val="en-US"/>
        </w:rPr>
        <w:tab/>
      </w:r>
      <w:r w:rsidR="00D87EE1">
        <w:rPr>
          <w:bCs/>
          <w:iCs/>
          <w:sz w:val="20"/>
        </w:rPr>
        <w:t>8</w:t>
      </w:r>
      <w:r>
        <w:rPr>
          <w:bCs/>
          <w:iCs/>
          <w:sz w:val="20"/>
        </w:rPr>
        <w:t>.1.</w:t>
      </w:r>
      <w:r w:rsidR="000F09A1">
        <w:rPr>
          <w:bCs/>
          <w:iCs/>
          <w:sz w:val="20"/>
        </w:rPr>
        <w:t>2</w:t>
      </w:r>
      <w:r>
        <w:rPr>
          <w:bCs/>
          <w:iCs/>
          <w:sz w:val="20"/>
        </w:rPr>
        <w:t>.1</w:t>
      </w:r>
    </w:p>
    <w:p w14:paraId="5A016096" w14:textId="77777777" w:rsidR="00CD761B" w:rsidRPr="0027658D" w:rsidRDefault="00CD761B" w:rsidP="00CD761B">
      <w:pPr>
        <w:pStyle w:val="TdocHeader2"/>
        <w:rPr>
          <w:sz w:val="20"/>
          <w:lang w:val="en-US"/>
        </w:rPr>
      </w:pPr>
      <w:r>
        <w:rPr>
          <w:sz w:val="20"/>
          <w:lang w:val="en-US"/>
        </w:rPr>
        <w:t>Document for:</w:t>
      </w:r>
      <w:r>
        <w:rPr>
          <w:sz w:val="20"/>
          <w:lang w:val="en-US"/>
        </w:rPr>
        <w:tab/>
        <w:t>Discussion</w:t>
      </w:r>
    </w:p>
    <w:p w14:paraId="01E352E8" w14:textId="77777777" w:rsidR="00CD761B" w:rsidRDefault="00CD761B" w:rsidP="00CD761B">
      <w:pPr>
        <w:pStyle w:val="Heading1"/>
        <w:pBdr>
          <w:top w:val="single" w:sz="12" w:space="0" w:color="auto"/>
        </w:pBdr>
        <w:rPr>
          <w:lang w:val="en-US"/>
        </w:rPr>
      </w:pPr>
      <w:bookmarkStart w:id="4" w:name="_Ref298777854"/>
      <w:bookmarkEnd w:id="0"/>
      <w:bookmarkEnd w:id="1"/>
      <w:r w:rsidRPr="00310B2F">
        <w:rPr>
          <w:lang w:val="en-US"/>
        </w:rPr>
        <w:t>Introduction</w:t>
      </w:r>
      <w:bookmarkEnd w:id="4"/>
    </w:p>
    <w:p w14:paraId="08F03DCA" w14:textId="68E07D4C" w:rsidR="00CD761B" w:rsidRDefault="00CD761B" w:rsidP="00CD761B">
      <w:r>
        <w:t>In an OFDM system supporting mixed numerologies, different OFDM numerologies are multiplexed in frequency-</w:t>
      </w:r>
      <w:r w:rsidR="00D255C9">
        <w:t>domain on the same carrier to benefit</w:t>
      </w:r>
      <w:r>
        <w:t xml:space="preserve"> simultaneous support of services with different requirements, e.g. ultra-low latency communications (short symbols and thus wide subcarrier spacing) and MBMS services (long symbols to enable long cyclic prefix and thu</w:t>
      </w:r>
      <w:r w:rsidR="00846E6F">
        <w:t>s narrow subcarrier spacing).</w:t>
      </w:r>
    </w:p>
    <w:p w14:paraId="037F2802" w14:textId="77777777" w:rsidR="00CD761B" w:rsidRDefault="002839BF" w:rsidP="00CD761B">
      <w:r>
        <w:t xml:space="preserve">In </w:t>
      </w:r>
      <w:r>
        <w:fldChar w:fldCharType="begin"/>
      </w:r>
      <w:r>
        <w:instrText xml:space="preserve"> REF _Ref444257346 \r \h </w:instrText>
      </w:r>
      <w:r>
        <w:fldChar w:fldCharType="separate"/>
      </w:r>
      <w:r>
        <w:t>[1]</w:t>
      </w:r>
      <w:r>
        <w:fldChar w:fldCharType="end"/>
      </w:r>
      <w:r>
        <w:t xml:space="preserve">, </w:t>
      </w:r>
      <w:r w:rsidR="00CD761B">
        <w:t>some features</w:t>
      </w:r>
      <w:r>
        <w:t xml:space="preserve"> of mixed numerology were described and</w:t>
      </w:r>
      <w:r w:rsidR="00CD761B">
        <w:t xml:space="preserve"> some simulation results</w:t>
      </w:r>
      <w:r>
        <w:t xml:space="preserve"> were presented</w:t>
      </w:r>
      <w:r w:rsidR="00CA79F5">
        <w:t>.</w:t>
      </w:r>
    </w:p>
    <w:p w14:paraId="402E92FC" w14:textId="59F57704" w:rsidR="00EC3D6F" w:rsidRDefault="0041393F" w:rsidP="00EC3D6F">
      <w:r>
        <w:t>A</w:t>
      </w:r>
      <w:r w:rsidR="005D13CF">
        <w:t>n</w:t>
      </w:r>
      <w:r>
        <w:t xml:space="preserve"> </w:t>
      </w:r>
      <w:r w:rsidR="008E2F89">
        <w:t xml:space="preserve">agreed working </w:t>
      </w:r>
      <w:r>
        <w:t xml:space="preserve">assumption for </w:t>
      </w:r>
      <w:r w:rsidRPr="0041393F">
        <w:t xml:space="preserve">NR is that the supported numerologies are related to each other by integer scaling factors: </w:t>
      </w:r>
      <w:r>
        <w:rPr>
          <w:rStyle w:val="IvDbodytextChar"/>
        </w:rPr>
        <w:sym w:font="Symbol" w:char="F044"/>
      </w:r>
      <w:r>
        <w:rPr>
          <w:rStyle w:val="IvDbodytextChar"/>
        </w:rPr>
        <w:t>f2 = X</w:t>
      </w:r>
      <w:r>
        <w:rPr>
          <w:rStyle w:val="IvDbodytextChar"/>
        </w:rPr>
        <w:sym w:font="Symbol" w:char="F044"/>
      </w:r>
      <w:r>
        <w:rPr>
          <w:rStyle w:val="IvDbodytextChar"/>
        </w:rPr>
        <w:t>f1</w:t>
      </w:r>
      <w:r w:rsidR="008E2F89">
        <w:rPr>
          <w:rStyle w:val="IvDbodytextChar"/>
        </w:rPr>
        <w:t xml:space="preserve"> with X being power of 2</w:t>
      </w:r>
      <w:r w:rsidRPr="0041393F">
        <w:t>.</w:t>
      </w:r>
      <w:r>
        <w:t xml:space="preserve"> </w:t>
      </w:r>
      <w:r w:rsidR="00EC3D6F">
        <w:t>The different numerologies (with different OFDM subcarrier spacing) are not orthogonal to each other. In filtered or windowed OFDM, signal processing is introduced to suppress interference between different numerologies. Typically, a guard band also needs to be inserted between numerologies.</w:t>
      </w:r>
    </w:p>
    <w:p w14:paraId="55C995F4" w14:textId="368E8AA7" w:rsidR="00CA79F5" w:rsidRDefault="00846E6F" w:rsidP="00EC3D6F">
      <w:r>
        <w:t>In a practical</w:t>
      </w:r>
      <w:r w:rsidR="00EC3D6F">
        <w:t xml:space="preserve"> communication system, resources need to be addressed, or indexed. A typical example is when scheduling a transmission in downlink and signalling which resources to be used on a control </w:t>
      </w:r>
      <w:proofErr w:type="gramStart"/>
      <w:r w:rsidR="00EC3D6F">
        <w:t>channel</w:t>
      </w:r>
      <w:proofErr w:type="gramEnd"/>
      <w:r w:rsidR="00EC3D6F">
        <w:t>, or when signalling an uplink grant, etc.</w:t>
      </w:r>
    </w:p>
    <w:p w14:paraId="318AA4BB" w14:textId="77777777" w:rsidR="00EC3D6F" w:rsidRPr="00EC3D6F" w:rsidRDefault="00EC3D6F" w:rsidP="00EC3D6F">
      <w:pPr>
        <w:rPr>
          <w:lang w:val="en-US"/>
        </w:rPr>
      </w:pPr>
      <w:r>
        <w:t>In this contribution, we discuss these aspects.</w:t>
      </w:r>
    </w:p>
    <w:p w14:paraId="2EDE73C6" w14:textId="77777777" w:rsidR="00A55D22" w:rsidRDefault="00CD761B" w:rsidP="00A55D22">
      <w:pPr>
        <w:pStyle w:val="Heading1"/>
      </w:pPr>
      <w:r>
        <w:t>Discussion</w:t>
      </w:r>
    </w:p>
    <w:p w14:paraId="270C449A" w14:textId="77777777" w:rsidR="009D222A" w:rsidRDefault="009D222A" w:rsidP="009D222A">
      <w:r>
        <w:t xml:space="preserve">In an OFDM system, the fundamental smallest unit in the frequency domain is a single subcarrier. There are several reasons for having a larger smallest addressable unit (or alternatively expressed, a larger granularity in resource assignments, or resource grid), these include: </w:t>
      </w:r>
    </w:p>
    <w:p w14:paraId="1CB0A156" w14:textId="77777777" w:rsidR="009D222A" w:rsidRDefault="009D222A" w:rsidP="00846E6F">
      <w:pPr>
        <w:pStyle w:val="BodyText"/>
        <w:numPr>
          <w:ilvl w:val="0"/>
          <w:numId w:val="6"/>
        </w:numPr>
        <w:spacing w:before="220" w:after="0"/>
      </w:pPr>
      <w:r>
        <w:t>signalling overhead - the number of bits needed to address a resource grows when the smallest addressable unit size decreases, and</w:t>
      </w:r>
    </w:p>
    <w:p w14:paraId="3F2A2E78" w14:textId="77777777" w:rsidR="009D222A" w:rsidRDefault="009D222A" w:rsidP="00846E6F">
      <w:pPr>
        <w:pStyle w:val="BodyText"/>
        <w:numPr>
          <w:ilvl w:val="0"/>
          <w:numId w:val="6"/>
        </w:numPr>
        <w:spacing w:before="220" w:after="0"/>
      </w:pPr>
      <w:r>
        <w:t>processing aspects - the processing performance may be improved when parameters may be assumed constant over a larger interval – a typical example is interference (inter-cell or intra-cell), and also</w:t>
      </w:r>
    </w:p>
    <w:p w14:paraId="50457D58" w14:textId="77777777" w:rsidR="009D222A" w:rsidRDefault="009D222A" w:rsidP="00846E6F">
      <w:pPr>
        <w:pStyle w:val="BodyText"/>
        <w:numPr>
          <w:ilvl w:val="0"/>
          <w:numId w:val="6"/>
        </w:numPr>
        <w:spacing w:before="220" w:after="0"/>
      </w:pPr>
      <w:proofErr w:type="gramStart"/>
      <w:r>
        <w:t>implementation</w:t>
      </w:r>
      <w:proofErr w:type="gramEnd"/>
      <w:r>
        <w:t xml:space="preserve"> aspects.</w:t>
      </w:r>
    </w:p>
    <w:p w14:paraId="37828CE1" w14:textId="77777777" w:rsidR="00846E6F" w:rsidRDefault="00846E6F" w:rsidP="009D222A"/>
    <w:p w14:paraId="6B7B3694" w14:textId="2045F988" w:rsidR="009D222A" w:rsidRDefault="00A55D22" w:rsidP="009D222A">
      <w:r>
        <w:t>But</w:t>
      </w:r>
      <w:r w:rsidR="009D222A">
        <w:t xml:space="preserve"> having a too large smallest addressable unit limits flexibility in a system. For example, the smallest allowed allocation must not become too large.</w:t>
      </w:r>
    </w:p>
    <w:p w14:paraId="70E9C6A5" w14:textId="7E8E037A" w:rsidR="00A55D22" w:rsidRDefault="009D222A" w:rsidP="00A55D22">
      <w:r>
        <w:t xml:space="preserve">In LTE, the smallest addressable unit is typically a </w:t>
      </w:r>
      <w:r w:rsidR="00846E6F">
        <w:t xml:space="preserve">physical </w:t>
      </w:r>
      <w:r w:rsidR="00A55D22">
        <w:t>resource block (</w:t>
      </w:r>
      <w:r w:rsidR="00846E6F">
        <w:t>P</w:t>
      </w:r>
      <w:r w:rsidR="00A55D22">
        <w:t>RB)</w:t>
      </w:r>
      <w:r w:rsidR="007375D2">
        <w:t xml:space="preserve"> pair</w:t>
      </w:r>
      <w:r>
        <w:t xml:space="preserve">, which </w:t>
      </w:r>
      <w:proofErr w:type="gramStart"/>
      <w:r>
        <w:t>is</w:t>
      </w:r>
      <w:proofErr w:type="gramEnd"/>
      <w:r>
        <w:t xml:space="preserve"> 12 subcarriers wide. In some cases, granularity is even larger (a resource block group is up to 48 subcarriers when allocations are signalled using a bitmap).</w:t>
      </w:r>
    </w:p>
    <w:p w14:paraId="5376A3F2" w14:textId="7E4EF7CA" w:rsidR="00A55D22" w:rsidRPr="00D87EE1" w:rsidRDefault="005A1985" w:rsidP="00A55D22">
      <w:pPr>
        <w:rPr>
          <w:rStyle w:val="IvDbodytextChar"/>
        </w:rPr>
      </w:pPr>
      <w:r>
        <w:rPr>
          <w:rStyle w:val="IvDbodytextChar"/>
        </w:rPr>
        <w:t xml:space="preserve">From the reasoning </w:t>
      </w:r>
      <w:r w:rsidRPr="00846E6F">
        <w:rPr>
          <w:rStyle w:val="IvDbodytextChar"/>
        </w:rPr>
        <w:t xml:space="preserve">above </w:t>
      </w:r>
      <w:r w:rsidR="00A55D22" w:rsidRPr="00846E6F">
        <w:rPr>
          <w:rStyle w:val="IvDbodytextChar"/>
        </w:rPr>
        <w:t>one can see</w:t>
      </w:r>
      <w:r w:rsidRPr="00846E6F">
        <w:rPr>
          <w:rStyle w:val="IvDbodytextChar"/>
        </w:rPr>
        <w:t xml:space="preserve"> that</w:t>
      </w:r>
      <w:r>
        <w:rPr>
          <w:rStyle w:val="IvDbodytextChar"/>
        </w:rPr>
        <w:t xml:space="preserve"> selecting the </w:t>
      </w:r>
      <w:r w:rsidR="00846E6F">
        <w:rPr>
          <w:rStyle w:val="IvDbodytextChar"/>
        </w:rPr>
        <w:t>P</w:t>
      </w:r>
      <w:r>
        <w:rPr>
          <w:rStyle w:val="IvDbodytextChar"/>
        </w:rPr>
        <w:t xml:space="preserve">RB size, or, alternatively, the granularity of the resource grid, is a trade-off and that the same smallest addressable unit in terms of absolute frequency may be different for different numerologies. At the same time the smallest addressable units of the numerologies that are mixed on a carrier must allow for creating the necessary guard band. It is also desirable to have resource allocation schemes of different numerologies </w:t>
      </w:r>
      <w:r w:rsidR="00BB75C1">
        <w:rPr>
          <w:rStyle w:val="IvDbodytextChar"/>
        </w:rPr>
        <w:t>aligned in terms of time grid</w:t>
      </w:r>
      <w:r>
        <w:rPr>
          <w:rStyle w:val="IvDbodytextChar"/>
        </w:rPr>
        <w:t>, in order to cater for the processing aspects described above, and to be able to share resources efficiently.</w:t>
      </w:r>
    </w:p>
    <w:p w14:paraId="097C6C6F" w14:textId="1ED8BDF1" w:rsidR="00A55D22" w:rsidRPr="00A55D22" w:rsidRDefault="00A55D22" w:rsidP="00A55D22">
      <w:pPr>
        <w:rPr>
          <w:lang w:val="en-US"/>
        </w:rPr>
      </w:pPr>
      <w:r w:rsidRPr="00A55D22">
        <w:rPr>
          <w:lang w:val="en-US"/>
        </w:rPr>
        <w:lastRenderedPageBreak/>
        <w:t>If the smallest addressable unit</w:t>
      </w:r>
      <w:r w:rsidR="00DC04FD">
        <w:rPr>
          <w:lang w:val="en-US"/>
        </w:rPr>
        <w:t xml:space="preserve"> including guard subcarriers</w:t>
      </w:r>
      <w:r w:rsidRPr="00A55D22">
        <w:rPr>
          <w:lang w:val="en-US"/>
        </w:rPr>
        <w:t xml:space="preserve"> in absolute frequency is not properly selected for all numerologies operating on a carrier, then some numerologies (with larger subcarrier spacing </w:t>
      </w:r>
      <w:r>
        <w:rPr>
          <w:rStyle w:val="IvDbodytextChar"/>
        </w:rPr>
        <w:sym w:font="Symbol" w:char="F044"/>
      </w:r>
      <w:r w:rsidRPr="00A55D22">
        <w:rPr>
          <w:lang w:val="en-US"/>
        </w:rPr>
        <w:t>f) may be allocated with an offset relative to its natural subcarrier grid (on which subcarriers are modulated on integer multiples of the subcarrier spacing) – this is not desirable from an implementation point of view.</w:t>
      </w:r>
    </w:p>
    <w:p w14:paraId="055898EC" w14:textId="4765FB84" w:rsidR="00A55D22" w:rsidRPr="00A55D22" w:rsidRDefault="00A55D22" w:rsidP="00A55D22">
      <w:pPr>
        <w:rPr>
          <w:lang w:val="en-US"/>
        </w:rPr>
      </w:pPr>
      <w:r w:rsidRPr="00A55D22">
        <w:rPr>
          <w:lang w:val="en-US"/>
        </w:rPr>
        <w:t xml:space="preserve">If the resource grids are not properly aligned between numerologies, the interference levels </w:t>
      </w:r>
      <w:r w:rsidR="00C61A12">
        <w:rPr>
          <w:lang w:val="en-US"/>
        </w:rPr>
        <w:t xml:space="preserve">seen from neighboring cells </w:t>
      </w:r>
      <w:r w:rsidRPr="00A55D22">
        <w:rPr>
          <w:lang w:val="en-US"/>
        </w:rPr>
        <w:t xml:space="preserve">may fluctuate more than necessary across an allocation. </w:t>
      </w:r>
    </w:p>
    <w:p w14:paraId="32EF4ADC" w14:textId="77777777" w:rsidR="00A55D22" w:rsidRPr="00A55D22" w:rsidRDefault="00A55D22" w:rsidP="00A55D22">
      <w:pPr>
        <w:rPr>
          <w:lang w:val="en-US"/>
        </w:rPr>
      </w:pPr>
      <w:r w:rsidRPr="00A55D22">
        <w:rPr>
          <w:lang w:val="en-US"/>
        </w:rPr>
        <w:t>Furthermore, if the resource addressing is not properly designed, taking multiple numerologies into account, it may not be possible to allocate proper guard bands between numerologies in a mixed numerology system – they may need to be overly large which will lead to resource waste.</w:t>
      </w:r>
    </w:p>
    <w:p w14:paraId="2418FFDE" w14:textId="138055EF" w:rsidR="00CD761B" w:rsidRDefault="001841E2" w:rsidP="00CD761B">
      <w:pPr>
        <w:pStyle w:val="Heading1"/>
        <w:rPr>
          <w:lang w:val="en-US"/>
        </w:rPr>
      </w:pPr>
      <w:r>
        <w:rPr>
          <w:lang w:val="en-US"/>
        </w:rPr>
        <w:t>Proposal</w:t>
      </w:r>
    </w:p>
    <w:p w14:paraId="6E1CBE1D" w14:textId="520E1913" w:rsidR="00092CE2" w:rsidRDefault="001841E2" w:rsidP="00092CE2">
      <w:pPr>
        <w:rPr>
          <w:lang w:val="en-US"/>
        </w:rPr>
      </w:pPr>
      <w:r>
        <w:rPr>
          <w:lang w:val="en-US"/>
        </w:rPr>
        <w:t>Resource allocation based on resource block of the numerology with the s</w:t>
      </w:r>
      <w:r w:rsidR="00CC04A9">
        <w:rPr>
          <w:lang w:val="en-US"/>
        </w:rPr>
        <w:t>mallest subcarrier spacing, for example</w:t>
      </w:r>
      <w:r>
        <w:rPr>
          <w:lang w:val="en-US"/>
        </w:rPr>
        <w:t xml:space="preserve"> the 15 kHz numerology resource grid of 12 subcarriers </w:t>
      </w:r>
      <w:r w:rsidR="00846E6F">
        <w:rPr>
          <w:lang w:val="en-US"/>
        </w:rPr>
        <w:t>P</w:t>
      </w:r>
      <w:r>
        <w:rPr>
          <w:lang w:val="en-US"/>
        </w:rPr>
        <w:t>RB, as illustrated in the figures below.</w:t>
      </w:r>
      <w:r w:rsidR="00FF5239">
        <w:rPr>
          <w:lang w:val="en-US"/>
        </w:rPr>
        <w:t xml:space="preserve"> In the figures below the resource blocks of each numerology are placed in the frequency domain such that 1) all subcarriers fall onto their natural subcarrier grid and 2) resource blocks start at frequency </w:t>
      </w:r>
      <m:oMath>
        <m:r>
          <w:rPr>
            <w:rFonts w:ascii="Cambria Math" w:hAnsi="Cambria Math"/>
            <w:lang w:val="en-US"/>
          </w:rPr>
          <m:t>N∙</m:t>
        </m:r>
        <m:r>
          <m:rPr>
            <m:sty m:val="p"/>
          </m:rPr>
          <w:rPr>
            <w:rFonts w:ascii="Cambria Math" w:hAnsi="Cambria Math"/>
            <w:lang w:val="en-US"/>
          </w:rPr>
          <m:t>Δ</m:t>
        </m:r>
        <m:r>
          <w:rPr>
            <w:rFonts w:ascii="Cambria Math" w:hAnsi="Cambria Math"/>
            <w:lang w:val="en-US"/>
          </w:rPr>
          <m:t>f</m:t>
        </m:r>
      </m:oMath>
      <w:r w:rsidR="00FF5239">
        <w:rPr>
          <w:lang w:val="en-US"/>
        </w:rPr>
        <w:t xml:space="preserve"> (with </w:t>
      </w:r>
      <m:oMath>
        <m:r>
          <w:rPr>
            <w:rFonts w:ascii="Cambria Math" w:hAnsi="Cambria Math"/>
            <w:lang w:val="en-US"/>
          </w:rPr>
          <m:t>N=12</m:t>
        </m:r>
      </m:oMath>
      <w:r w:rsidR="00FF5239">
        <w:rPr>
          <w:lang w:val="en-US"/>
        </w:rPr>
        <w:t xml:space="preserve"> in the examples below and </w:t>
      </w:r>
      <m:oMath>
        <m:r>
          <m:rPr>
            <m:sty m:val="p"/>
          </m:rPr>
          <w:rPr>
            <w:rFonts w:ascii="Cambria Math" w:hAnsi="Cambria Math"/>
            <w:lang w:val="en-US"/>
          </w:rPr>
          <m:t>Δ</m:t>
        </m:r>
        <m:r>
          <w:rPr>
            <w:rFonts w:ascii="Cambria Math" w:hAnsi="Cambria Math"/>
            <w:lang w:val="en-US"/>
          </w:rPr>
          <m:t>f</m:t>
        </m:r>
      </m:oMath>
      <w:r w:rsidR="00FF5239">
        <w:rPr>
          <w:lang w:val="en-US"/>
        </w:rPr>
        <w:t xml:space="preserve"> the subcarrier spacing)</w:t>
      </w:r>
      <w:r w:rsidR="00B3394A">
        <w:rPr>
          <w:lang w:val="en-US"/>
        </w:rPr>
        <w:t>.</w:t>
      </w:r>
      <w:r w:rsidR="005D13CF">
        <w:rPr>
          <w:lang w:val="en-US"/>
        </w:rPr>
        <w:t xml:space="preserve"> Please see </w:t>
      </w:r>
      <w:r w:rsidR="005D13CF">
        <w:rPr>
          <w:lang w:val="en-US"/>
        </w:rPr>
        <w:fldChar w:fldCharType="begin"/>
      </w:r>
      <w:r w:rsidR="005D13CF">
        <w:rPr>
          <w:lang w:val="en-US"/>
        </w:rPr>
        <w:instrText xml:space="preserve"> REF _Ref458763375 \r \h </w:instrText>
      </w:r>
      <w:r w:rsidR="005D13CF">
        <w:rPr>
          <w:lang w:val="en-US"/>
        </w:rPr>
      </w:r>
      <w:r w:rsidR="005D13CF">
        <w:rPr>
          <w:lang w:val="en-US"/>
        </w:rPr>
        <w:fldChar w:fldCharType="separate"/>
      </w:r>
      <w:r w:rsidR="005D13CF">
        <w:rPr>
          <w:lang w:val="en-US"/>
        </w:rPr>
        <w:t>[1]</w:t>
      </w:r>
      <w:r w:rsidR="005D13CF">
        <w:rPr>
          <w:lang w:val="en-US"/>
        </w:rPr>
        <w:fldChar w:fldCharType="end"/>
      </w:r>
      <w:r w:rsidR="005D13CF">
        <w:rPr>
          <w:lang w:val="en-US"/>
        </w:rPr>
        <w:t xml:space="preserve"> for more details.</w:t>
      </w:r>
    </w:p>
    <w:p w14:paraId="5FB64FE6" w14:textId="00BD0D0C" w:rsidR="00CD761B" w:rsidRDefault="00DE7905" w:rsidP="00CD761B">
      <w:pPr>
        <w:rPr>
          <w:lang w:val="en-US"/>
        </w:rPr>
      </w:pPr>
      <w:r>
        <w:rPr>
          <w:noProof/>
          <w:lang w:val="sv-SE" w:eastAsia="sv-SE"/>
        </w:rPr>
        <w:drawing>
          <wp:inline distT="0" distB="0" distL="0" distR="0" wp14:anchorId="43D89DF8" wp14:editId="7797EE84">
            <wp:extent cx="5836258" cy="3309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56596" cy="3320985"/>
                    </a:xfrm>
                    <a:prstGeom prst="rect">
                      <a:avLst/>
                    </a:prstGeom>
                    <a:noFill/>
                  </pic:spPr>
                </pic:pic>
              </a:graphicData>
            </a:graphic>
          </wp:inline>
        </w:drawing>
      </w:r>
    </w:p>
    <w:p w14:paraId="6FAA31F0" w14:textId="736B929A" w:rsidR="00B3394A" w:rsidRPr="005D13CF" w:rsidRDefault="00B3394A" w:rsidP="00CD761B">
      <w:pPr>
        <w:rPr>
          <w:b/>
          <w:i/>
          <w:lang w:val="en-US"/>
        </w:rPr>
      </w:pPr>
      <w:r w:rsidRPr="005D13CF">
        <w:rPr>
          <w:b/>
          <w:i/>
          <w:lang w:val="en-US"/>
        </w:rPr>
        <w:t>Proposal 1: Subcarriers of each numerology are centered on their natural grid, i.e</w:t>
      </w:r>
      <w:proofErr w:type="gramStart"/>
      <w:r w:rsidRPr="005D13CF">
        <w:rPr>
          <w:b/>
          <w:i/>
          <w:lang w:val="en-US"/>
        </w:rPr>
        <w:t xml:space="preserve">. </w:t>
      </w:r>
      <w:proofErr w:type="gramEnd"/>
      <m:oMath>
        <m:r>
          <m:rPr>
            <m:sty m:val="bi"/>
          </m:rPr>
          <w:rPr>
            <w:rFonts w:ascii="Cambria Math" w:hAnsi="Cambria Math"/>
            <w:lang w:val="en-US"/>
          </w:rPr>
          <m:t>n∙Δf</m:t>
        </m:r>
      </m:oMath>
      <w:r w:rsidRPr="005D13CF">
        <w:rPr>
          <w:b/>
          <w:i/>
          <w:lang w:val="en-US"/>
        </w:rPr>
        <w:t xml:space="preserve">, with </w:t>
      </w:r>
      <m:oMath>
        <m:r>
          <m:rPr>
            <m:sty m:val="bi"/>
          </m:rPr>
          <w:rPr>
            <w:rFonts w:ascii="Cambria Math" w:hAnsi="Cambria Math"/>
            <w:lang w:val="en-US"/>
          </w:rPr>
          <m:t>n</m:t>
        </m:r>
      </m:oMath>
      <w:r w:rsidRPr="005D13CF">
        <w:rPr>
          <w:b/>
          <w:i/>
          <w:lang w:val="en-US"/>
        </w:rPr>
        <w:t xml:space="preserve"> the subcarrier index and </w:t>
      </w:r>
      <m:oMath>
        <m:r>
          <m:rPr>
            <m:sty m:val="bi"/>
          </m:rPr>
          <w:rPr>
            <w:rFonts w:ascii="Cambria Math" w:hAnsi="Cambria Math"/>
            <w:lang w:val="en-US"/>
          </w:rPr>
          <m:t>Δf</m:t>
        </m:r>
      </m:oMath>
      <w:r w:rsidRPr="005D13CF">
        <w:rPr>
          <w:b/>
          <w:i/>
          <w:lang w:val="en-US"/>
        </w:rPr>
        <w:t xml:space="preserve"> the subcarrier spacing.</w:t>
      </w:r>
    </w:p>
    <w:p w14:paraId="2BC2813D" w14:textId="4DB00F4F" w:rsidR="00B3394A" w:rsidRDefault="00B3394A" w:rsidP="00CD761B">
      <w:pPr>
        <w:rPr>
          <w:b/>
          <w:i/>
          <w:lang w:val="en-US"/>
        </w:rPr>
      </w:pPr>
      <w:r w:rsidRPr="005D13CF">
        <w:rPr>
          <w:b/>
          <w:i/>
          <w:lang w:val="en-US"/>
        </w:rPr>
        <w:t xml:space="preserve">Proposal 2: Resource blocks of each numerology start at their natural grid, i.e. at </w:t>
      </w:r>
      <m:oMath>
        <m:r>
          <m:rPr>
            <m:sty m:val="bi"/>
          </m:rPr>
          <w:rPr>
            <w:rFonts w:ascii="Cambria Math" w:hAnsi="Cambria Math"/>
            <w:lang w:val="en-US"/>
          </w:rPr>
          <m:t>N∙Δf</m:t>
        </m:r>
      </m:oMath>
      <w:r w:rsidRPr="005D13CF">
        <w:rPr>
          <w:b/>
          <w:i/>
          <w:lang w:val="en-US"/>
        </w:rPr>
        <w:t xml:space="preserve">with </w:t>
      </w:r>
      <m:oMath>
        <m:r>
          <m:rPr>
            <m:sty m:val="bi"/>
          </m:rPr>
          <w:rPr>
            <w:rFonts w:ascii="Cambria Math" w:hAnsi="Cambria Math"/>
            <w:lang w:val="en-US"/>
          </w:rPr>
          <m:t>N</m:t>
        </m:r>
      </m:oMath>
      <w:r w:rsidRPr="005D13CF">
        <w:rPr>
          <w:b/>
          <w:i/>
          <w:lang w:val="en-US"/>
        </w:rPr>
        <w:t xml:space="preserve"> the subcarriers per PRB and </w:t>
      </w:r>
      <m:oMath>
        <m:r>
          <m:rPr>
            <m:sty m:val="bi"/>
          </m:rPr>
          <w:rPr>
            <w:rFonts w:ascii="Cambria Math" w:hAnsi="Cambria Math"/>
            <w:lang w:val="en-US"/>
          </w:rPr>
          <m:t>Δf</m:t>
        </m:r>
      </m:oMath>
      <w:r w:rsidRPr="005D13CF">
        <w:rPr>
          <w:b/>
          <w:i/>
          <w:lang w:val="en-US"/>
        </w:rPr>
        <w:t xml:space="preserve"> the subcarrier spacing.</w:t>
      </w:r>
    </w:p>
    <w:p w14:paraId="76481FA4" w14:textId="61558842" w:rsidR="00B3394A" w:rsidRDefault="00B3394A" w:rsidP="005D13CF">
      <w:pPr>
        <w:pStyle w:val="Heading1"/>
        <w:rPr>
          <w:lang w:val="en-US"/>
        </w:rPr>
      </w:pPr>
      <w:r>
        <w:rPr>
          <w:lang w:val="en-US"/>
        </w:rPr>
        <w:t>Conclusions</w:t>
      </w:r>
    </w:p>
    <w:p w14:paraId="38AADBA3" w14:textId="77777777" w:rsidR="00B3394A" w:rsidRPr="00B2137C" w:rsidRDefault="00B3394A" w:rsidP="00B3394A">
      <w:pPr>
        <w:rPr>
          <w:b/>
          <w:i/>
          <w:lang w:val="en-US"/>
        </w:rPr>
      </w:pPr>
      <w:r w:rsidRPr="00B2137C">
        <w:rPr>
          <w:b/>
          <w:i/>
          <w:lang w:val="en-US"/>
        </w:rPr>
        <w:t>Proposal 1: Subcarriers of each numerology are centered on their natural grid, i.e</w:t>
      </w:r>
      <w:proofErr w:type="gramStart"/>
      <w:r w:rsidRPr="00B2137C">
        <w:rPr>
          <w:b/>
          <w:i/>
          <w:lang w:val="en-US"/>
        </w:rPr>
        <w:t xml:space="preserve">. </w:t>
      </w:r>
      <w:proofErr w:type="gramEnd"/>
      <m:oMath>
        <m:r>
          <m:rPr>
            <m:sty m:val="bi"/>
          </m:rPr>
          <w:rPr>
            <w:rFonts w:ascii="Cambria Math" w:hAnsi="Cambria Math"/>
            <w:lang w:val="en-US"/>
          </w:rPr>
          <m:t>n∙Δf</m:t>
        </m:r>
      </m:oMath>
      <w:r w:rsidRPr="00B2137C">
        <w:rPr>
          <w:b/>
          <w:i/>
          <w:lang w:val="en-US"/>
        </w:rPr>
        <w:t xml:space="preserve">, with </w:t>
      </w:r>
      <m:oMath>
        <m:r>
          <m:rPr>
            <m:sty m:val="bi"/>
          </m:rPr>
          <w:rPr>
            <w:rFonts w:ascii="Cambria Math" w:hAnsi="Cambria Math"/>
            <w:lang w:val="en-US"/>
          </w:rPr>
          <m:t>n</m:t>
        </m:r>
      </m:oMath>
      <w:r w:rsidRPr="00B2137C">
        <w:rPr>
          <w:b/>
          <w:i/>
          <w:lang w:val="en-US"/>
        </w:rPr>
        <w:t xml:space="preserve"> the subcarrier index and </w:t>
      </w:r>
      <m:oMath>
        <m:r>
          <m:rPr>
            <m:sty m:val="bi"/>
          </m:rPr>
          <w:rPr>
            <w:rFonts w:ascii="Cambria Math" w:hAnsi="Cambria Math"/>
            <w:lang w:val="en-US"/>
          </w:rPr>
          <m:t>Δf</m:t>
        </m:r>
      </m:oMath>
      <w:r w:rsidRPr="00B2137C">
        <w:rPr>
          <w:b/>
          <w:i/>
          <w:lang w:val="en-US"/>
        </w:rPr>
        <w:t xml:space="preserve"> the subcarrier spacing.</w:t>
      </w:r>
    </w:p>
    <w:p w14:paraId="29592511" w14:textId="0DB8D66F" w:rsidR="00B3394A" w:rsidRPr="00B3394A" w:rsidRDefault="00B3394A" w:rsidP="00B3394A">
      <w:pPr>
        <w:rPr>
          <w:lang w:val="en-US"/>
        </w:rPr>
      </w:pPr>
      <w:r w:rsidRPr="00B2137C">
        <w:rPr>
          <w:b/>
          <w:i/>
          <w:lang w:val="en-US"/>
        </w:rPr>
        <w:t xml:space="preserve">Proposal 2: Resource blocks of each numerology start at their natural grid, i.e. at </w:t>
      </w:r>
      <m:oMath>
        <m:r>
          <m:rPr>
            <m:sty m:val="bi"/>
          </m:rPr>
          <w:rPr>
            <w:rFonts w:ascii="Cambria Math" w:hAnsi="Cambria Math"/>
            <w:lang w:val="en-US"/>
          </w:rPr>
          <m:t>N∙Δf</m:t>
        </m:r>
      </m:oMath>
      <w:r w:rsidRPr="00B2137C">
        <w:rPr>
          <w:b/>
          <w:i/>
          <w:lang w:val="en-US"/>
        </w:rPr>
        <w:t xml:space="preserve">with </w:t>
      </w:r>
      <m:oMath>
        <m:r>
          <m:rPr>
            <m:sty m:val="bi"/>
          </m:rPr>
          <w:rPr>
            <w:rFonts w:ascii="Cambria Math" w:hAnsi="Cambria Math"/>
            <w:lang w:val="en-US"/>
          </w:rPr>
          <m:t>N</m:t>
        </m:r>
      </m:oMath>
      <w:r w:rsidRPr="00B2137C">
        <w:rPr>
          <w:b/>
          <w:i/>
          <w:lang w:val="en-US"/>
        </w:rPr>
        <w:t xml:space="preserve"> the subcarriers per PRB and </w:t>
      </w:r>
      <m:oMath>
        <m:r>
          <m:rPr>
            <m:sty m:val="bi"/>
          </m:rPr>
          <w:rPr>
            <w:rFonts w:ascii="Cambria Math" w:hAnsi="Cambria Math"/>
            <w:lang w:val="en-US"/>
          </w:rPr>
          <m:t>Δf</m:t>
        </m:r>
      </m:oMath>
      <w:r w:rsidRPr="00B2137C">
        <w:rPr>
          <w:b/>
          <w:i/>
          <w:lang w:val="en-US"/>
        </w:rPr>
        <w:t xml:space="preserve"> the subcarrier spacing.</w:t>
      </w:r>
    </w:p>
    <w:p w14:paraId="70242403" w14:textId="7AD9870F" w:rsidR="00CD761B" w:rsidRPr="00A742FA" w:rsidRDefault="00CD761B" w:rsidP="00CD761B">
      <w:pPr>
        <w:pStyle w:val="Heading1"/>
        <w:rPr>
          <w:lang w:val="en-US"/>
        </w:rPr>
      </w:pPr>
      <w:r w:rsidRPr="00A742FA">
        <w:rPr>
          <w:lang w:val="en-US"/>
        </w:rPr>
        <w:lastRenderedPageBreak/>
        <w:t>Reference</w:t>
      </w:r>
      <w:r>
        <w:rPr>
          <w:lang w:val="en-US"/>
        </w:rPr>
        <w:t>s</w:t>
      </w:r>
    </w:p>
    <w:p w14:paraId="358671CA" w14:textId="77777777" w:rsidR="00CD761B" w:rsidRDefault="002839BF" w:rsidP="002839BF">
      <w:pPr>
        <w:pStyle w:val="Reference"/>
        <w:rPr>
          <w:lang w:val="en-US"/>
        </w:rPr>
      </w:pPr>
      <w:bookmarkStart w:id="5" w:name="_Ref444257346"/>
      <w:bookmarkStart w:id="6" w:name="_Ref444097166"/>
      <w:bookmarkStart w:id="7" w:name="_Ref442441852"/>
      <w:bookmarkStart w:id="8" w:name="_Ref441562466"/>
      <w:bookmarkStart w:id="9" w:name="_Ref458763375"/>
      <w:r>
        <w:rPr>
          <w:lang w:val="en-US"/>
        </w:rPr>
        <w:t>R1-</w:t>
      </w:r>
      <w:r w:rsidRPr="002839BF">
        <w:rPr>
          <w:lang w:val="en-US"/>
        </w:rPr>
        <w:t>165833</w:t>
      </w:r>
      <w:r>
        <w:rPr>
          <w:lang w:val="en-US"/>
        </w:rPr>
        <w:t>, “Mixed Numerology in an OFDM System”</w:t>
      </w:r>
      <w:bookmarkEnd w:id="5"/>
      <w:bookmarkEnd w:id="6"/>
      <w:bookmarkEnd w:id="7"/>
      <w:bookmarkEnd w:id="8"/>
      <w:r>
        <w:rPr>
          <w:lang w:val="en-US"/>
        </w:rPr>
        <w:t>, Ericsson</w:t>
      </w:r>
      <w:bookmarkEnd w:id="9"/>
      <w:r>
        <w:rPr>
          <w:lang w:val="en-US"/>
        </w:rPr>
        <w:t xml:space="preserve"> </w:t>
      </w:r>
    </w:p>
    <w:p w14:paraId="755B6F23" w14:textId="77777777" w:rsidR="009F5D4B" w:rsidRPr="00CD761B" w:rsidRDefault="009F5D4B">
      <w:pPr>
        <w:rPr>
          <w:lang w:val="en-US"/>
        </w:rPr>
      </w:pPr>
    </w:p>
    <w:sectPr w:rsidR="009F5D4B" w:rsidRPr="00CD76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992A5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363E32EA"/>
    <w:multiLevelType w:val="hybridMultilevel"/>
    <w:tmpl w:val="040EF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F586520"/>
    <w:multiLevelType w:val="singleLevel"/>
    <w:tmpl w:val="6EDA357E"/>
    <w:lvl w:ilvl="0">
      <w:start w:val="1"/>
      <w:numFmt w:val="bullet"/>
      <w:lvlText w:val=""/>
      <w:lvlJc w:val="left"/>
      <w:pPr>
        <w:tabs>
          <w:tab w:val="num" w:pos="357"/>
        </w:tabs>
        <w:ind w:left="357" w:hanging="357"/>
      </w:pPr>
      <w:rPr>
        <w:rFonts w:ascii="Symbol" w:hAnsi="Symbol"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4320F89"/>
    <w:multiLevelType w:val="hybridMultilevel"/>
    <w:tmpl w:val="147A09AC"/>
    <w:lvl w:ilvl="0" w:tplc="0DA6F4E8">
      <w:numFmt w:val="bullet"/>
      <w:lvlText w:val="•"/>
      <w:lvlJc w:val="left"/>
      <w:pPr>
        <w:ind w:left="1665" w:hanging="13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4B951A8"/>
    <w:multiLevelType w:val="singleLevel"/>
    <w:tmpl w:val="97D43F40"/>
    <w:lvl w:ilvl="0">
      <w:start w:val="1"/>
      <w:numFmt w:val="bullet"/>
      <w:lvlText w:val=""/>
      <w:lvlJc w:val="left"/>
      <w:pPr>
        <w:tabs>
          <w:tab w:val="num" w:pos="357"/>
        </w:tabs>
        <w:ind w:left="357" w:hanging="357"/>
      </w:pPr>
      <w:rPr>
        <w:rFonts w:ascii="Symbol" w:hAnsi="Symbol" w:hint="default"/>
      </w:rPr>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61B"/>
    <w:rsid w:val="0008729E"/>
    <w:rsid w:val="00092CE2"/>
    <w:rsid w:val="000E0309"/>
    <w:rsid w:val="000F09A1"/>
    <w:rsid w:val="00116E1E"/>
    <w:rsid w:val="001546FF"/>
    <w:rsid w:val="0017674D"/>
    <w:rsid w:val="001841E2"/>
    <w:rsid w:val="00196283"/>
    <w:rsid w:val="001D66D4"/>
    <w:rsid w:val="00200FDB"/>
    <w:rsid w:val="002839BF"/>
    <w:rsid w:val="002B2489"/>
    <w:rsid w:val="002C06C2"/>
    <w:rsid w:val="00343EFE"/>
    <w:rsid w:val="00353355"/>
    <w:rsid w:val="003545E5"/>
    <w:rsid w:val="003902F6"/>
    <w:rsid w:val="003F5C04"/>
    <w:rsid w:val="0041393F"/>
    <w:rsid w:val="0041751B"/>
    <w:rsid w:val="00424F00"/>
    <w:rsid w:val="004265EF"/>
    <w:rsid w:val="00443E6A"/>
    <w:rsid w:val="00447EB0"/>
    <w:rsid w:val="00460788"/>
    <w:rsid w:val="0058529B"/>
    <w:rsid w:val="005A1985"/>
    <w:rsid w:val="005A4C2C"/>
    <w:rsid w:val="005A57BD"/>
    <w:rsid w:val="005D13CF"/>
    <w:rsid w:val="00650392"/>
    <w:rsid w:val="006E01AE"/>
    <w:rsid w:val="006E3F8B"/>
    <w:rsid w:val="006F6A8E"/>
    <w:rsid w:val="00712E2A"/>
    <w:rsid w:val="007375D2"/>
    <w:rsid w:val="00792221"/>
    <w:rsid w:val="007D3784"/>
    <w:rsid w:val="007E3930"/>
    <w:rsid w:val="00803EBF"/>
    <w:rsid w:val="00846E6F"/>
    <w:rsid w:val="00897E93"/>
    <w:rsid w:val="008A152D"/>
    <w:rsid w:val="008E2F89"/>
    <w:rsid w:val="009747C2"/>
    <w:rsid w:val="009D222A"/>
    <w:rsid w:val="009F5C2A"/>
    <w:rsid w:val="009F5D4B"/>
    <w:rsid w:val="00A55D22"/>
    <w:rsid w:val="00A76B3F"/>
    <w:rsid w:val="00AF5B52"/>
    <w:rsid w:val="00B3394A"/>
    <w:rsid w:val="00B34A63"/>
    <w:rsid w:val="00B66DB8"/>
    <w:rsid w:val="00BB75C1"/>
    <w:rsid w:val="00C61A12"/>
    <w:rsid w:val="00C64F0E"/>
    <w:rsid w:val="00CA6BF7"/>
    <w:rsid w:val="00CA79F5"/>
    <w:rsid w:val="00CC04A9"/>
    <w:rsid w:val="00CD761B"/>
    <w:rsid w:val="00D255C9"/>
    <w:rsid w:val="00D53F69"/>
    <w:rsid w:val="00D87EE1"/>
    <w:rsid w:val="00DC04FD"/>
    <w:rsid w:val="00DE7905"/>
    <w:rsid w:val="00E1289E"/>
    <w:rsid w:val="00E20F33"/>
    <w:rsid w:val="00EC3D6F"/>
    <w:rsid w:val="00ED23C2"/>
    <w:rsid w:val="00F01CD8"/>
    <w:rsid w:val="00F04D34"/>
    <w:rsid w:val="00F32D4F"/>
    <w:rsid w:val="00F563DA"/>
    <w:rsid w:val="00FF52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13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61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D761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CD761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D761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CD761B"/>
    <w:pPr>
      <w:numPr>
        <w:ilvl w:val="3"/>
      </w:numPr>
      <w:outlineLvl w:val="3"/>
    </w:pPr>
    <w:rPr>
      <w:sz w:val="24"/>
      <w:szCs w:val="24"/>
    </w:rPr>
  </w:style>
  <w:style w:type="paragraph" w:styleId="Heading5">
    <w:name w:val="heading 5"/>
    <w:basedOn w:val="Heading4"/>
    <w:next w:val="Normal"/>
    <w:link w:val="Heading5Char"/>
    <w:qFormat/>
    <w:rsid w:val="00CD761B"/>
    <w:pPr>
      <w:numPr>
        <w:ilvl w:val="4"/>
      </w:numPr>
      <w:outlineLvl w:val="4"/>
    </w:pPr>
    <w:rPr>
      <w:sz w:val="22"/>
      <w:szCs w:val="22"/>
    </w:rPr>
  </w:style>
  <w:style w:type="paragraph" w:styleId="Heading6">
    <w:name w:val="heading 6"/>
    <w:basedOn w:val="Normal"/>
    <w:next w:val="Normal"/>
    <w:link w:val="Heading6Char"/>
    <w:qFormat/>
    <w:rsid w:val="00CD761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D761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D761B"/>
    <w:pPr>
      <w:numPr>
        <w:ilvl w:val="7"/>
      </w:numPr>
      <w:outlineLvl w:val="7"/>
    </w:pPr>
  </w:style>
  <w:style w:type="paragraph" w:styleId="Heading9">
    <w:name w:val="heading 9"/>
    <w:basedOn w:val="Heading8"/>
    <w:next w:val="Normal"/>
    <w:link w:val="Heading9Char"/>
    <w:qFormat/>
    <w:rsid w:val="00CD76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CD761B"/>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CD761B"/>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D761B"/>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D761B"/>
    <w:rPr>
      <w:rFonts w:ascii="Arial" w:eastAsia="Times New Roman" w:hAnsi="Arial" w:cs="Arial"/>
      <w:sz w:val="24"/>
      <w:szCs w:val="24"/>
      <w:lang w:val="en-GB"/>
    </w:rPr>
  </w:style>
  <w:style w:type="character" w:customStyle="1" w:styleId="Heading5Char">
    <w:name w:val="Heading 5 Char"/>
    <w:basedOn w:val="DefaultParagraphFont"/>
    <w:link w:val="Heading5"/>
    <w:rsid w:val="00CD761B"/>
    <w:rPr>
      <w:rFonts w:ascii="Arial" w:eastAsia="Times New Roman" w:hAnsi="Arial" w:cs="Arial"/>
      <w:lang w:val="en-GB"/>
    </w:rPr>
  </w:style>
  <w:style w:type="character" w:customStyle="1" w:styleId="Heading6Char">
    <w:name w:val="Heading 6 Char"/>
    <w:basedOn w:val="DefaultParagraphFont"/>
    <w:link w:val="Heading6"/>
    <w:rsid w:val="00CD761B"/>
    <w:rPr>
      <w:rFonts w:ascii="Arial" w:eastAsia="Times New Roman" w:hAnsi="Arial" w:cs="Arial"/>
      <w:sz w:val="20"/>
      <w:szCs w:val="20"/>
      <w:lang w:val="en-GB"/>
    </w:rPr>
  </w:style>
  <w:style w:type="character" w:customStyle="1" w:styleId="Heading7Char">
    <w:name w:val="Heading 7 Char"/>
    <w:basedOn w:val="DefaultParagraphFont"/>
    <w:link w:val="Heading7"/>
    <w:rsid w:val="00CD761B"/>
    <w:rPr>
      <w:rFonts w:ascii="Arial" w:eastAsia="Times New Roman" w:hAnsi="Arial" w:cs="Arial"/>
      <w:sz w:val="20"/>
      <w:szCs w:val="20"/>
      <w:lang w:val="en-GB"/>
    </w:rPr>
  </w:style>
  <w:style w:type="character" w:customStyle="1" w:styleId="Heading8Char">
    <w:name w:val="Heading 8 Char"/>
    <w:basedOn w:val="DefaultParagraphFont"/>
    <w:link w:val="Heading8"/>
    <w:rsid w:val="00CD761B"/>
    <w:rPr>
      <w:rFonts w:ascii="Arial" w:eastAsia="Times New Roman" w:hAnsi="Arial" w:cs="Arial"/>
      <w:sz w:val="20"/>
      <w:szCs w:val="20"/>
      <w:lang w:val="en-GB"/>
    </w:rPr>
  </w:style>
  <w:style w:type="character" w:customStyle="1" w:styleId="Heading9Char">
    <w:name w:val="Heading 9 Char"/>
    <w:basedOn w:val="DefaultParagraphFont"/>
    <w:link w:val="Heading9"/>
    <w:rsid w:val="00CD761B"/>
    <w:rPr>
      <w:rFonts w:ascii="Arial" w:eastAsia="Times New Roman" w:hAnsi="Arial" w:cs="Arial"/>
      <w:sz w:val="20"/>
      <w:szCs w:val="20"/>
      <w:lang w:val="en-GB"/>
    </w:rPr>
  </w:style>
  <w:style w:type="paragraph" w:styleId="Caption">
    <w:name w:val="caption"/>
    <w:basedOn w:val="Normal"/>
    <w:next w:val="Normal"/>
    <w:qFormat/>
    <w:rsid w:val="00CD761B"/>
    <w:pPr>
      <w:spacing w:after="240"/>
      <w:jc w:val="center"/>
    </w:pPr>
    <w:rPr>
      <w:b/>
      <w:bCs/>
    </w:rPr>
  </w:style>
  <w:style w:type="paragraph" w:customStyle="1" w:styleId="TdocHeader2">
    <w:name w:val="Tdoc_Header_2"/>
    <w:basedOn w:val="Normal"/>
    <w:rsid w:val="00CD761B"/>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Reference">
    <w:name w:val="Reference"/>
    <w:basedOn w:val="Normal"/>
    <w:link w:val="ReferenceChar"/>
    <w:qFormat/>
    <w:rsid w:val="00CD761B"/>
    <w:pPr>
      <w:numPr>
        <w:numId w:val="2"/>
      </w:numPr>
    </w:pPr>
  </w:style>
  <w:style w:type="character" w:customStyle="1" w:styleId="ReferenceChar">
    <w:name w:val="Reference Char"/>
    <w:link w:val="Reference"/>
    <w:rsid w:val="00CD761B"/>
    <w:rPr>
      <w:rFonts w:ascii="Arial" w:eastAsia="Times New Roman" w:hAnsi="Arial" w:cs="Times New Roman"/>
      <w:sz w:val="20"/>
      <w:szCs w:val="20"/>
      <w:lang w:val="en-GB"/>
    </w:rPr>
  </w:style>
  <w:style w:type="paragraph" w:customStyle="1" w:styleId="IvDbodytext">
    <w:name w:val="IvD bodytext"/>
    <w:basedOn w:val="BodyText"/>
    <w:link w:val="IvDbodytextChar"/>
    <w:qFormat/>
    <w:rsid w:val="0041393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41393F"/>
    <w:rPr>
      <w:rFonts w:ascii="Arial" w:eastAsia="Times New Roman" w:hAnsi="Arial" w:cs="Times New Roman"/>
      <w:spacing w:val="2"/>
      <w:sz w:val="20"/>
      <w:szCs w:val="20"/>
      <w:lang w:val="en-US" w:eastAsia="en-US"/>
    </w:rPr>
  </w:style>
  <w:style w:type="paragraph" w:styleId="BodyText">
    <w:name w:val="Body Text"/>
    <w:basedOn w:val="Normal"/>
    <w:link w:val="BodyTextChar"/>
    <w:uiPriority w:val="99"/>
    <w:unhideWhenUsed/>
    <w:rsid w:val="0041393F"/>
  </w:style>
  <w:style w:type="character" w:customStyle="1" w:styleId="BodyTextChar">
    <w:name w:val="Body Text Char"/>
    <w:basedOn w:val="DefaultParagraphFont"/>
    <w:link w:val="BodyText"/>
    <w:uiPriority w:val="99"/>
    <w:rsid w:val="0041393F"/>
    <w:rPr>
      <w:rFonts w:ascii="Arial" w:eastAsia="Times New Roman" w:hAnsi="Arial" w:cs="Times New Roman"/>
      <w:sz w:val="20"/>
      <w:szCs w:val="20"/>
      <w:lang w:val="en-GB"/>
    </w:rPr>
  </w:style>
  <w:style w:type="paragraph" w:styleId="ListParagraph">
    <w:name w:val="List Paragraph"/>
    <w:basedOn w:val="Normal"/>
    <w:uiPriority w:val="34"/>
    <w:qFormat/>
    <w:rsid w:val="009D222A"/>
    <w:pPr>
      <w:ind w:left="720"/>
      <w:contextualSpacing/>
    </w:pPr>
  </w:style>
  <w:style w:type="character" w:styleId="CommentReference">
    <w:name w:val="annotation reference"/>
    <w:basedOn w:val="DefaultParagraphFont"/>
    <w:uiPriority w:val="99"/>
    <w:semiHidden/>
    <w:unhideWhenUsed/>
    <w:rsid w:val="005A1985"/>
    <w:rPr>
      <w:sz w:val="16"/>
      <w:szCs w:val="16"/>
    </w:rPr>
  </w:style>
  <w:style w:type="paragraph" w:styleId="CommentText">
    <w:name w:val="annotation text"/>
    <w:basedOn w:val="Normal"/>
    <w:link w:val="CommentTextChar"/>
    <w:uiPriority w:val="99"/>
    <w:semiHidden/>
    <w:unhideWhenUsed/>
    <w:rsid w:val="005A1985"/>
  </w:style>
  <w:style w:type="character" w:customStyle="1" w:styleId="CommentTextChar">
    <w:name w:val="Comment Text Char"/>
    <w:basedOn w:val="DefaultParagraphFont"/>
    <w:link w:val="CommentText"/>
    <w:uiPriority w:val="99"/>
    <w:semiHidden/>
    <w:rsid w:val="005A198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A1985"/>
    <w:rPr>
      <w:b/>
      <w:bCs/>
    </w:rPr>
  </w:style>
  <w:style w:type="character" w:customStyle="1" w:styleId="CommentSubjectChar">
    <w:name w:val="Comment Subject Char"/>
    <w:basedOn w:val="CommentTextChar"/>
    <w:link w:val="CommentSubject"/>
    <w:uiPriority w:val="99"/>
    <w:semiHidden/>
    <w:rsid w:val="005A1985"/>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5A198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985"/>
    <w:rPr>
      <w:rFonts w:ascii="Segoe UI" w:eastAsia="Times New Roman" w:hAnsi="Segoe UI" w:cs="Segoe UI"/>
      <w:sz w:val="18"/>
      <w:szCs w:val="18"/>
      <w:lang w:val="en-GB"/>
    </w:rPr>
  </w:style>
  <w:style w:type="paragraph" w:customStyle="1" w:styleId="IvDInstructiontext">
    <w:name w:val="IvD Instructiontext"/>
    <w:basedOn w:val="BodyText"/>
    <w:link w:val="IvDInstructiontextChar"/>
    <w:uiPriority w:val="99"/>
    <w:qFormat/>
    <w:rsid w:val="005A198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A1985"/>
    <w:rPr>
      <w:rFonts w:ascii="Arial" w:eastAsia="Times New Roman" w:hAnsi="Arial" w:cs="Times New Roman"/>
      <w:i/>
      <w:color w:val="7F7F7F" w:themeColor="text1" w:themeTint="80"/>
      <w:spacing w:val="2"/>
      <w:sz w:val="18"/>
      <w:szCs w:val="18"/>
      <w:lang w:val="en-US" w:eastAsia="en-US"/>
    </w:rPr>
  </w:style>
  <w:style w:type="character" w:styleId="PlaceholderText">
    <w:name w:val="Placeholder Text"/>
    <w:basedOn w:val="DefaultParagraphFont"/>
    <w:uiPriority w:val="99"/>
    <w:semiHidden/>
    <w:rsid w:val="00FF523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61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D761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CD761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D761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CD761B"/>
    <w:pPr>
      <w:numPr>
        <w:ilvl w:val="3"/>
      </w:numPr>
      <w:outlineLvl w:val="3"/>
    </w:pPr>
    <w:rPr>
      <w:sz w:val="24"/>
      <w:szCs w:val="24"/>
    </w:rPr>
  </w:style>
  <w:style w:type="paragraph" w:styleId="Heading5">
    <w:name w:val="heading 5"/>
    <w:basedOn w:val="Heading4"/>
    <w:next w:val="Normal"/>
    <w:link w:val="Heading5Char"/>
    <w:qFormat/>
    <w:rsid w:val="00CD761B"/>
    <w:pPr>
      <w:numPr>
        <w:ilvl w:val="4"/>
      </w:numPr>
      <w:outlineLvl w:val="4"/>
    </w:pPr>
    <w:rPr>
      <w:sz w:val="22"/>
      <w:szCs w:val="22"/>
    </w:rPr>
  </w:style>
  <w:style w:type="paragraph" w:styleId="Heading6">
    <w:name w:val="heading 6"/>
    <w:basedOn w:val="Normal"/>
    <w:next w:val="Normal"/>
    <w:link w:val="Heading6Char"/>
    <w:qFormat/>
    <w:rsid w:val="00CD761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D761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D761B"/>
    <w:pPr>
      <w:numPr>
        <w:ilvl w:val="7"/>
      </w:numPr>
      <w:outlineLvl w:val="7"/>
    </w:pPr>
  </w:style>
  <w:style w:type="paragraph" w:styleId="Heading9">
    <w:name w:val="heading 9"/>
    <w:basedOn w:val="Heading8"/>
    <w:next w:val="Normal"/>
    <w:link w:val="Heading9Char"/>
    <w:qFormat/>
    <w:rsid w:val="00CD76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CD761B"/>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CD761B"/>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D761B"/>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D761B"/>
    <w:rPr>
      <w:rFonts w:ascii="Arial" w:eastAsia="Times New Roman" w:hAnsi="Arial" w:cs="Arial"/>
      <w:sz w:val="24"/>
      <w:szCs w:val="24"/>
      <w:lang w:val="en-GB"/>
    </w:rPr>
  </w:style>
  <w:style w:type="character" w:customStyle="1" w:styleId="Heading5Char">
    <w:name w:val="Heading 5 Char"/>
    <w:basedOn w:val="DefaultParagraphFont"/>
    <w:link w:val="Heading5"/>
    <w:rsid w:val="00CD761B"/>
    <w:rPr>
      <w:rFonts w:ascii="Arial" w:eastAsia="Times New Roman" w:hAnsi="Arial" w:cs="Arial"/>
      <w:lang w:val="en-GB"/>
    </w:rPr>
  </w:style>
  <w:style w:type="character" w:customStyle="1" w:styleId="Heading6Char">
    <w:name w:val="Heading 6 Char"/>
    <w:basedOn w:val="DefaultParagraphFont"/>
    <w:link w:val="Heading6"/>
    <w:rsid w:val="00CD761B"/>
    <w:rPr>
      <w:rFonts w:ascii="Arial" w:eastAsia="Times New Roman" w:hAnsi="Arial" w:cs="Arial"/>
      <w:sz w:val="20"/>
      <w:szCs w:val="20"/>
      <w:lang w:val="en-GB"/>
    </w:rPr>
  </w:style>
  <w:style w:type="character" w:customStyle="1" w:styleId="Heading7Char">
    <w:name w:val="Heading 7 Char"/>
    <w:basedOn w:val="DefaultParagraphFont"/>
    <w:link w:val="Heading7"/>
    <w:rsid w:val="00CD761B"/>
    <w:rPr>
      <w:rFonts w:ascii="Arial" w:eastAsia="Times New Roman" w:hAnsi="Arial" w:cs="Arial"/>
      <w:sz w:val="20"/>
      <w:szCs w:val="20"/>
      <w:lang w:val="en-GB"/>
    </w:rPr>
  </w:style>
  <w:style w:type="character" w:customStyle="1" w:styleId="Heading8Char">
    <w:name w:val="Heading 8 Char"/>
    <w:basedOn w:val="DefaultParagraphFont"/>
    <w:link w:val="Heading8"/>
    <w:rsid w:val="00CD761B"/>
    <w:rPr>
      <w:rFonts w:ascii="Arial" w:eastAsia="Times New Roman" w:hAnsi="Arial" w:cs="Arial"/>
      <w:sz w:val="20"/>
      <w:szCs w:val="20"/>
      <w:lang w:val="en-GB"/>
    </w:rPr>
  </w:style>
  <w:style w:type="character" w:customStyle="1" w:styleId="Heading9Char">
    <w:name w:val="Heading 9 Char"/>
    <w:basedOn w:val="DefaultParagraphFont"/>
    <w:link w:val="Heading9"/>
    <w:rsid w:val="00CD761B"/>
    <w:rPr>
      <w:rFonts w:ascii="Arial" w:eastAsia="Times New Roman" w:hAnsi="Arial" w:cs="Arial"/>
      <w:sz w:val="20"/>
      <w:szCs w:val="20"/>
      <w:lang w:val="en-GB"/>
    </w:rPr>
  </w:style>
  <w:style w:type="paragraph" w:styleId="Caption">
    <w:name w:val="caption"/>
    <w:basedOn w:val="Normal"/>
    <w:next w:val="Normal"/>
    <w:qFormat/>
    <w:rsid w:val="00CD761B"/>
    <w:pPr>
      <w:spacing w:after="240"/>
      <w:jc w:val="center"/>
    </w:pPr>
    <w:rPr>
      <w:b/>
      <w:bCs/>
    </w:rPr>
  </w:style>
  <w:style w:type="paragraph" w:customStyle="1" w:styleId="TdocHeader2">
    <w:name w:val="Tdoc_Header_2"/>
    <w:basedOn w:val="Normal"/>
    <w:rsid w:val="00CD761B"/>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Reference">
    <w:name w:val="Reference"/>
    <w:basedOn w:val="Normal"/>
    <w:link w:val="ReferenceChar"/>
    <w:qFormat/>
    <w:rsid w:val="00CD761B"/>
    <w:pPr>
      <w:numPr>
        <w:numId w:val="2"/>
      </w:numPr>
    </w:pPr>
  </w:style>
  <w:style w:type="character" w:customStyle="1" w:styleId="ReferenceChar">
    <w:name w:val="Reference Char"/>
    <w:link w:val="Reference"/>
    <w:rsid w:val="00CD761B"/>
    <w:rPr>
      <w:rFonts w:ascii="Arial" w:eastAsia="Times New Roman" w:hAnsi="Arial" w:cs="Times New Roman"/>
      <w:sz w:val="20"/>
      <w:szCs w:val="20"/>
      <w:lang w:val="en-GB"/>
    </w:rPr>
  </w:style>
  <w:style w:type="paragraph" w:customStyle="1" w:styleId="IvDbodytext">
    <w:name w:val="IvD bodytext"/>
    <w:basedOn w:val="BodyText"/>
    <w:link w:val="IvDbodytextChar"/>
    <w:qFormat/>
    <w:rsid w:val="0041393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41393F"/>
    <w:rPr>
      <w:rFonts w:ascii="Arial" w:eastAsia="Times New Roman" w:hAnsi="Arial" w:cs="Times New Roman"/>
      <w:spacing w:val="2"/>
      <w:sz w:val="20"/>
      <w:szCs w:val="20"/>
      <w:lang w:val="en-US" w:eastAsia="en-US"/>
    </w:rPr>
  </w:style>
  <w:style w:type="paragraph" w:styleId="BodyText">
    <w:name w:val="Body Text"/>
    <w:basedOn w:val="Normal"/>
    <w:link w:val="BodyTextChar"/>
    <w:uiPriority w:val="99"/>
    <w:unhideWhenUsed/>
    <w:rsid w:val="0041393F"/>
  </w:style>
  <w:style w:type="character" w:customStyle="1" w:styleId="BodyTextChar">
    <w:name w:val="Body Text Char"/>
    <w:basedOn w:val="DefaultParagraphFont"/>
    <w:link w:val="BodyText"/>
    <w:uiPriority w:val="99"/>
    <w:rsid w:val="0041393F"/>
    <w:rPr>
      <w:rFonts w:ascii="Arial" w:eastAsia="Times New Roman" w:hAnsi="Arial" w:cs="Times New Roman"/>
      <w:sz w:val="20"/>
      <w:szCs w:val="20"/>
      <w:lang w:val="en-GB"/>
    </w:rPr>
  </w:style>
  <w:style w:type="paragraph" w:styleId="ListParagraph">
    <w:name w:val="List Paragraph"/>
    <w:basedOn w:val="Normal"/>
    <w:uiPriority w:val="34"/>
    <w:qFormat/>
    <w:rsid w:val="009D222A"/>
    <w:pPr>
      <w:ind w:left="720"/>
      <w:contextualSpacing/>
    </w:pPr>
  </w:style>
  <w:style w:type="character" w:styleId="CommentReference">
    <w:name w:val="annotation reference"/>
    <w:basedOn w:val="DefaultParagraphFont"/>
    <w:uiPriority w:val="99"/>
    <w:semiHidden/>
    <w:unhideWhenUsed/>
    <w:rsid w:val="005A1985"/>
    <w:rPr>
      <w:sz w:val="16"/>
      <w:szCs w:val="16"/>
    </w:rPr>
  </w:style>
  <w:style w:type="paragraph" w:styleId="CommentText">
    <w:name w:val="annotation text"/>
    <w:basedOn w:val="Normal"/>
    <w:link w:val="CommentTextChar"/>
    <w:uiPriority w:val="99"/>
    <w:semiHidden/>
    <w:unhideWhenUsed/>
    <w:rsid w:val="005A1985"/>
  </w:style>
  <w:style w:type="character" w:customStyle="1" w:styleId="CommentTextChar">
    <w:name w:val="Comment Text Char"/>
    <w:basedOn w:val="DefaultParagraphFont"/>
    <w:link w:val="CommentText"/>
    <w:uiPriority w:val="99"/>
    <w:semiHidden/>
    <w:rsid w:val="005A198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A1985"/>
    <w:rPr>
      <w:b/>
      <w:bCs/>
    </w:rPr>
  </w:style>
  <w:style w:type="character" w:customStyle="1" w:styleId="CommentSubjectChar">
    <w:name w:val="Comment Subject Char"/>
    <w:basedOn w:val="CommentTextChar"/>
    <w:link w:val="CommentSubject"/>
    <w:uiPriority w:val="99"/>
    <w:semiHidden/>
    <w:rsid w:val="005A1985"/>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5A198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985"/>
    <w:rPr>
      <w:rFonts w:ascii="Segoe UI" w:eastAsia="Times New Roman" w:hAnsi="Segoe UI" w:cs="Segoe UI"/>
      <w:sz w:val="18"/>
      <w:szCs w:val="18"/>
      <w:lang w:val="en-GB"/>
    </w:rPr>
  </w:style>
  <w:style w:type="paragraph" w:customStyle="1" w:styleId="IvDInstructiontext">
    <w:name w:val="IvD Instructiontext"/>
    <w:basedOn w:val="BodyText"/>
    <w:link w:val="IvDInstructiontextChar"/>
    <w:uiPriority w:val="99"/>
    <w:qFormat/>
    <w:rsid w:val="005A198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A1985"/>
    <w:rPr>
      <w:rFonts w:ascii="Arial" w:eastAsia="Times New Roman" w:hAnsi="Arial" w:cs="Times New Roman"/>
      <w:i/>
      <w:color w:val="7F7F7F" w:themeColor="text1" w:themeTint="80"/>
      <w:spacing w:val="2"/>
      <w:sz w:val="18"/>
      <w:szCs w:val="18"/>
      <w:lang w:val="en-US" w:eastAsia="en-US"/>
    </w:rPr>
  </w:style>
  <w:style w:type="character" w:styleId="PlaceholderText">
    <w:name w:val="Placeholder Text"/>
    <w:basedOn w:val="DefaultParagraphFont"/>
    <w:uiPriority w:val="99"/>
    <w:semiHidden/>
    <w:rsid w:val="00FF52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dc:creator>
  <cp:lastModifiedBy>Stefan Parkvall</cp:lastModifiedBy>
  <cp:revision>2</cp:revision>
  <dcterms:created xsi:type="dcterms:W3CDTF">2016-08-12T19:31:00Z</dcterms:created>
  <dcterms:modified xsi:type="dcterms:W3CDTF">2016-08-12T19:31:00Z</dcterms:modified>
</cp:coreProperties>
</file>