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27359ADC" w:rsidR="00C4171E" w:rsidRPr="00AD312E" w:rsidRDefault="00701B94"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701B94">
              <w:rPr>
                <w:rStyle w:val="normaltextrun"/>
                <w:b/>
                <w:bCs/>
                <w:sz w:val="28"/>
                <w:szCs w:val="28"/>
                <w:lang w:eastAsia="zh-TW"/>
              </w:rPr>
              <w:t>3GPP TSG RAN WG1 #122bis</w:t>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p>
        </w:tc>
        <w:tc>
          <w:tcPr>
            <w:tcW w:w="2071" w:type="dxa"/>
          </w:tcPr>
          <w:p w14:paraId="459959AD" w14:textId="5187E74D" w:rsidR="00C4171E" w:rsidRDefault="00B97C97" w:rsidP="00C4171E">
            <w:pPr>
              <w:pStyle w:val="paragraph"/>
              <w:spacing w:before="0" w:beforeAutospacing="0" w:after="0" w:afterAutospacing="0"/>
              <w:jc w:val="right"/>
              <w:textAlignment w:val="baseline"/>
              <w:rPr>
                <w:rStyle w:val="normaltextrun"/>
                <w:b/>
                <w:bCs/>
                <w:sz w:val="28"/>
                <w:szCs w:val="28"/>
              </w:rPr>
            </w:pPr>
            <w:r w:rsidRPr="00B97C97">
              <w:rPr>
                <w:rStyle w:val="normaltextrun"/>
                <w:b/>
                <w:bCs/>
                <w:sz w:val="28"/>
                <w:szCs w:val="28"/>
                <w:lang w:eastAsia="zh-TW"/>
              </w:rPr>
              <w:t>R1-250</w:t>
            </w:r>
            <w:r w:rsidR="00701B94">
              <w:rPr>
                <w:rStyle w:val="normaltextrun"/>
                <w:b/>
                <w:bCs/>
                <w:sz w:val="28"/>
                <w:szCs w:val="28"/>
                <w:lang w:eastAsia="zh-TW"/>
              </w:rPr>
              <w:t>7</w:t>
            </w:r>
            <w:r w:rsidR="00701B94">
              <w:rPr>
                <w:rStyle w:val="normaltextrun"/>
                <w:b/>
                <w:bCs/>
                <w:sz w:val="28"/>
                <w:szCs w:val="28"/>
              </w:rPr>
              <w:t>616</w:t>
            </w:r>
          </w:p>
        </w:tc>
      </w:tr>
      <w:tr w:rsidR="00C4171E" w14:paraId="374BC3D0" w14:textId="77777777" w:rsidTr="00B57DF3">
        <w:tc>
          <w:tcPr>
            <w:tcW w:w="7560" w:type="dxa"/>
          </w:tcPr>
          <w:p w14:paraId="7F43C382" w14:textId="173F2127" w:rsidR="00C4171E" w:rsidRPr="00AD312E" w:rsidRDefault="00701B94" w:rsidP="00C4171E">
            <w:pPr>
              <w:pStyle w:val="paragraph"/>
              <w:spacing w:before="0" w:beforeAutospacing="0" w:after="0" w:afterAutospacing="0"/>
              <w:ind w:left="-111"/>
              <w:textAlignment w:val="baseline"/>
              <w:rPr>
                <w:rStyle w:val="normaltextrun"/>
                <w:rFonts w:ascii="Segoe UI" w:hAnsi="Segoe UI" w:cs="Segoe UI"/>
                <w:sz w:val="18"/>
                <w:szCs w:val="18"/>
              </w:rPr>
            </w:pPr>
            <w:r w:rsidRPr="00701B94">
              <w:rPr>
                <w:rStyle w:val="normaltextrun"/>
                <w:b/>
                <w:bCs/>
                <w:sz w:val="28"/>
                <w:szCs w:val="28"/>
                <w:lang w:eastAsia="zh-TW"/>
              </w:rPr>
              <w:t>Prague, Czech, Oct 13th – 17th, 2025</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97ABB3F"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926A4">
        <w:rPr>
          <w:rFonts w:asciiTheme="majorBidi" w:hAnsiTheme="majorBidi" w:cstheme="majorBidi"/>
          <w:bCs/>
          <w:sz w:val="28"/>
          <w:szCs w:val="24"/>
          <w:lang w:val="en-US" w:eastAsia="zh-TW"/>
        </w:rPr>
        <w:t>10.1</w:t>
      </w:r>
      <w:r w:rsidR="00063BE5">
        <w:rPr>
          <w:rFonts w:asciiTheme="majorBidi" w:hAnsiTheme="majorBidi" w:cstheme="majorBidi"/>
          <w:bCs/>
          <w:sz w:val="28"/>
          <w:szCs w:val="24"/>
          <w:lang w:val="en-US" w:eastAsia="zh-TW"/>
        </w:rPr>
        <w:t>.1</w:t>
      </w:r>
      <w:r w:rsidR="00A857E4">
        <w:rPr>
          <w:rFonts w:asciiTheme="majorBidi" w:hAnsiTheme="majorBidi" w:cstheme="majorBidi"/>
          <w:bCs/>
          <w:sz w:val="28"/>
          <w:szCs w:val="24"/>
          <w:lang w:val="en-US" w:eastAsia="zh-TW"/>
        </w:rPr>
        <w:t>.1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19011CAF"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063BE5" w:rsidRPr="00063BE5">
        <w:rPr>
          <w:rFonts w:asciiTheme="majorBidi" w:eastAsia="MS Mincho" w:hAnsiTheme="majorBidi" w:cstheme="majorBidi"/>
          <w:bCs/>
          <w:sz w:val="28"/>
          <w:szCs w:val="24"/>
          <w:lang w:val="en-US"/>
        </w:rPr>
        <w:t>CSI spatial/frequency compression without temporal aspects (“Case 0”)</w:t>
      </w:r>
      <w:r w:rsidR="008530D8">
        <w:rPr>
          <w:rFonts w:asciiTheme="majorBidi" w:eastAsia="MS Mincho" w:hAnsiTheme="majorBidi" w:cstheme="majorBidi"/>
          <w:bCs/>
          <w:sz w:val="28"/>
          <w:szCs w:val="24"/>
          <w:lang w:val="en-US"/>
        </w:rPr>
        <w:t>-Inference related aspects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21FD993A" w14:textId="43EA9E20" w:rsidR="00B134BD" w:rsidRDefault="00B134BD" w:rsidP="00B134BD">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w:t>
      </w:r>
      <w:r w:rsidR="005B5FF0">
        <w:t xml:space="preserve">development and </w:t>
      </w:r>
      <w:r>
        <w:t xml:space="preserve">life cycle for CSI compression, there are several remaining issues, which need to be discussed during normative work phase to finally reach to a viable solution for </w:t>
      </w:r>
      <w:r w:rsidR="005B5FF0">
        <w:t>the</w:t>
      </w:r>
      <w:r>
        <w:t xml:space="preserve"> two-sided </w:t>
      </w:r>
      <w:r w:rsidR="009E2696">
        <w:t xml:space="preserve">AI/ML </w:t>
      </w:r>
      <w:r>
        <w:t>use case</w:t>
      </w:r>
      <w:r w:rsidR="005B5FF0">
        <w:t xml:space="preserve"> of CSI compression</w:t>
      </w:r>
      <w:r>
        <w:t xml:space="preserve">. In this contribution, we focus on the remaining </w:t>
      </w:r>
      <w:r w:rsidR="009E2696">
        <w:t xml:space="preserve">inference-related </w:t>
      </w:r>
      <w:r>
        <w:t>issues about</w:t>
      </w:r>
      <w:r w:rsidRPr="00B134BD">
        <w:t xml:space="preserve"> target CSI type, measurement and report configuration, CQI RI determination, payload determination, quantization configuration codebook, CSI processing criteria and timeline, priority rules </w:t>
      </w:r>
      <w:r w:rsidR="005B4EDA">
        <w:t xml:space="preserve">and omission </w:t>
      </w:r>
      <w:r w:rsidRPr="00B134BD">
        <w:t>for CSI reports</w:t>
      </w:r>
      <w:r w:rsidR="009062A4">
        <w:t xml:space="preserve"> </w:t>
      </w:r>
      <w:r w:rsidR="009062A4">
        <w:fldChar w:fldCharType="begin"/>
      </w:r>
      <w:r w:rsidR="009062A4">
        <w:instrText xml:space="preserve"> REF _Ref205733310 \r \h </w:instrText>
      </w:r>
      <w:r w:rsidR="009062A4">
        <w:fldChar w:fldCharType="separate"/>
      </w:r>
      <w:r w:rsidR="009062A4">
        <w:rPr>
          <w:cs/>
        </w:rPr>
        <w:t>‎</w:t>
      </w:r>
      <w:r w:rsidR="009062A4">
        <w:t>[1]</w:t>
      </w:r>
      <w:r w:rsidR="009062A4">
        <w:fldChar w:fldCharType="end"/>
      </w:r>
      <w:r>
        <w:t>.</w:t>
      </w:r>
    </w:p>
    <w:p w14:paraId="3E6FF1D1" w14:textId="4F3DAD3C" w:rsidR="0077390E" w:rsidRDefault="009926A4" w:rsidP="0077390E">
      <w:pPr>
        <w:pStyle w:val="Heading1"/>
      </w:pPr>
      <w:r>
        <w:t>Other aspects</w:t>
      </w:r>
    </w:p>
    <w:p w14:paraId="50A5C293" w14:textId="4D873922" w:rsidR="009926A4" w:rsidRDefault="009062A4" w:rsidP="009062A4">
      <w:pPr>
        <w:spacing w:after="120"/>
        <w:jc w:val="both"/>
      </w:pPr>
      <w:r>
        <w:rPr>
          <w:rFonts w:ascii="Times" w:eastAsia="Batang" w:hAnsi="Times"/>
          <w:sz w:val="20"/>
          <w:szCs w:val="24"/>
          <w:lang w:val="en-GB"/>
        </w:rPr>
        <w:t>In this section we discuss remaining issues related to the inference aspects of AI/ML for CSI compression according to identified scope of normative work in</w:t>
      </w:r>
      <w:r w:rsidRPr="009062A4">
        <w:t xml:space="preserve"> </w:t>
      </w:r>
      <w:r w:rsidRPr="009062A4">
        <w:rPr>
          <w:rFonts w:ascii="Times" w:eastAsia="Batang" w:hAnsi="Times"/>
          <w:sz w:val="20"/>
          <w:szCs w:val="24"/>
          <w:lang w:val="en-GB"/>
        </w:rPr>
        <w:t>RAN#108</w:t>
      </w:r>
      <w:r>
        <w:rPr>
          <w:rFonts w:ascii="Times" w:eastAsia="Batang" w:hAnsi="Times"/>
          <w:sz w:val="20"/>
          <w:szCs w:val="24"/>
          <w:lang w:val="en-GB"/>
        </w:rPr>
        <w:t xml:space="preserve"> </w:t>
      </w:r>
      <w:r>
        <w:fldChar w:fldCharType="begin"/>
      </w:r>
      <w:r>
        <w:instrText xml:space="preserve"> REF _Ref205733310 \r \h </w:instrText>
      </w:r>
      <w:r>
        <w:fldChar w:fldCharType="separate"/>
      </w:r>
      <w:r>
        <w:rPr>
          <w:cs/>
        </w:rPr>
        <w:t>‎</w:t>
      </w:r>
      <w:r>
        <w:t>[1]</w:t>
      </w:r>
      <w:r>
        <w:fldChar w:fldCharType="end"/>
      </w:r>
      <w:r>
        <w:t xml:space="preserve"> as what follows:</w:t>
      </w:r>
    </w:p>
    <w:tbl>
      <w:tblPr>
        <w:tblStyle w:val="TableGrid"/>
        <w:tblW w:w="0" w:type="auto"/>
        <w:tblLook w:val="04A0" w:firstRow="1" w:lastRow="0" w:firstColumn="1" w:lastColumn="0" w:noHBand="0" w:noVBand="1"/>
      </w:tblPr>
      <w:tblGrid>
        <w:gridCol w:w="9631"/>
      </w:tblGrid>
      <w:tr w:rsidR="009062A4" w14:paraId="0F9301AD" w14:textId="77777777" w:rsidTr="009062A4">
        <w:tc>
          <w:tcPr>
            <w:tcW w:w="9631" w:type="dxa"/>
          </w:tcPr>
          <w:p w14:paraId="2C1E5572" w14:textId="77777777" w:rsidR="009062A4" w:rsidRPr="009062A4" w:rsidRDefault="009062A4" w:rsidP="009062A4">
            <w:pPr>
              <w:overflowPunct w:val="0"/>
              <w:autoSpaceDE w:val="0"/>
              <w:autoSpaceDN w:val="0"/>
              <w:adjustRightInd w:val="0"/>
              <w:spacing w:after="0"/>
              <w:rPr>
                <w:rFonts w:eastAsia="Times New Roman"/>
                <w:bCs/>
                <w:sz w:val="20"/>
                <w:lang w:eastAsia="en-GB"/>
              </w:rPr>
            </w:pPr>
            <w:r w:rsidRPr="009062A4">
              <w:rPr>
                <w:rFonts w:eastAsia="Times New Roman"/>
                <w:b/>
                <w:color w:val="0000FF"/>
                <w:sz w:val="20"/>
                <w:lang w:eastAsia="en-GB"/>
              </w:rPr>
              <w:t>CSI feedback enhancement</w:t>
            </w:r>
            <w:r w:rsidRPr="009062A4">
              <w:rPr>
                <w:rFonts w:eastAsia="Times New Roman"/>
                <w:bCs/>
                <w:sz w:val="20"/>
                <w:lang w:eastAsia="en-GB"/>
              </w:rPr>
              <w:t>, encompassing (two-sided model) [RAN1, RAN2]:</w:t>
            </w:r>
          </w:p>
          <w:p w14:paraId="22C0C71D" w14:textId="77777777" w:rsidR="009062A4" w:rsidRPr="009062A4" w:rsidRDefault="009062A4" w:rsidP="009062A4">
            <w:pPr>
              <w:numPr>
                <w:ilvl w:val="0"/>
                <w:numId w:val="36"/>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CSI spatial/frequency compression without temporal aspects (“Case 0”), </w:t>
            </w:r>
          </w:p>
          <w:p w14:paraId="58A36F10" w14:textId="22EB95C5" w:rsidR="009062A4" w:rsidRPr="009062A4" w:rsidRDefault="009062A4" w:rsidP="009062A4">
            <w:pPr>
              <w:numPr>
                <w:ilvl w:val="0"/>
                <w:numId w:val="36"/>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Specify necessary </w:t>
            </w:r>
            <w:r w:rsidR="001D3ADA" w:rsidRPr="009062A4">
              <w:rPr>
                <w:rFonts w:eastAsia="Times New Roman"/>
                <w:bCs/>
                <w:sz w:val="20"/>
                <w:lang w:eastAsia="en-GB"/>
              </w:rPr>
              <w:t>signaling</w:t>
            </w:r>
            <w:r w:rsidRPr="009062A4">
              <w:rPr>
                <w:rFonts w:eastAsia="Times New Roman"/>
                <w:bCs/>
                <w:sz w:val="20"/>
                <w:lang w:eastAsia="en-GB"/>
              </w:rPr>
              <w:t>/mechanism(s) as per the identified potential specification impacts in FS_NR_AIML_Air , including:</w:t>
            </w:r>
          </w:p>
          <w:p w14:paraId="10E89640" w14:textId="19368091"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Model pairing procedure including ID and applicability </w:t>
            </w:r>
            <w:r w:rsidR="001D3ADA" w:rsidRPr="009062A4">
              <w:rPr>
                <w:rFonts w:eastAsia="Times New Roman"/>
                <w:bCs/>
                <w:sz w:val="20"/>
                <w:lang w:eastAsia="en-GB"/>
              </w:rPr>
              <w:t>reporting.</w:t>
            </w:r>
          </w:p>
          <w:p w14:paraId="45D8DC22" w14:textId="6976CD71"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Inference aspects including target CSI type, measurement and report configuration, CQI RI determination, payload determination, quantization configuration codebook, UCI mapping, CSI processing criteria and timeline, priority rules for CSI </w:t>
            </w:r>
            <w:r w:rsidR="001D3ADA" w:rsidRPr="009062A4">
              <w:rPr>
                <w:rFonts w:eastAsia="Times New Roman"/>
                <w:bCs/>
                <w:sz w:val="20"/>
                <w:lang w:eastAsia="en-GB"/>
              </w:rPr>
              <w:t>reports.</w:t>
            </w:r>
          </w:p>
          <w:p w14:paraId="2B81D7C0" w14:textId="77777777"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NW and UE side data collection for training,</w:t>
            </w:r>
          </w:p>
          <w:p w14:paraId="2F3E9A99" w14:textId="77777777" w:rsidR="009062A4" w:rsidRPr="009062A4" w:rsidRDefault="009062A4" w:rsidP="009062A4">
            <w:pPr>
              <w:numPr>
                <w:ilvl w:val="2"/>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Target CSI format</w:t>
            </w:r>
          </w:p>
          <w:p w14:paraId="0FBD9BC1" w14:textId="77777777" w:rsidR="009062A4" w:rsidRPr="009062A4" w:rsidRDefault="009062A4" w:rsidP="009062A4">
            <w:pPr>
              <w:numPr>
                <w:ilvl w:val="2"/>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Note The framework defined in BM and CSI prediction use cases could be reused</w:t>
            </w:r>
          </w:p>
          <w:p w14:paraId="780CE91E" w14:textId="1A674C8B"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Specify performance </w:t>
            </w:r>
            <w:r w:rsidR="001D3ADA" w:rsidRPr="009062A4">
              <w:rPr>
                <w:rFonts w:eastAsia="Times New Roman"/>
                <w:bCs/>
                <w:sz w:val="20"/>
                <w:lang w:eastAsia="en-GB"/>
              </w:rPr>
              <w:t>monitoring.</w:t>
            </w:r>
            <w:r w:rsidRPr="009062A4">
              <w:rPr>
                <w:rFonts w:eastAsia="Times New Roman"/>
                <w:bCs/>
                <w:sz w:val="20"/>
                <w:lang w:eastAsia="en-GB"/>
              </w:rPr>
              <w:t xml:space="preserve"> </w:t>
            </w:r>
          </w:p>
          <w:p w14:paraId="27F8D1BD" w14:textId="77777777" w:rsidR="009062A4" w:rsidRDefault="009062A4" w:rsidP="009062A4">
            <w:pPr>
              <w:spacing w:after="0"/>
              <w:jc w:val="both"/>
            </w:pPr>
          </w:p>
        </w:tc>
      </w:tr>
    </w:tbl>
    <w:p w14:paraId="3FF1AE56" w14:textId="2B94E6AF" w:rsidR="001B7CDD" w:rsidRDefault="001B7CDD" w:rsidP="001B7CDD">
      <w:pPr>
        <w:pStyle w:val="Heading2"/>
        <w:rPr>
          <w:lang w:val="en-GB" w:eastAsia="zh-CN"/>
        </w:rPr>
      </w:pPr>
      <w:r>
        <w:rPr>
          <w:lang w:val="en-GB" w:eastAsia="zh-CN"/>
        </w:rPr>
        <w:t>Overall Pairing Procedure</w:t>
      </w:r>
    </w:p>
    <w:p w14:paraId="035042C6" w14:textId="0F7FA567" w:rsidR="001B7CDD" w:rsidRDefault="00D0119C" w:rsidP="006129C4">
      <w:pPr>
        <w:jc w:val="both"/>
        <w:rPr>
          <w:lang w:val="en-GB" w:eastAsia="zh-CN"/>
        </w:rPr>
      </w:pPr>
      <w:r>
        <w:rPr>
          <w:lang w:val="en-GB" w:eastAsia="zh-CN"/>
        </w:rPr>
        <w:t>In the scope of normative work, we have considered three different paradigms where either AI/ML models are specified or trained in UE-side and NW-side servers</w:t>
      </w:r>
      <w:r w:rsidR="005B5FF0">
        <w:rPr>
          <w:lang w:val="en-GB" w:eastAsia="zh-CN"/>
        </w:rPr>
        <w:t>, all in offline manner</w:t>
      </w:r>
      <w:r>
        <w:rPr>
          <w:lang w:val="en-GB" w:eastAsia="zh-CN"/>
        </w:rPr>
        <w:t>. While each UE vendors can come up with variety of AI/ML models for covering different configuration</w:t>
      </w:r>
      <w:r w:rsidR="005B5FF0">
        <w:rPr>
          <w:lang w:val="en-GB" w:eastAsia="zh-CN"/>
        </w:rPr>
        <w:t>s</w:t>
      </w:r>
      <w:r>
        <w:rPr>
          <w:lang w:val="en-GB" w:eastAsia="zh-CN"/>
        </w:rPr>
        <w:t>, scenarios, and NW vendors, it is naturally expected that only the subset of the specified or engineered AI/ML models are available on device due to potential limit in capability of devices. Only the AI/ML models on the device shall be involved in the pairing process. RAN2 has</w:t>
      </w:r>
      <w:r w:rsidR="009E2696">
        <w:rPr>
          <w:lang w:val="en-GB" w:eastAsia="zh-CN"/>
        </w:rPr>
        <w:t xml:space="preserve"> </w:t>
      </w:r>
      <w:r>
        <w:rPr>
          <w:lang w:val="en-GB" w:eastAsia="zh-CN"/>
        </w:rPr>
        <w:t xml:space="preserve">successfully </w:t>
      </w:r>
      <w:r w:rsidR="009E2696">
        <w:rPr>
          <w:lang w:val="en-GB" w:eastAsia="zh-CN"/>
        </w:rPr>
        <w:t>designed</w:t>
      </w:r>
      <w:r>
        <w:rPr>
          <w:lang w:val="en-GB" w:eastAsia="zh-CN"/>
        </w:rPr>
        <w:t xml:space="preserve"> an overall signalling procedure for one-sided AI/ML use case of Beam Management (BM) as shown in </w:t>
      </w:r>
      <w:r w:rsidRPr="00D0119C">
        <w:rPr>
          <w:lang w:val="en-GB" w:eastAsia="zh-CN"/>
        </w:rPr>
        <w:fldChar w:fldCharType="begin"/>
      </w:r>
      <w:r w:rsidRPr="00D0119C">
        <w:rPr>
          <w:lang w:val="en-GB" w:eastAsia="zh-CN"/>
        </w:rPr>
        <w:instrText xml:space="preserve"> REF _Ref205813212 \h  \* MERGEFORMAT </w:instrText>
      </w:r>
      <w:r w:rsidRPr="00D0119C">
        <w:rPr>
          <w:lang w:val="en-GB" w:eastAsia="zh-CN"/>
        </w:rPr>
      </w:r>
      <w:r w:rsidRPr="00D0119C">
        <w:rPr>
          <w:lang w:val="en-GB" w:eastAsia="zh-CN"/>
        </w:rPr>
        <w:fldChar w:fldCharType="separate"/>
      </w:r>
      <w:r w:rsidRPr="00D0119C">
        <w:t xml:space="preserve">Figure </w:t>
      </w:r>
      <w:r w:rsidRPr="00D0119C">
        <w:rPr>
          <w:noProof/>
          <w:cs/>
        </w:rPr>
        <w:t>‎</w:t>
      </w:r>
      <w:r w:rsidRPr="00D0119C">
        <w:rPr>
          <w:noProof/>
        </w:rPr>
        <w:t>2</w:t>
      </w:r>
      <w:r w:rsidRPr="00D0119C">
        <w:noBreakHyphen/>
      </w:r>
      <w:r w:rsidRPr="00D0119C">
        <w:rPr>
          <w:noProof/>
        </w:rPr>
        <w:t>1</w:t>
      </w:r>
      <w:r w:rsidRPr="00D0119C">
        <w:rPr>
          <w:lang w:val="en-GB" w:eastAsia="zh-CN"/>
        </w:rPr>
        <w:fldChar w:fldCharType="end"/>
      </w:r>
      <w:r>
        <w:rPr>
          <w:lang w:val="en-GB" w:eastAsia="zh-CN"/>
        </w:rPr>
        <w:t xml:space="preserve"> where UE and NW can reach to a common understanding about the AI/ML-based supported config</w:t>
      </w:r>
      <w:r w:rsidR="005B5FF0">
        <w:rPr>
          <w:lang w:val="en-GB" w:eastAsia="zh-CN"/>
        </w:rPr>
        <w:t>urations</w:t>
      </w:r>
      <w:r>
        <w:rPr>
          <w:lang w:val="en-GB" w:eastAsia="zh-CN"/>
        </w:rPr>
        <w:t>/scenario</w:t>
      </w:r>
      <w:r w:rsidR="005B5FF0">
        <w:rPr>
          <w:lang w:val="en-GB" w:eastAsia="zh-CN"/>
        </w:rPr>
        <w:t>s</w:t>
      </w:r>
      <w:r>
        <w:rPr>
          <w:lang w:val="en-GB" w:eastAsia="zh-CN"/>
        </w:rPr>
        <w:t xml:space="preserve"> for doing inference and monitoring. </w:t>
      </w:r>
    </w:p>
    <w:p w14:paraId="6D3B10E2" w14:textId="77777777" w:rsidR="008D4B51" w:rsidRDefault="008D4B51" w:rsidP="001B7CDD">
      <w:pPr>
        <w:rPr>
          <w:lang w:val="en-GB" w:eastAsia="zh-CN"/>
        </w:rPr>
      </w:pPr>
    </w:p>
    <w:p w14:paraId="246B5C2D" w14:textId="123FE008" w:rsidR="008D4B51" w:rsidRDefault="00284A59" w:rsidP="008D4B51">
      <w:pPr>
        <w:keepNext/>
        <w:jc w:val="center"/>
      </w:pPr>
      <w:r w:rsidRPr="008D4B51">
        <w:rPr>
          <w:rFonts w:ascii="Aptos" w:eastAsia="DengXian" w:hAnsi="Aptos" w:cs="Arial"/>
          <w:noProof/>
          <w:sz w:val="24"/>
          <w:szCs w:val="24"/>
          <w:lang w:eastAsia="zh-CN"/>
        </w:rPr>
        <w:object w:dxaOrig="4460" w:dyaOrig="3480" w14:anchorId="14728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4.85pt;height:198.75pt;mso-width-percent:0;mso-height-percent:0;mso-width-percent:0;mso-height-percent:0" o:ole="">
            <v:imagedata r:id="rId8" o:title=""/>
          </v:shape>
          <o:OLEObject Type="Embed" ProgID="Visio.Drawing.15" ShapeID="_x0000_i1025" DrawAspect="Content" ObjectID="_1820946531" r:id="rId9"/>
        </w:object>
      </w:r>
    </w:p>
    <w:p w14:paraId="3ED2719E" w14:textId="1356023A" w:rsidR="008D4B51" w:rsidRDefault="008D4B51" w:rsidP="008D4B51">
      <w:pPr>
        <w:pStyle w:val="Caption"/>
        <w:jc w:val="center"/>
        <w:rPr>
          <w:b w:val="0"/>
          <w:bCs/>
        </w:rPr>
      </w:pPr>
      <w:bookmarkStart w:id="4" w:name="_Ref205813212"/>
      <w:r w:rsidRPr="008D4B51">
        <w:rPr>
          <w:b w:val="0"/>
          <w:bCs/>
        </w:rPr>
        <w:t xml:space="preserve">Figure </w:t>
      </w:r>
      <w:r w:rsidR="0052553C">
        <w:rPr>
          <w:b w:val="0"/>
          <w:bCs/>
        </w:rPr>
        <w:fldChar w:fldCharType="begin"/>
      </w:r>
      <w:r w:rsidR="0052553C">
        <w:rPr>
          <w:b w:val="0"/>
          <w:bCs/>
        </w:rPr>
        <w:instrText xml:space="preserve"> STYLEREF 1 \s </w:instrText>
      </w:r>
      <w:r w:rsidR="0052553C">
        <w:rPr>
          <w:b w:val="0"/>
          <w:bCs/>
        </w:rPr>
        <w:fldChar w:fldCharType="separate"/>
      </w:r>
      <w:r w:rsidR="0052553C">
        <w:rPr>
          <w:b w:val="0"/>
          <w:bCs/>
          <w:noProof/>
          <w:cs/>
        </w:rPr>
        <w:t>‎</w:t>
      </w:r>
      <w:r w:rsidR="0052553C">
        <w:rPr>
          <w:b w:val="0"/>
          <w:bCs/>
          <w:noProof/>
        </w:rPr>
        <w:t>2</w:t>
      </w:r>
      <w:r w:rsidR="0052553C">
        <w:rPr>
          <w:b w:val="0"/>
          <w:bCs/>
        </w:rPr>
        <w:fldChar w:fldCharType="end"/>
      </w:r>
      <w:r w:rsidR="0052553C">
        <w:rPr>
          <w:b w:val="0"/>
          <w:bCs/>
        </w:rPr>
        <w:noBreakHyphen/>
      </w:r>
      <w:r w:rsidR="0052553C">
        <w:rPr>
          <w:b w:val="0"/>
          <w:bCs/>
        </w:rPr>
        <w:fldChar w:fldCharType="begin"/>
      </w:r>
      <w:r w:rsidR="0052553C">
        <w:rPr>
          <w:b w:val="0"/>
          <w:bCs/>
        </w:rPr>
        <w:instrText xml:space="preserve"> SEQ Figure \* ARABIC \s 1 </w:instrText>
      </w:r>
      <w:r w:rsidR="0052553C">
        <w:rPr>
          <w:b w:val="0"/>
          <w:bCs/>
        </w:rPr>
        <w:fldChar w:fldCharType="separate"/>
      </w:r>
      <w:r w:rsidR="0052553C">
        <w:rPr>
          <w:b w:val="0"/>
          <w:bCs/>
          <w:noProof/>
        </w:rPr>
        <w:t>1</w:t>
      </w:r>
      <w:r w:rsidR="0052553C">
        <w:rPr>
          <w:b w:val="0"/>
          <w:bCs/>
        </w:rPr>
        <w:fldChar w:fldCharType="end"/>
      </w:r>
      <w:bookmarkEnd w:id="4"/>
      <w:r w:rsidRPr="008D4B51">
        <w:rPr>
          <w:b w:val="0"/>
          <w:bCs/>
        </w:rPr>
        <w:t xml:space="preserve">: Signalling procedure on applicable functionality reporting for </w:t>
      </w:r>
      <w:r>
        <w:rPr>
          <w:b w:val="0"/>
          <w:bCs/>
        </w:rPr>
        <w:t>BM</w:t>
      </w:r>
      <w:r w:rsidRPr="008D4B51">
        <w:rPr>
          <w:b w:val="0"/>
          <w:bCs/>
        </w:rPr>
        <w:t xml:space="preserve"> UE-sided model </w:t>
      </w:r>
      <w:r w:rsidRPr="008D4B51">
        <w:rPr>
          <w:b w:val="0"/>
          <w:bCs/>
        </w:rPr>
        <w:fldChar w:fldCharType="begin"/>
      </w:r>
      <w:r w:rsidRPr="008D4B51">
        <w:rPr>
          <w:b w:val="0"/>
          <w:bCs/>
        </w:rPr>
        <w:instrText xml:space="preserve"> REF _Ref205810115 \r \h </w:instrText>
      </w:r>
      <w:r>
        <w:rPr>
          <w:b w:val="0"/>
          <w:bCs/>
        </w:rPr>
        <w:instrText xml:space="preserve"> \* MERGEFORMAT </w:instrText>
      </w:r>
      <w:r w:rsidRPr="008D4B51">
        <w:rPr>
          <w:b w:val="0"/>
          <w:bCs/>
        </w:rPr>
      </w:r>
      <w:r w:rsidRPr="008D4B51">
        <w:rPr>
          <w:b w:val="0"/>
          <w:bCs/>
        </w:rPr>
        <w:fldChar w:fldCharType="separate"/>
      </w:r>
      <w:r w:rsidRPr="008D4B51">
        <w:rPr>
          <w:b w:val="0"/>
          <w:bCs/>
          <w:cs/>
        </w:rPr>
        <w:t>‎</w:t>
      </w:r>
      <w:r w:rsidRPr="008D4B51">
        <w:rPr>
          <w:b w:val="0"/>
          <w:bCs/>
        </w:rPr>
        <w:t>[2]</w:t>
      </w:r>
      <w:r w:rsidRPr="008D4B51">
        <w:rPr>
          <w:b w:val="0"/>
          <w:bCs/>
        </w:rPr>
        <w:fldChar w:fldCharType="end"/>
      </w:r>
    </w:p>
    <w:p w14:paraId="5C469D64" w14:textId="77777777" w:rsidR="006129C4" w:rsidRDefault="006129C4" w:rsidP="006129C4">
      <w:pPr>
        <w:jc w:val="both"/>
        <w:rPr>
          <w:lang w:val="en-GB" w:eastAsia="zh-CN"/>
        </w:rPr>
      </w:pPr>
      <w:r>
        <w:rPr>
          <w:lang w:val="en-GB" w:eastAsia="zh-CN"/>
        </w:rPr>
        <w:t>While this procedure is neither designed for two-sided AI/ML models nor incorporated any AI/ML model ID for the sake of pairing, the overall procedure can be re-used for two-sided AI/ML models as what follows:</w:t>
      </w:r>
    </w:p>
    <w:p w14:paraId="2583FAA5" w14:textId="202AD6CC" w:rsidR="006129C4" w:rsidRPr="006129C4" w:rsidRDefault="006129C4" w:rsidP="006129C4">
      <w:pPr>
        <w:pStyle w:val="ListParagraph"/>
        <w:numPr>
          <w:ilvl w:val="0"/>
          <w:numId w:val="42"/>
        </w:numPr>
        <w:rPr>
          <w:lang w:val="en-GB" w:eastAsia="zh-CN"/>
        </w:rPr>
      </w:pPr>
      <w:r w:rsidRPr="006129C4">
        <w:rPr>
          <w:b/>
          <w:bCs/>
          <w:i/>
          <w:iCs/>
          <w:lang w:val="en-GB" w:eastAsia="zh-CN"/>
        </w:rPr>
        <w:t>Step 1:</w:t>
      </w:r>
      <w:r w:rsidRPr="006129C4">
        <w:rPr>
          <w:lang w:val="en-GB" w:eastAsia="zh-CN"/>
        </w:rPr>
        <w:t xml:space="preserve"> Network sends UECapabilityEnqiry message to initiate the procedure to a UE reporting its AI/ML supported functionalities. </w:t>
      </w:r>
    </w:p>
    <w:p w14:paraId="5333628F" w14:textId="53743C88" w:rsidR="006129C4" w:rsidRDefault="006129C4" w:rsidP="006129C4">
      <w:pPr>
        <w:pStyle w:val="ListParagraph"/>
        <w:numPr>
          <w:ilvl w:val="0"/>
          <w:numId w:val="42"/>
        </w:numPr>
        <w:rPr>
          <w:lang w:val="en-GB" w:eastAsia="zh-CN"/>
        </w:rPr>
      </w:pPr>
      <w:r w:rsidRPr="006129C4">
        <w:rPr>
          <w:b/>
          <w:bCs/>
          <w:i/>
          <w:iCs/>
          <w:lang w:val="en-GB" w:eastAsia="zh-CN"/>
        </w:rPr>
        <w:t>Step 2:</w:t>
      </w:r>
      <w:r w:rsidRPr="006129C4">
        <w:rPr>
          <w:lang w:val="en-GB" w:eastAsia="zh-CN"/>
        </w:rPr>
        <w:t xml:space="preserve"> UE sends UECapablityInformation message to network, containing supported functionalities at the UE side.</w:t>
      </w:r>
    </w:p>
    <w:p w14:paraId="328EDD3D" w14:textId="3005C71B" w:rsidR="006129C4" w:rsidRPr="006129C4" w:rsidRDefault="006129C4" w:rsidP="00AC38EE">
      <w:pPr>
        <w:pStyle w:val="ListParagraph"/>
        <w:numPr>
          <w:ilvl w:val="0"/>
          <w:numId w:val="42"/>
        </w:numPr>
        <w:rPr>
          <w:i/>
          <w:iCs/>
          <w:lang w:val="en-GB" w:eastAsia="zh-CN"/>
        </w:rPr>
      </w:pPr>
      <w:r w:rsidRPr="006129C4">
        <w:rPr>
          <w:b/>
          <w:bCs/>
          <w:i/>
          <w:iCs/>
          <w:lang w:val="en-GB" w:eastAsia="zh-CN"/>
        </w:rPr>
        <w:t>Step 3:</w:t>
      </w:r>
      <w:r w:rsidRPr="006129C4">
        <w:rPr>
          <w:i/>
          <w:iCs/>
          <w:lang w:val="en-GB" w:eastAsia="zh-CN"/>
        </w:rPr>
        <w:t xml:space="preserve"> </w:t>
      </w:r>
      <w:r>
        <w:rPr>
          <w:lang w:val="en-GB" w:eastAsia="zh-CN"/>
        </w:rPr>
        <w:t xml:space="preserve">NW sends a sets of AI/ML model IDs available at NW-side and ready to be paired </w:t>
      </w:r>
      <w:r w:rsidR="00AC38EE">
        <w:rPr>
          <w:lang w:val="en-GB" w:eastAsia="zh-CN"/>
        </w:rPr>
        <w:t>and may provide initial configuration of each inquired AI/ML model ID.</w:t>
      </w:r>
    </w:p>
    <w:p w14:paraId="7F3DB0ED" w14:textId="6C8D35DC" w:rsidR="006129C4" w:rsidRPr="00AC38EE" w:rsidRDefault="006129C4" w:rsidP="006129C4">
      <w:pPr>
        <w:pStyle w:val="ListParagraph"/>
        <w:numPr>
          <w:ilvl w:val="0"/>
          <w:numId w:val="42"/>
        </w:numPr>
        <w:rPr>
          <w:i/>
          <w:iCs/>
          <w:lang w:val="en-GB" w:eastAsia="zh-CN"/>
        </w:rPr>
      </w:pPr>
      <w:r>
        <w:rPr>
          <w:b/>
          <w:bCs/>
          <w:i/>
          <w:iCs/>
          <w:lang w:val="en-GB" w:eastAsia="zh-CN"/>
        </w:rPr>
        <w:t>Step 4</w:t>
      </w:r>
      <w:r w:rsidRPr="00AC38EE">
        <w:rPr>
          <w:b/>
          <w:bCs/>
          <w:lang w:val="en-GB" w:eastAsia="zh-CN"/>
        </w:rPr>
        <w:t>:</w:t>
      </w:r>
      <w:r>
        <w:rPr>
          <w:b/>
          <w:bCs/>
          <w:lang w:val="en-GB" w:eastAsia="zh-CN"/>
        </w:rPr>
        <w:t xml:space="preserve"> </w:t>
      </w:r>
      <w:r w:rsidR="00AC38EE" w:rsidRPr="00AC38EE">
        <w:rPr>
          <w:lang w:val="en-GB" w:eastAsia="zh-CN"/>
        </w:rPr>
        <w:t xml:space="preserve">UE reports applicable </w:t>
      </w:r>
      <w:r w:rsidR="00AC38EE">
        <w:rPr>
          <w:lang w:val="en-GB" w:eastAsia="zh-CN"/>
        </w:rPr>
        <w:t>AI/ML model IDs</w:t>
      </w:r>
      <w:r w:rsidR="00AC38EE" w:rsidRPr="00AC38EE">
        <w:rPr>
          <w:lang w:val="en-GB" w:eastAsia="zh-CN"/>
        </w:rPr>
        <w:t xml:space="preserve"> </w:t>
      </w:r>
      <w:r w:rsidR="00AC38EE">
        <w:rPr>
          <w:lang w:val="en-GB" w:eastAsia="zh-CN"/>
        </w:rPr>
        <w:t>corresponding to the AI/ML model IDs inquired by NW during step 3.</w:t>
      </w:r>
    </w:p>
    <w:p w14:paraId="4CEF4FC4" w14:textId="39C9EB7F" w:rsidR="00C22A30" w:rsidRPr="00C22A30" w:rsidRDefault="00AC38EE" w:rsidP="006129C4">
      <w:pPr>
        <w:pStyle w:val="ListParagraph"/>
        <w:numPr>
          <w:ilvl w:val="0"/>
          <w:numId w:val="42"/>
        </w:numPr>
        <w:rPr>
          <w:i/>
          <w:iCs/>
          <w:lang w:val="en-GB" w:eastAsia="zh-CN"/>
        </w:rPr>
      </w:pPr>
      <w:r>
        <w:rPr>
          <w:b/>
          <w:bCs/>
          <w:i/>
          <w:iCs/>
          <w:lang w:val="en-GB" w:eastAsia="zh-CN"/>
        </w:rPr>
        <w:t>Step 5</w:t>
      </w:r>
      <w:r w:rsidRPr="00AC38EE">
        <w:rPr>
          <w:b/>
          <w:bCs/>
          <w:lang w:val="en-GB" w:eastAsia="zh-CN"/>
        </w:rPr>
        <w:t>:</w:t>
      </w:r>
      <w:r>
        <w:rPr>
          <w:b/>
          <w:bCs/>
          <w:lang w:val="en-GB" w:eastAsia="zh-CN"/>
        </w:rPr>
        <w:t xml:space="preserve"> </w:t>
      </w:r>
      <w:r w:rsidRPr="00AC38EE">
        <w:rPr>
          <w:lang w:val="en-GB" w:eastAsia="zh-CN"/>
        </w:rPr>
        <w:t>NW</w:t>
      </w:r>
      <w:r>
        <w:rPr>
          <w:lang w:val="en-GB" w:eastAsia="zh-CN"/>
        </w:rPr>
        <w:t xml:space="preserve"> configures a set of applicable AI/ML models based on the report received in step 4 from </w:t>
      </w:r>
      <w:r w:rsidR="005B5FF0">
        <w:rPr>
          <w:lang w:val="en-GB" w:eastAsia="zh-CN"/>
        </w:rPr>
        <w:t>UE and</w:t>
      </w:r>
      <w:r>
        <w:rPr>
          <w:lang w:val="en-GB" w:eastAsia="zh-CN"/>
        </w:rPr>
        <w:t xml:space="preserve"> may provide updated configurations compared to step 3.</w:t>
      </w:r>
    </w:p>
    <w:p w14:paraId="520D63F6" w14:textId="3E2A0E86" w:rsidR="00AC38EE" w:rsidRDefault="00C22A30" w:rsidP="005556B5">
      <w:pPr>
        <w:pStyle w:val="Proposal"/>
      </w:pPr>
      <w:r>
        <w:t>For pairing and applicability report of two-sided AI/ML models using AI/ML model ID, the following procedure is proposed as the starting point of discussion:</w:t>
      </w:r>
    </w:p>
    <w:p w14:paraId="39BD6917"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1: Network sends UECapabilityEnqiry message to initiate the procedure to a UE reporting its AI/ML supported functionalities. </w:t>
      </w:r>
    </w:p>
    <w:p w14:paraId="32757312"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Step 2: UE sends UECapablityInformation message to network, containing supported functionalities at the UE side.</w:t>
      </w:r>
    </w:p>
    <w:p w14:paraId="5ECC399A"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Step 3: NW sends a sets of AI/ML model IDs available at NW-side and ready to be paired and may provide initial configuration of each inquired AI/ML model ID.</w:t>
      </w:r>
    </w:p>
    <w:p w14:paraId="5BCAAE66"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Step 4: UE reports applicable AI/ML model IDs corresponding to the AI/ML model IDs inquired by NW during step 3.</w:t>
      </w:r>
    </w:p>
    <w:p w14:paraId="099156A6" w14:textId="22F61B74"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5: NW configures a set of applicable AI/ML models based on the report received in step 4 from </w:t>
      </w:r>
      <w:r w:rsidR="005B5FF0" w:rsidRPr="00C22A30">
        <w:rPr>
          <w:b/>
          <w:bCs/>
          <w:lang w:val="en-GB" w:eastAsia="zh-CN"/>
        </w:rPr>
        <w:t>UE and</w:t>
      </w:r>
      <w:r w:rsidRPr="00C22A30">
        <w:rPr>
          <w:b/>
          <w:bCs/>
          <w:lang w:val="en-GB" w:eastAsia="zh-CN"/>
        </w:rPr>
        <w:t xml:space="preserve"> may provide updated configurations compared to step 3.</w:t>
      </w:r>
    </w:p>
    <w:p w14:paraId="5D14BBF9" w14:textId="63DF0FFE" w:rsidR="009926A4" w:rsidRDefault="00391A7D" w:rsidP="009926A4">
      <w:pPr>
        <w:pStyle w:val="Heading2"/>
        <w:rPr>
          <w:rFonts w:eastAsia="DengXian"/>
          <w:lang w:val="en-GB" w:eastAsia="zh-CN"/>
        </w:rPr>
      </w:pPr>
      <w:r>
        <w:rPr>
          <w:rFonts w:eastAsia="DengXian"/>
          <w:lang w:val="en-GB" w:eastAsia="zh-CN"/>
        </w:rPr>
        <w:t xml:space="preserve">CQI/RI </w:t>
      </w:r>
      <w:r w:rsidR="001D3ADA">
        <w:rPr>
          <w:rFonts w:eastAsia="DengXian"/>
          <w:lang w:val="en-GB" w:eastAsia="zh-CN"/>
        </w:rPr>
        <w:t>D</w:t>
      </w:r>
      <w:r>
        <w:rPr>
          <w:rFonts w:eastAsia="DengXian"/>
          <w:lang w:val="en-GB" w:eastAsia="zh-CN"/>
        </w:rPr>
        <w:t>etermination</w:t>
      </w:r>
    </w:p>
    <w:p w14:paraId="39B7DDEA" w14:textId="0FE0335C" w:rsidR="001B7CDD" w:rsidRDefault="00A35418" w:rsidP="00F858E6">
      <w:pPr>
        <w:jc w:val="both"/>
        <w:rPr>
          <w:lang w:val="en-GB" w:eastAsia="zh-CN"/>
        </w:rPr>
      </w:pPr>
      <w:r>
        <w:rPr>
          <w:lang w:val="en-GB" w:eastAsia="zh-CN"/>
        </w:rPr>
        <w:t>One important aspect to consider for execution of AI/ML models during inference</w:t>
      </w:r>
      <w:r w:rsidR="00C22A30">
        <w:rPr>
          <w:lang w:val="en-GB" w:eastAsia="zh-CN"/>
        </w:rPr>
        <w:t xml:space="preserve"> and </w:t>
      </w:r>
      <w:r w:rsidR="00F858E6">
        <w:rPr>
          <w:lang w:val="en-GB" w:eastAsia="zh-CN"/>
        </w:rPr>
        <w:t>their achievable throughput</w:t>
      </w:r>
      <w:r>
        <w:rPr>
          <w:lang w:val="en-GB" w:eastAsia="zh-CN"/>
        </w:rPr>
        <w:t xml:space="preserve"> is how the CQI and RI </w:t>
      </w:r>
      <w:r w:rsidR="00F858E6">
        <w:rPr>
          <w:lang w:val="en-GB" w:eastAsia="zh-CN"/>
        </w:rPr>
        <w:t>are</w:t>
      </w:r>
      <w:r>
        <w:rPr>
          <w:lang w:val="en-GB" w:eastAsia="zh-CN"/>
        </w:rPr>
        <w:t xml:space="preserve"> calculated after </w:t>
      </w:r>
      <w:r w:rsidR="00F858E6">
        <w:rPr>
          <w:lang w:val="en-GB" w:eastAsia="zh-CN"/>
        </w:rPr>
        <w:t xml:space="preserve">UE’s CSI </w:t>
      </w:r>
      <w:r>
        <w:rPr>
          <w:lang w:val="en-GB" w:eastAsia="zh-CN"/>
        </w:rPr>
        <w:t>measurement</w:t>
      </w:r>
      <w:r w:rsidR="00F858E6">
        <w:rPr>
          <w:lang w:val="en-GB" w:eastAsia="zh-CN"/>
        </w:rPr>
        <w:t>s</w:t>
      </w:r>
      <w:r>
        <w:rPr>
          <w:lang w:val="en-GB" w:eastAsia="zh-CN"/>
        </w:rPr>
        <w:t>.</w:t>
      </w:r>
      <w:r w:rsidR="00F858E6">
        <w:rPr>
          <w:lang w:val="en-GB" w:eastAsia="zh-CN"/>
        </w:rPr>
        <w:t xml:space="preserve"> This is a challenging task since </w:t>
      </w:r>
      <w:r w:rsidR="00F858E6">
        <w:rPr>
          <w:lang w:val="en-GB" w:eastAsia="zh-CN"/>
        </w:rPr>
        <w:lastRenderedPageBreak/>
        <w:t xml:space="preserve">due to two-sidedness of AI/ML model for CSI </w:t>
      </w:r>
      <w:r w:rsidR="005B4EDA">
        <w:rPr>
          <w:lang w:val="en-GB" w:eastAsia="zh-CN"/>
        </w:rPr>
        <w:t>compression, the</w:t>
      </w:r>
      <w:r w:rsidR="00F858E6">
        <w:rPr>
          <w:lang w:val="en-GB" w:eastAsia="zh-CN"/>
        </w:rPr>
        <w:t xml:space="preserve"> recovered CSI at NW side may not fully match with UE’s measured CSI. While CQI and RI determinations are coupled, RAN1 has </w:t>
      </w:r>
      <w:r w:rsidR="005978DB">
        <w:rPr>
          <w:lang w:val="en-GB" w:eastAsia="zh-CN"/>
        </w:rPr>
        <w:t xml:space="preserve">only </w:t>
      </w:r>
      <w:r w:rsidR="00F858E6">
        <w:rPr>
          <w:lang w:val="en-GB" w:eastAsia="zh-CN"/>
        </w:rPr>
        <w:t>made the following agreements on the possible options for CQI calculations</w:t>
      </w:r>
      <w:r w:rsidR="005978DB">
        <w:rPr>
          <w:lang w:val="en-GB" w:eastAsia="zh-CN"/>
        </w:rPr>
        <w:t xml:space="preserve"> within a determined rank</w:t>
      </w:r>
      <w:r w:rsidR="00F858E6">
        <w:rPr>
          <w:lang w:val="en-GB" w:eastAsia="zh-CN"/>
        </w:rPr>
        <w:t xml:space="preserve">.   </w:t>
      </w:r>
    </w:p>
    <w:p w14:paraId="1A90FDC3" w14:textId="77777777" w:rsidR="00284A59" w:rsidRDefault="00284A59" w:rsidP="00F858E6">
      <w:pPr>
        <w:jc w:val="both"/>
        <w:rPr>
          <w:lang w:val="en-GB" w:eastAsia="zh-CN"/>
        </w:rPr>
      </w:pPr>
    </w:p>
    <w:tbl>
      <w:tblPr>
        <w:tblStyle w:val="TableGrid"/>
        <w:tblW w:w="0" w:type="auto"/>
        <w:tblLook w:val="04A0" w:firstRow="1" w:lastRow="0" w:firstColumn="1" w:lastColumn="0" w:noHBand="0" w:noVBand="1"/>
      </w:tblPr>
      <w:tblGrid>
        <w:gridCol w:w="9631"/>
      </w:tblGrid>
      <w:tr w:rsidR="001D3ADA" w14:paraId="5A05249B" w14:textId="77777777" w:rsidTr="001D3ADA">
        <w:tc>
          <w:tcPr>
            <w:tcW w:w="9631" w:type="dxa"/>
          </w:tcPr>
          <w:p w14:paraId="5A314C71" w14:textId="00C4820E" w:rsidR="001D3ADA" w:rsidRPr="001D3ADA" w:rsidRDefault="001D3ADA" w:rsidP="001D3ADA">
            <w:pPr>
              <w:spacing w:after="160" w:line="256" w:lineRule="auto"/>
              <w:rPr>
                <w:rFonts w:ascii="Calibri" w:eastAsia="DengXian" w:hAnsi="Calibri" w:cs="Arial"/>
                <w:kern w:val="2"/>
                <w:highlight w:val="green"/>
                <w:lang w:eastAsia="zh-CN"/>
                <w14:ligatures w14:val="standardContextual"/>
              </w:rPr>
            </w:pPr>
            <w:r w:rsidRPr="001D3ADA">
              <w:rPr>
                <w:rFonts w:ascii="Calibri" w:eastAsia="DengXian" w:hAnsi="Calibri" w:cs="Arial"/>
                <w:kern w:val="2"/>
                <w:highlight w:val="green"/>
                <w:lang w:eastAsia="zh-CN"/>
                <w14:ligatures w14:val="standardContextual"/>
              </w:rPr>
              <w:t>Agreement</w:t>
            </w:r>
            <w:r>
              <w:rPr>
                <w:rFonts w:ascii="Calibri" w:eastAsia="DengXian" w:hAnsi="Calibri" w:cs="Arial"/>
                <w:kern w:val="2"/>
                <w:highlight w:val="green"/>
                <w:lang w:eastAsia="zh-CN"/>
                <w14:ligatures w14:val="standardContextual"/>
              </w:rPr>
              <w:t xml:space="preserve"> </w:t>
            </w:r>
            <w:r>
              <w:rPr>
                <w:rFonts w:ascii="Calibri" w:eastAsia="DengXian" w:hAnsi="Calibri" w:cs="Arial"/>
                <w:kern w:val="2"/>
                <w:highlight w:val="green"/>
                <w:lang w:eastAsia="zh-CN"/>
                <w14:ligatures w14:val="standardContextual"/>
              </w:rPr>
              <w:fldChar w:fldCharType="begin"/>
            </w:r>
            <w:r>
              <w:rPr>
                <w:rFonts w:ascii="Calibri" w:eastAsia="DengXian" w:hAnsi="Calibri" w:cs="Arial"/>
                <w:kern w:val="2"/>
                <w:highlight w:val="green"/>
                <w:lang w:eastAsia="zh-CN"/>
                <w14:ligatures w14:val="standardContextual"/>
              </w:rPr>
              <w:instrText xml:space="preserve"> REF _Ref205809421 \r \h </w:instrText>
            </w:r>
            <w:r>
              <w:rPr>
                <w:rFonts w:ascii="Calibri" w:eastAsia="DengXian" w:hAnsi="Calibri" w:cs="Arial"/>
                <w:kern w:val="2"/>
                <w:highlight w:val="green"/>
                <w:lang w:eastAsia="zh-CN"/>
                <w14:ligatures w14:val="standardContextual"/>
              </w:rPr>
            </w:r>
            <w:r>
              <w:rPr>
                <w:rFonts w:ascii="Calibri" w:eastAsia="DengXian" w:hAnsi="Calibri" w:cs="Arial"/>
                <w:kern w:val="2"/>
                <w:highlight w:val="green"/>
                <w:lang w:eastAsia="zh-CN"/>
                <w14:ligatures w14:val="standardContextual"/>
              </w:rPr>
              <w:fldChar w:fldCharType="separate"/>
            </w:r>
            <w:r>
              <w:rPr>
                <w:rFonts w:ascii="Calibri" w:eastAsia="DengXian" w:hAnsi="Calibri" w:cs="Arial"/>
                <w:kern w:val="2"/>
                <w:highlight w:val="green"/>
                <w:cs/>
                <w:lang w:eastAsia="zh-CN"/>
                <w14:ligatures w14:val="standardContextual"/>
              </w:rPr>
              <w:t>‎</w:t>
            </w:r>
            <w:r>
              <w:rPr>
                <w:rFonts w:ascii="Calibri" w:eastAsia="DengXian" w:hAnsi="Calibri" w:cs="Arial"/>
                <w:kern w:val="2"/>
                <w:highlight w:val="green"/>
                <w:lang w:eastAsia="zh-CN"/>
                <w14:ligatures w14:val="standardContextual"/>
              </w:rPr>
              <w:t>[3]</w:t>
            </w:r>
            <w:r>
              <w:rPr>
                <w:rFonts w:ascii="Calibri" w:eastAsia="DengXian" w:hAnsi="Calibri" w:cs="Arial"/>
                <w:kern w:val="2"/>
                <w:highlight w:val="green"/>
                <w:lang w:eastAsia="zh-CN"/>
                <w14:ligatures w14:val="standardContextual"/>
              </w:rPr>
              <w:fldChar w:fldCharType="end"/>
            </w:r>
          </w:p>
          <w:p w14:paraId="304E6C89" w14:textId="77777777" w:rsidR="001D3ADA" w:rsidRPr="001D3ADA" w:rsidRDefault="001D3ADA" w:rsidP="001D3ADA">
            <w:pPr>
              <w:spacing w:after="160" w:line="256" w:lineRule="auto"/>
              <w:rPr>
                <w:rFonts w:ascii="Calibri" w:eastAsia="Malgun Gothic" w:hAnsi="Calibri" w:cs="Arial"/>
                <w:b/>
                <w:bCs/>
                <w:i/>
                <w:iCs/>
                <w:kern w:val="2"/>
                <w:sz w:val="16"/>
                <w:szCs w:val="16"/>
                <w14:ligatures w14:val="standardContextual"/>
              </w:rPr>
            </w:pPr>
            <w:r w:rsidRPr="001D3ADA">
              <w:rPr>
                <w:rFonts w:ascii="Calibri" w:eastAsia="Malgun Gothic" w:hAnsi="Calibri" w:cs="Arial"/>
                <w:b/>
                <w:bCs/>
                <w:i/>
                <w:iCs/>
                <w:kern w:val="2"/>
                <w:sz w:val="16"/>
                <w:szCs w:val="16"/>
                <w:lang w:eastAsia="zh-CN"/>
                <w14:ligatures w14:val="standardContextual"/>
              </w:rPr>
              <w:t xml:space="preserve">In CSI compression using two-sided model use case, further study the following options for CQI determination in CSI report, if CQI in CSI report is configured.    </w:t>
            </w:r>
          </w:p>
          <w:p w14:paraId="4BA6834F"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1: </w:t>
            </w:r>
            <w:r w:rsidRPr="001D3ADA">
              <w:rPr>
                <w:rFonts w:eastAsia="Malgun Gothic" w:cs="Times"/>
                <w:b/>
                <w:bCs/>
                <w:i/>
                <w:iCs/>
                <w:sz w:val="16"/>
                <w:szCs w:val="16"/>
                <w:lang w:val="en-GB" w:eastAsia="x-none"/>
              </w:rPr>
              <w:t>CQI is NOT calculated based on the output of CSI reconstruction part from the realistic channel estimation, including</w:t>
            </w:r>
          </w:p>
          <w:p w14:paraId="4E08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1a: CQI is calculated based on target CSI with realistic channel measurement  </w:t>
            </w:r>
          </w:p>
          <w:p w14:paraId="2EDB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1b: CQI is calculated based on target CSI with realistic channel measurement and potential adjustment </w:t>
            </w:r>
          </w:p>
          <w:p w14:paraId="2D82387A"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Option 1c: CQI is calculated based on legacy codebook</w:t>
            </w:r>
          </w:p>
          <w:p w14:paraId="77BD7489"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2: </w:t>
            </w:r>
            <w:r w:rsidRPr="001D3ADA">
              <w:rPr>
                <w:rFonts w:eastAsia="Malgun Gothic" w:cs="Times"/>
                <w:b/>
                <w:bCs/>
                <w:i/>
                <w:iCs/>
                <w:sz w:val="16"/>
                <w:szCs w:val="16"/>
                <w:lang w:val="en-GB" w:eastAsia="x-none"/>
              </w:rPr>
              <w:t>CQI is calculated based on the output of CSI reconstruction part from the realistic channel estimation, including</w:t>
            </w:r>
          </w:p>
          <w:p w14:paraId="3A2CB244"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Option 2a: CQI is calculated based on CSI reconstruction output, if CSI reconstruction model is available at the UE and UE can perform reconstruction model inference with potential adjustment</w:t>
            </w:r>
          </w:p>
          <w:p w14:paraId="5FBFB657" w14:textId="77777777" w:rsidR="001D3ADA" w:rsidRPr="001D3ADA" w:rsidRDefault="001D3ADA" w:rsidP="001D3ADA">
            <w:pPr>
              <w:numPr>
                <w:ilvl w:val="2"/>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Note: CSI reconstruction part at the UE can be different comparing to the actual CSI reconstruction part used at the NW. </w:t>
            </w:r>
          </w:p>
          <w:p w14:paraId="58C30710"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2b: CQI is calculated using two stage approach, UE derive CQI using precoded CSI-RS transmitted with a reconstructed precoder.   </w:t>
            </w:r>
          </w:p>
          <w:p w14:paraId="4CF2DA63" w14:textId="77777777" w:rsidR="001D3ADA" w:rsidRPr="001D3ADA" w:rsidRDefault="001D3ADA" w:rsidP="001D3ADA">
            <w:pPr>
              <w:numPr>
                <w:ilvl w:val="0"/>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Other options are not precluded</w:t>
            </w:r>
          </w:p>
          <w:p w14:paraId="1BB0DF2F"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Note1: feasibility of different options should be evaluated </w:t>
            </w:r>
          </w:p>
          <w:p w14:paraId="6B6ED208"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Note2: Gap analyses between the UE side CQI calculation results and the NW side results, as well as the impact on the scheduling performance should be evaluated</w:t>
            </w:r>
          </w:p>
          <w:p w14:paraId="157C7372"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Note3: Complexity of CQI calculation needs to be evaluated,</w:t>
            </w:r>
            <w:r w:rsidRPr="001D3ADA">
              <w:rPr>
                <w:rFonts w:ascii="Times" w:eastAsia="Malgun Gothic" w:hAnsi="Times" w:cs="Times"/>
                <w:b/>
                <w:bCs/>
                <w:i/>
                <w:iCs/>
                <w:sz w:val="16"/>
                <w:szCs w:val="16"/>
                <w:lang w:val="en-GB" w:eastAsia="x-none"/>
              </w:rPr>
              <w:t xml:space="preserve"> including the computing complexity and potential RS/signaling overhead</w:t>
            </w:r>
          </w:p>
          <w:p w14:paraId="2197DCFA" w14:textId="77777777" w:rsidR="001D3ADA" w:rsidRDefault="001D3ADA" w:rsidP="001B7CDD">
            <w:pPr>
              <w:rPr>
                <w:lang w:val="en-GB" w:eastAsia="zh-CN"/>
              </w:rPr>
            </w:pPr>
          </w:p>
        </w:tc>
      </w:tr>
    </w:tbl>
    <w:p w14:paraId="0F3CFEF1" w14:textId="77777777" w:rsidR="009E2696" w:rsidRDefault="009E2696" w:rsidP="001B02F3">
      <w:pPr>
        <w:jc w:val="both"/>
        <w:rPr>
          <w:lang w:val="en-GB" w:eastAsia="zh-CN"/>
        </w:rPr>
      </w:pPr>
    </w:p>
    <w:p w14:paraId="2170C3BE" w14:textId="6BD5ECAA" w:rsidR="005A435C" w:rsidRDefault="001B02F3" w:rsidP="001B02F3">
      <w:pPr>
        <w:jc w:val="both"/>
        <w:rPr>
          <w:lang w:val="en-GB" w:eastAsia="zh-CN"/>
        </w:rPr>
      </w:pPr>
      <w:r>
        <w:rPr>
          <w:lang w:val="en-GB" w:eastAsia="zh-CN"/>
        </w:rPr>
        <w:t xml:space="preserve">In our view, option 2a and 2b should be deprioritized due to two reasons: i) the CSI reconstruction part of AI/ML model is not available at the UE based on agreed inter-vendor collaboration schemes of Direction A with sub-option 3a-1 and Direction A with sub-option 4-1. Even if a hypothetical decoder is trained at the UE side, there is no guarantee that the recovered CSI from hypothetical decoder fully matches with that of the actual decoder at the NW side. ii) </w:t>
      </w:r>
      <w:r w:rsidR="009E2696">
        <w:rPr>
          <w:lang w:val="en-GB" w:eastAsia="zh-CN"/>
        </w:rPr>
        <w:t>I</w:t>
      </w:r>
      <w:r>
        <w:rPr>
          <w:lang w:val="en-GB" w:eastAsia="zh-CN"/>
        </w:rPr>
        <w:t xml:space="preserve">f the training collaboration C is used and specified decoder is naturally </w:t>
      </w:r>
      <w:r w:rsidR="005B5FF0">
        <w:rPr>
          <w:lang w:val="en-GB" w:eastAsia="zh-CN"/>
        </w:rPr>
        <w:t>known</w:t>
      </w:r>
      <w:r>
        <w:rPr>
          <w:lang w:val="en-GB" w:eastAsia="zh-CN"/>
        </w:rPr>
        <w:t xml:space="preserve"> by </w:t>
      </w:r>
      <w:r w:rsidR="005B5FF0">
        <w:rPr>
          <w:lang w:val="en-GB" w:eastAsia="zh-CN"/>
        </w:rPr>
        <w:t xml:space="preserve">the </w:t>
      </w:r>
      <w:r>
        <w:rPr>
          <w:lang w:val="en-GB" w:eastAsia="zh-CN"/>
        </w:rPr>
        <w:t xml:space="preserve">UE, its execution entails excessive complexity for each inference report.  Also, the option 1c suffers from compression loss </w:t>
      </w:r>
      <w:r w:rsidR="009E2696">
        <w:rPr>
          <w:lang w:val="en-GB" w:eastAsia="zh-CN"/>
        </w:rPr>
        <w:t>due to</w:t>
      </w:r>
      <w:r>
        <w:rPr>
          <w:lang w:val="en-GB" w:eastAsia="zh-CN"/>
        </w:rPr>
        <w:t xml:space="preserve"> mapping the measured CSI into the legacy codebook. This loss impacts the CQI calculation yet does not resolves the CQI mismatch issues as the output of NW’s decoder</w:t>
      </w:r>
      <w:r w:rsidR="005B5FF0">
        <w:rPr>
          <w:lang w:val="en-GB" w:eastAsia="zh-CN"/>
        </w:rPr>
        <w:t xml:space="preserve"> </w:t>
      </w:r>
      <w:r>
        <w:rPr>
          <w:lang w:val="en-GB" w:eastAsia="zh-CN"/>
        </w:rPr>
        <w:t xml:space="preserve">is not necessarily from legacy </w:t>
      </w:r>
      <w:r w:rsidR="005A435C">
        <w:rPr>
          <w:lang w:val="en-GB" w:eastAsia="zh-CN"/>
        </w:rPr>
        <w:t>codebook. In our view, option 1a and 1b are more practical. In option 1a, the UE uses the measurement to calculate CQI under hypothesized RI, and report</w:t>
      </w:r>
      <w:r w:rsidR="009E2696">
        <w:rPr>
          <w:lang w:val="en-GB" w:eastAsia="zh-CN"/>
        </w:rPr>
        <w:t>s</w:t>
      </w:r>
      <w:r w:rsidR="005A435C">
        <w:rPr>
          <w:lang w:val="en-GB" w:eastAsia="zh-CN"/>
        </w:rPr>
        <w:t xml:space="preserve"> both to the NW. NW can </w:t>
      </w:r>
      <w:r w:rsidR="005B5FF0">
        <w:rPr>
          <w:lang w:val="en-GB" w:eastAsia="zh-CN"/>
        </w:rPr>
        <w:t xml:space="preserve">anyway </w:t>
      </w:r>
      <w:r w:rsidR="005A435C">
        <w:rPr>
          <w:lang w:val="en-GB" w:eastAsia="zh-CN"/>
        </w:rPr>
        <w:t xml:space="preserve">adjust the reported CQI to do the downlink transmissions. While knowing and applying potential adjustment to UE opens up a new optimization </w:t>
      </w:r>
      <w:r w:rsidR="005B4EDA">
        <w:rPr>
          <w:lang w:val="en-GB" w:eastAsia="zh-CN"/>
        </w:rPr>
        <w:t>room</w:t>
      </w:r>
      <w:r w:rsidR="005A435C">
        <w:rPr>
          <w:lang w:val="en-GB" w:eastAsia="zh-CN"/>
        </w:rPr>
        <w:t xml:space="preserve"> for UE in CQI and RI determination, whether and how this adjustment is </w:t>
      </w:r>
      <w:r w:rsidR="009E2696">
        <w:rPr>
          <w:lang w:val="en-GB" w:eastAsia="zh-CN"/>
        </w:rPr>
        <w:t>performed</w:t>
      </w:r>
      <w:r w:rsidR="005A435C">
        <w:rPr>
          <w:lang w:val="en-GB" w:eastAsia="zh-CN"/>
        </w:rPr>
        <w:t xml:space="preserve"> needs further clarification by proponents.</w:t>
      </w:r>
    </w:p>
    <w:p w14:paraId="25B59E39" w14:textId="3AA08972" w:rsidR="001B02F3" w:rsidRDefault="005A435C" w:rsidP="005556B5">
      <w:pPr>
        <w:pStyle w:val="Proposal"/>
      </w:pPr>
      <w:r>
        <w:t>For CQI determination using two-sided AI/ML models for CSI compression: i) deprioriti</w:t>
      </w:r>
      <w:r w:rsidR="005B5FF0">
        <w:t>z</w:t>
      </w:r>
      <w:r>
        <w:t xml:space="preserve">e sub-options 1c, 2a, and 2b; and ii) Further clarify potential adjustment in option 1b.  </w:t>
      </w:r>
    </w:p>
    <w:p w14:paraId="5C1814CE" w14:textId="77777777" w:rsidR="00284A59" w:rsidRPr="001B7CDD" w:rsidRDefault="00284A59" w:rsidP="00284A59">
      <w:pPr>
        <w:pStyle w:val="Proposal"/>
        <w:numPr>
          <w:ilvl w:val="0"/>
          <w:numId w:val="0"/>
        </w:numPr>
      </w:pPr>
    </w:p>
    <w:p w14:paraId="5DC0FED8" w14:textId="5787306B" w:rsidR="009926A4" w:rsidRDefault="00391A7D" w:rsidP="009926A4">
      <w:pPr>
        <w:pStyle w:val="Heading2"/>
        <w:rPr>
          <w:lang w:val="en-GB"/>
        </w:rPr>
      </w:pPr>
      <w:r>
        <w:rPr>
          <w:lang w:val="en-GB"/>
        </w:rPr>
        <w:t xml:space="preserve">Priority </w:t>
      </w:r>
      <w:r w:rsidR="001D3ADA">
        <w:rPr>
          <w:lang w:val="en-GB"/>
        </w:rPr>
        <w:t>R</w:t>
      </w:r>
      <w:r>
        <w:rPr>
          <w:lang w:val="en-GB"/>
        </w:rPr>
        <w:t>ules for CSI Reports</w:t>
      </w:r>
    </w:p>
    <w:p w14:paraId="1FC1BF38" w14:textId="5B5CBB3C" w:rsidR="00BB1E6C" w:rsidRDefault="00E610DB" w:rsidP="00BB1E6C">
      <w:pPr>
        <w:jc w:val="both"/>
        <w:rPr>
          <w:lang w:val="en-GB"/>
        </w:rPr>
      </w:pPr>
      <w:r w:rsidRPr="00E610DB">
        <w:rPr>
          <w:lang w:val="en-GB"/>
        </w:rPr>
        <w:t xml:space="preserve">CSI priority rules are essential when multiple CSI reports are triggered or overlap in time, requiring UE to prioritize and select the most critical information to feedback to the </w:t>
      </w:r>
      <w:r>
        <w:rPr>
          <w:lang w:val="en-GB"/>
        </w:rPr>
        <w:t>NW</w:t>
      </w:r>
      <w:r w:rsidRPr="00E610DB">
        <w:rPr>
          <w:lang w:val="en-GB"/>
        </w:rPr>
        <w:t>.</w:t>
      </w:r>
      <w:r>
        <w:rPr>
          <w:lang w:val="en-GB"/>
        </w:rPr>
        <w:t xml:space="preserve"> While there are several legacy rules regarding CSI priority rules, those rules fall short once we introduce three new types of CSI reports for inference, monitoring, and training data collection</w:t>
      </w:r>
      <w:r w:rsidR="009E2696">
        <w:rPr>
          <w:lang w:val="en-GB"/>
        </w:rPr>
        <w:t xml:space="preserve"> for AI/ML model</w:t>
      </w:r>
      <w:r w:rsidR="005B5FF0">
        <w:rPr>
          <w:lang w:val="en-GB"/>
        </w:rPr>
        <w:t>s</w:t>
      </w:r>
      <w:r>
        <w:rPr>
          <w:lang w:val="en-GB"/>
        </w:rPr>
        <w:t xml:space="preserve">. </w:t>
      </w:r>
      <w:r w:rsidR="00BB1E6C">
        <w:rPr>
          <w:lang w:val="en-GB"/>
        </w:rPr>
        <w:t>Albeit</w:t>
      </w:r>
      <w:r>
        <w:rPr>
          <w:lang w:val="en-GB"/>
        </w:rPr>
        <w:t xml:space="preserve"> within each of these CSI report </w:t>
      </w:r>
      <w:r w:rsidR="00BB1E6C">
        <w:rPr>
          <w:lang w:val="en-GB"/>
        </w:rPr>
        <w:t>types</w:t>
      </w:r>
      <w:r>
        <w:rPr>
          <w:lang w:val="en-GB"/>
        </w:rPr>
        <w:t xml:space="preserve"> legacy rules can be re-used. For instance, within monitoring reports, the order of reports based on periodicity from highest to lowest can be aperiodic (AP), semi-persistent (SP), and periodic (P). </w:t>
      </w:r>
    </w:p>
    <w:p w14:paraId="08EB539F" w14:textId="25A1C277" w:rsidR="001B7CDD" w:rsidRDefault="00BB1E6C" w:rsidP="00BB1E6C">
      <w:pPr>
        <w:jc w:val="both"/>
        <w:rPr>
          <w:lang w:val="en-GB"/>
        </w:rPr>
      </w:pPr>
      <w:r>
        <w:rPr>
          <w:lang w:val="en-GB"/>
        </w:rPr>
        <w:t>For AI/ML related reports, CSI reports configured for data collection should have the lowest priority given the fact that the training is happening offline, and freshness of CSI samples for training is not an issue</w:t>
      </w:r>
      <w:r w:rsidR="006E4162">
        <w:rPr>
          <w:lang w:val="en-GB"/>
        </w:rPr>
        <w:t xml:space="preserve"> unlike </w:t>
      </w:r>
      <w:r w:rsidR="006E4162">
        <w:rPr>
          <w:lang w:val="en-GB"/>
        </w:rPr>
        <w:lastRenderedPageBreak/>
        <w:t>monitoring and inference</w:t>
      </w:r>
      <w:r>
        <w:rPr>
          <w:lang w:val="en-GB"/>
        </w:rPr>
        <w:t xml:space="preserve">. </w:t>
      </w:r>
      <w:r w:rsidR="006E4162">
        <w:rPr>
          <w:lang w:val="en-GB"/>
        </w:rPr>
        <w:t>For monitoring and inference, we suggest following the same logic as AI/ML BM use case where inference and monitoring have the same priority. The rationale behind this is the inference related measurement and reports can be used to trigger a monitoring procedure as well. For example, upon an</w:t>
      </w:r>
      <w:r w:rsidR="005123C1">
        <w:rPr>
          <w:lang w:val="en-GB"/>
        </w:rPr>
        <w:t xml:space="preserve"> </w:t>
      </w:r>
      <w:r w:rsidR="006E4162">
        <w:rPr>
          <w:lang w:val="en-GB"/>
        </w:rPr>
        <w:t>inference, UE observes statistical anomaly in measured CSI and suggest an event-trigger monitoring</w:t>
      </w:r>
      <w:r w:rsidR="009E2696">
        <w:rPr>
          <w:lang w:val="en-GB"/>
        </w:rPr>
        <w:t>, or NW can trigger a monitoring procedure after observing low performance</w:t>
      </w:r>
      <w:r w:rsidR="005123C1">
        <w:rPr>
          <w:lang w:val="en-GB"/>
        </w:rPr>
        <w:t xml:space="preserve"> during inference</w:t>
      </w:r>
      <w:r w:rsidR="009E2696">
        <w:rPr>
          <w:lang w:val="en-GB"/>
        </w:rPr>
        <w:t>.</w:t>
      </w:r>
    </w:p>
    <w:p w14:paraId="76C1FC5A" w14:textId="0C02BD9E" w:rsidR="006E4162" w:rsidRDefault="006E4162" w:rsidP="005556B5">
      <w:pPr>
        <w:pStyle w:val="Proposal"/>
      </w:pPr>
      <w:r>
        <w:t>As priority rules for AI/ML</w:t>
      </w:r>
      <w:r w:rsidR="0004211F">
        <w:t>-</w:t>
      </w:r>
      <w:r>
        <w:t>related CSI reports, assign lowest priority to the data collection reports and equal priority to monitoring and inference reports.</w:t>
      </w:r>
    </w:p>
    <w:p w14:paraId="7885D035" w14:textId="77777777" w:rsidR="00284A59" w:rsidRDefault="00284A59" w:rsidP="00284A59">
      <w:pPr>
        <w:pStyle w:val="Proposal"/>
        <w:numPr>
          <w:ilvl w:val="0"/>
          <w:numId w:val="0"/>
        </w:numPr>
      </w:pPr>
    </w:p>
    <w:p w14:paraId="7D9BE7B9" w14:textId="7190946C" w:rsidR="00DB0A85" w:rsidRDefault="00DB0A85" w:rsidP="00DB0A85">
      <w:pPr>
        <w:pStyle w:val="Heading2"/>
      </w:pPr>
      <w:r>
        <w:t>CSI Omission</w:t>
      </w:r>
      <w:r w:rsidR="005B4EDA">
        <w:t xml:space="preserve"> Rule</w:t>
      </w:r>
    </w:p>
    <w:p w14:paraId="1447E051" w14:textId="3DAA2715" w:rsidR="00DB0A85" w:rsidRDefault="005B4EDA" w:rsidP="003C41F4">
      <w:pPr>
        <w:jc w:val="both"/>
      </w:pPr>
      <w:r w:rsidRPr="005B4EDA">
        <w:t>CSI omission is a</w:t>
      </w:r>
      <w:r>
        <w:t xml:space="preserve"> necessary</w:t>
      </w:r>
      <w:r w:rsidRPr="005B4EDA">
        <w:t xml:space="preserve"> payload reduction mechanism to manage the size of the UCI when the total payload exceeds the capacity of the available PUCCH</w:t>
      </w:r>
      <w:r w:rsidR="003C41F4">
        <w:t xml:space="preserve">. It is indeed required to ensure the payload generated by AI/ML model can be carried by available uplink control channel resources with minimal compromise on the reconstruction accuracy of PMIs at NW side. To this end, in the legacy mechanism, the non-zero coefficients are categorized into three groups based on their significance for all layers. Once the omission is deemed necessary, the less significant groups from all layers are omitted one by one until the remaining payload fits the available resources. As the more significant coefficients from more significant groups are carried by payload, it is expected that the NW can recover the PMI for all layers with reasonable accuracy despite the omission occurrence at the UE side. If we want to </w:t>
      </w:r>
      <w:r w:rsidR="00A676C8">
        <w:t>follow</w:t>
      </w:r>
      <w:r w:rsidR="003C41F4">
        <w:t xml:space="preserve"> the same logic to preserve all the layers while reducing the payload size to fit into available resources, we have to drop feedback bits or equivalently ignore some elements in the latent space (output of the </w:t>
      </w:r>
      <w:r w:rsidR="00A676C8">
        <w:t>en</w:t>
      </w:r>
      <w:r w:rsidR="003C41F4">
        <w:t xml:space="preserve">coder) starting from the less significant </w:t>
      </w:r>
      <w:r w:rsidR="00BE01E2">
        <w:t>individual or group of bits/elements in the latent space. However, there is not a notion of significance like that of the legacy codebook for AI/ML model, and all the latent elements/feedback bits generated by encoders are equally important. One workaround to facilitate group-wise omission is to artificially induce relative significance among latent elements of resultant feedback bits during the training</w:t>
      </w:r>
      <w:r w:rsidR="00A676C8">
        <w:t xml:space="preserve"> of</w:t>
      </w:r>
      <w:r w:rsidR="00BE01E2">
        <w:t xml:space="preserve"> encoder and decoder. The decoder and encoder should learn how to focus more on some parts of latent space/feedback compared to others. In this way, encoder will learn how to abstract most of CSI information bits in the places we forced to be more significant in the latent space, and decoder learn how to extract most of the CSI information from the most significant part of latent space/feedback. </w:t>
      </w:r>
      <w:r w:rsidR="0052553C">
        <w:t xml:space="preserve">One solution to induce the latent-domain significance during the training is shown in </w:t>
      </w:r>
      <w:r w:rsidR="0052553C" w:rsidRPr="0052553C">
        <w:fldChar w:fldCharType="begin"/>
      </w:r>
      <w:r w:rsidR="0052553C" w:rsidRPr="0052553C">
        <w:instrText xml:space="preserve"> REF _Ref210318472 \h  \* MERGEFORMAT </w:instrText>
      </w:r>
      <w:r w:rsidR="0052553C" w:rsidRPr="0052553C">
        <w:fldChar w:fldCharType="separate"/>
      </w:r>
      <w:r w:rsidR="0052553C" w:rsidRPr="0052553C">
        <w:t xml:space="preserve">Figure </w:t>
      </w:r>
      <w:r w:rsidR="0052553C" w:rsidRPr="0052553C">
        <w:rPr>
          <w:noProof/>
          <w:cs/>
        </w:rPr>
        <w:t>‎</w:t>
      </w:r>
      <w:r w:rsidR="0052553C" w:rsidRPr="0052553C">
        <w:rPr>
          <w:noProof/>
        </w:rPr>
        <w:t>2</w:t>
      </w:r>
      <w:r w:rsidR="0052553C" w:rsidRPr="0052553C">
        <w:noBreakHyphen/>
      </w:r>
      <w:r w:rsidR="0052553C" w:rsidRPr="0052553C">
        <w:rPr>
          <w:noProof/>
        </w:rPr>
        <w:t>2</w:t>
      </w:r>
      <w:r w:rsidR="0052553C" w:rsidRPr="0052553C">
        <w:fldChar w:fldCharType="end"/>
      </w:r>
      <w:r w:rsidR="00A676C8">
        <w:t>,</w:t>
      </w:r>
      <w:r w:rsidR="0052553C">
        <w:t xml:space="preserve"> where</w:t>
      </w:r>
      <w:r w:rsidR="00073F21">
        <w:t xml:space="preserve"> during the training</w:t>
      </w:r>
      <w:r w:rsidR="00A676C8">
        <w:t xml:space="preserve"> of</w:t>
      </w:r>
      <w:r w:rsidR="00073F21">
        <w:t xml:space="preserve"> encode</w:t>
      </w:r>
      <w:r w:rsidR="00A676C8">
        <w:t>r</w:t>
      </w:r>
      <w:r w:rsidR="00073F21">
        <w:t xml:space="preserve"> and decoder</w:t>
      </w:r>
      <w:r w:rsidR="00A676C8">
        <w:t>,</w:t>
      </w:r>
      <w:r w:rsidR="00073F21">
        <w:t xml:space="preserve"> the CSI feedback bits are masked, and decoder is forced to recovered CSI from unmasked bits. To create multiple groups,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r>
          <w:rPr>
            <w:rFonts w:ascii="Cambria Math" w:hAnsi="Cambria Math"/>
          </w:rPr>
          <m:t>,</m:t>
        </m:r>
      </m:oMath>
      <w:r w:rsidR="00073F21">
        <w:t xml:space="preserve"> for potential omission,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073F21">
        <w:t xml:space="preserve"> masks with different probabilities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&gt;…&gt;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oMath>
      <w:r w:rsidR="00073F21">
        <w:t xml:space="preserve"> can be used during the training. For inter-vendor collaboration purposes, the information of masks including their length of masking and corresponding probabilit</w:t>
      </w:r>
      <w:r w:rsidR="00A676C8">
        <w:t>ies</w:t>
      </w:r>
      <w:r w:rsidR="00073F21">
        <w:t xml:space="preserve"> should be provided to</w:t>
      </w:r>
      <w:r w:rsidR="00A676C8">
        <w:t xml:space="preserve"> the</w:t>
      </w:r>
      <w:r w:rsidR="00073F21">
        <w:t xml:space="preserve"> UE</w:t>
      </w:r>
      <w:r w:rsidR="00A676C8">
        <w:t xml:space="preserve"> at least for Direction A with sub-option 4-1</w:t>
      </w:r>
      <w:r w:rsidR="00073F21">
        <w:t xml:space="preserve">. </w:t>
      </w:r>
      <w:r w:rsidR="00A676C8">
        <w:t>For the Direction and C and direction A</w:t>
      </w:r>
      <w:r w:rsidR="00557CCB">
        <w:t xml:space="preserve"> with sub-option 3a-1 such information can be carried over by shared/defined encoder inherently.</w:t>
      </w:r>
      <w:r w:rsidR="00A676C8">
        <w:t xml:space="preserve"> </w:t>
      </w:r>
      <w:r w:rsidR="00557CCB">
        <w:t>Anyway, t</w:t>
      </w:r>
      <w:r w:rsidR="00073F21">
        <w:t xml:space="preserve">he training procedure and information sharing for inducing the significance in the latent space add another dimension to challenges of inter-vendor collaboration. </w:t>
      </w:r>
    </w:p>
    <w:p w14:paraId="678DB62C" w14:textId="77777777" w:rsidR="0052553C" w:rsidRDefault="0052553C" w:rsidP="0052553C">
      <w:pPr>
        <w:keepNext/>
        <w:jc w:val="both"/>
      </w:pPr>
      <w:r w:rsidRPr="0052553C">
        <w:rPr>
          <w:noProof/>
        </w:rPr>
        <w:drawing>
          <wp:inline distT="0" distB="0" distL="0" distR="0" wp14:anchorId="446D24A0" wp14:editId="60AEE274">
            <wp:extent cx="6337044" cy="1458552"/>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56573" cy="1463047"/>
                    </a:xfrm>
                    <a:prstGeom prst="rect">
                      <a:avLst/>
                    </a:prstGeom>
                  </pic:spPr>
                </pic:pic>
              </a:graphicData>
            </a:graphic>
          </wp:inline>
        </w:drawing>
      </w:r>
    </w:p>
    <w:p w14:paraId="3ECFB9EC" w14:textId="6DE85CA3" w:rsidR="0052553C" w:rsidRPr="0052553C" w:rsidRDefault="0052553C" w:rsidP="0052553C">
      <w:pPr>
        <w:pStyle w:val="Caption"/>
        <w:jc w:val="both"/>
        <w:rPr>
          <w:b w:val="0"/>
          <w:bCs/>
        </w:rPr>
      </w:pPr>
      <w:bookmarkStart w:id="5" w:name="_Ref210318472"/>
      <w:r w:rsidRPr="0052553C">
        <w:rPr>
          <w:b w:val="0"/>
          <w:bCs/>
        </w:rPr>
        <w:t xml:space="preserve">Figure </w:t>
      </w:r>
      <w:r w:rsidRPr="0052553C">
        <w:rPr>
          <w:b w:val="0"/>
          <w:bCs/>
        </w:rPr>
        <w:fldChar w:fldCharType="begin"/>
      </w:r>
      <w:r w:rsidRPr="0052553C">
        <w:rPr>
          <w:b w:val="0"/>
          <w:bCs/>
        </w:rPr>
        <w:instrText xml:space="preserve"> STYLEREF 1 \s </w:instrText>
      </w:r>
      <w:r w:rsidRPr="0052553C">
        <w:rPr>
          <w:b w:val="0"/>
          <w:bCs/>
        </w:rPr>
        <w:fldChar w:fldCharType="separate"/>
      </w:r>
      <w:r w:rsidRPr="0052553C">
        <w:rPr>
          <w:b w:val="0"/>
          <w:bCs/>
          <w:noProof/>
          <w:cs/>
        </w:rPr>
        <w:t>‎</w:t>
      </w:r>
      <w:r w:rsidRPr="0052553C">
        <w:rPr>
          <w:b w:val="0"/>
          <w:bCs/>
          <w:noProof/>
        </w:rPr>
        <w:t>2</w:t>
      </w:r>
      <w:r w:rsidRPr="0052553C">
        <w:rPr>
          <w:b w:val="0"/>
          <w:bCs/>
        </w:rPr>
        <w:fldChar w:fldCharType="end"/>
      </w:r>
      <w:r w:rsidRPr="0052553C">
        <w:rPr>
          <w:b w:val="0"/>
          <w:bCs/>
        </w:rPr>
        <w:noBreakHyphen/>
      </w:r>
      <w:r w:rsidRPr="0052553C">
        <w:rPr>
          <w:b w:val="0"/>
          <w:bCs/>
        </w:rPr>
        <w:fldChar w:fldCharType="begin"/>
      </w:r>
      <w:r w:rsidRPr="0052553C">
        <w:rPr>
          <w:b w:val="0"/>
          <w:bCs/>
        </w:rPr>
        <w:instrText xml:space="preserve"> SEQ Figure \* ARABIC \s 1 </w:instrText>
      </w:r>
      <w:r w:rsidRPr="0052553C">
        <w:rPr>
          <w:b w:val="0"/>
          <w:bCs/>
        </w:rPr>
        <w:fldChar w:fldCharType="separate"/>
      </w:r>
      <w:r w:rsidRPr="0052553C">
        <w:rPr>
          <w:b w:val="0"/>
          <w:bCs/>
          <w:noProof/>
        </w:rPr>
        <w:t>2</w:t>
      </w:r>
      <w:r w:rsidRPr="0052553C">
        <w:rPr>
          <w:b w:val="0"/>
          <w:bCs/>
        </w:rPr>
        <w:fldChar w:fldCharType="end"/>
      </w:r>
      <w:bookmarkEnd w:id="5"/>
      <w:r>
        <w:rPr>
          <w:b w:val="0"/>
          <w:bCs/>
        </w:rPr>
        <w:t>: A solution to induce significance in latent domain to facilitate group-wise omission.</w:t>
      </w:r>
    </w:p>
    <w:p w14:paraId="17D3FBF1" w14:textId="77777777" w:rsidR="00284A59" w:rsidRDefault="00284A59" w:rsidP="003C41F4">
      <w:pPr>
        <w:jc w:val="both"/>
      </w:pPr>
    </w:p>
    <w:p w14:paraId="0B32F7FD" w14:textId="30326185" w:rsidR="00073F21" w:rsidRDefault="00073F21" w:rsidP="003C41F4">
      <w:pPr>
        <w:jc w:val="both"/>
      </w:pPr>
      <w:r>
        <w:lastRenderedPageBreak/>
        <w:t>Another approach which does not have any complication in training is layer-wise omission. Unlike the group-wise omission which preserve</w:t>
      </w:r>
      <w:r w:rsidR="00B6030F">
        <w:t>s</w:t>
      </w:r>
      <w:r>
        <w:t xml:space="preserve"> the number of layers and omit a part of feedback for all layers, the layer-wise omission drops the entire feedback corresponding to a layer from payload </w:t>
      </w:r>
      <w:r w:rsidR="00286978">
        <w:t>starting from most insignificant layer until the payload size fit the available resources. While this method does not intricate the training procedure of AI/ML model</w:t>
      </w:r>
      <w:r w:rsidR="00B6030F">
        <w:t xml:space="preserve"> and inter-vendor collaboration, it aggressively wastes spatial resources. Therefore, any selection among the layer-wise and group-wise omission requires further studies to analyze the trade-off between training burden and performance. If the training and inter-vendor collaboration is deemed manageable, we support prioritizing group-wise omission which naturally yields more flexibility in omission and better performance. We have the following proposals in this regard. </w:t>
      </w:r>
    </w:p>
    <w:p w14:paraId="676DF28D" w14:textId="2A8705A6" w:rsidR="002E0589" w:rsidRDefault="002E0589" w:rsidP="005556B5">
      <w:pPr>
        <w:pStyle w:val="Proposal"/>
      </w:pPr>
      <w:r>
        <w:t>Consider the following options for CSI omission:</w:t>
      </w:r>
    </w:p>
    <w:p w14:paraId="5B5C870C" w14:textId="09E3CCBA" w:rsidR="002E0589" w:rsidRPr="002E0589" w:rsidRDefault="002E0589" w:rsidP="002E0589">
      <w:pPr>
        <w:pStyle w:val="0Maintext"/>
        <w:numPr>
          <w:ilvl w:val="0"/>
          <w:numId w:val="47"/>
        </w:numPr>
        <w:rPr>
          <w:b/>
          <w:bCs/>
        </w:rPr>
      </w:pPr>
      <w:r w:rsidRPr="002E0589">
        <w:rPr>
          <w:b/>
          <w:bCs/>
        </w:rPr>
        <w:t xml:space="preserve">Option 1- Layer-wise omission: All feedbacks bits corresponding to a layer will be </w:t>
      </w:r>
      <w:r>
        <w:rPr>
          <w:b/>
          <w:bCs/>
        </w:rPr>
        <w:t>omitted</w:t>
      </w:r>
      <w:r w:rsidRPr="002E0589">
        <w:rPr>
          <w:b/>
          <w:bCs/>
        </w:rPr>
        <w:t xml:space="preserve"> at a time.</w:t>
      </w:r>
    </w:p>
    <w:p w14:paraId="63129F52" w14:textId="4D4E838F" w:rsidR="002E0589" w:rsidRDefault="002E0589" w:rsidP="002E0589">
      <w:pPr>
        <w:pStyle w:val="0Maintext"/>
        <w:numPr>
          <w:ilvl w:val="0"/>
          <w:numId w:val="47"/>
        </w:numPr>
        <w:rPr>
          <w:b/>
          <w:bCs/>
        </w:rPr>
      </w:pPr>
      <w:r w:rsidRPr="002E0589">
        <w:rPr>
          <w:b/>
          <w:bCs/>
        </w:rPr>
        <w:t xml:space="preserve">Option 2 - Group-wise omission: group(s) of feedback bits from all layers will be </w:t>
      </w:r>
      <w:r>
        <w:rPr>
          <w:b/>
          <w:bCs/>
        </w:rPr>
        <w:t>omitted</w:t>
      </w:r>
      <w:r w:rsidRPr="002E0589">
        <w:rPr>
          <w:b/>
          <w:bCs/>
        </w:rPr>
        <w:t xml:space="preserve"> at a time.</w:t>
      </w:r>
    </w:p>
    <w:p w14:paraId="7EA91BDF" w14:textId="6E2814D3" w:rsidR="00477424" w:rsidRDefault="00477424" w:rsidP="005556B5">
      <w:pPr>
        <w:pStyle w:val="Proposal"/>
      </w:pPr>
      <w:r>
        <w:t>Prioritize group-wise omission where group</w:t>
      </w:r>
      <w:r w:rsidR="00557CCB">
        <w:t>(s)</w:t>
      </w:r>
      <w:r>
        <w:t xml:space="preserve"> of feedback bits from all layers are omitted</w:t>
      </w:r>
      <w:r w:rsidR="00557CCB">
        <w:t xml:space="preserve"> if omission is required</w:t>
      </w:r>
      <w:r>
        <w:t>.</w:t>
      </w:r>
    </w:p>
    <w:p w14:paraId="674921A2" w14:textId="29A3A5D5" w:rsidR="00477424" w:rsidRDefault="00477424" w:rsidP="005556B5">
      <w:pPr>
        <w:pStyle w:val="Proposal"/>
      </w:pPr>
      <w:r>
        <w:t>Discuss how to group the CSI feedback bits for potential group-wise omission in the following aspects:</w:t>
      </w:r>
    </w:p>
    <w:p w14:paraId="3CB65616" w14:textId="4E0BE20F" w:rsidR="00477424" w:rsidRPr="00477424" w:rsidRDefault="00477424" w:rsidP="00477424">
      <w:pPr>
        <w:pStyle w:val="0Maintext"/>
        <w:numPr>
          <w:ilvl w:val="0"/>
          <w:numId w:val="48"/>
        </w:numPr>
        <w:rPr>
          <w:b/>
          <w:bCs/>
        </w:rPr>
      </w:pPr>
      <w:r w:rsidRPr="00477424">
        <w:rPr>
          <w:b/>
          <w:bCs/>
        </w:rPr>
        <w:t>Number of groups</w:t>
      </w:r>
    </w:p>
    <w:p w14:paraId="591F280D" w14:textId="33A62145" w:rsidR="00477424" w:rsidRPr="00B6030F" w:rsidRDefault="00477424" w:rsidP="00B6030F">
      <w:pPr>
        <w:pStyle w:val="0Maintext"/>
        <w:numPr>
          <w:ilvl w:val="0"/>
          <w:numId w:val="48"/>
        </w:numPr>
        <w:rPr>
          <w:b/>
          <w:bCs/>
        </w:rPr>
      </w:pPr>
      <w:r w:rsidRPr="00B6030F">
        <w:rPr>
          <w:b/>
          <w:bCs/>
        </w:rPr>
        <w:t>Whether grouping changes for layers and ranks</w:t>
      </w:r>
    </w:p>
    <w:p w14:paraId="289A8A30" w14:textId="01A6CFE4" w:rsidR="00477424" w:rsidRDefault="00477424" w:rsidP="00477424">
      <w:pPr>
        <w:pStyle w:val="0Maintext"/>
        <w:numPr>
          <w:ilvl w:val="0"/>
          <w:numId w:val="48"/>
        </w:numPr>
        <w:rPr>
          <w:b/>
          <w:bCs/>
        </w:rPr>
      </w:pPr>
      <w:r w:rsidRPr="00477424">
        <w:rPr>
          <w:b/>
          <w:bCs/>
        </w:rPr>
        <w:t>Impact on inter-vendor collaboration</w:t>
      </w:r>
    </w:p>
    <w:p w14:paraId="73F50154" w14:textId="77777777" w:rsidR="00284A59" w:rsidRPr="00477424" w:rsidRDefault="00284A59" w:rsidP="00284A59">
      <w:pPr>
        <w:pStyle w:val="0Maintext"/>
        <w:ind w:left="720"/>
        <w:rPr>
          <w:b/>
          <w:bCs/>
        </w:rPr>
      </w:pPr>
    </w:p>
    <w:p w14:paraId="13A4BD5D" w14:textId="0D5A0FBF" w:rsidR="00391A7D" w:rsidRDefault="00DB0A85" w:rsidP="00391A7D">
      <w:pPr>
        <w:pStyle w:val="Heading2"/>
        <w:rPr>
          <w:lang w:val="en-GB"/>
        </w:rPr>
      </w:pPr>
      <w:r>
        <w:rPr>
          <w:lang w:val="en-GB"/>
        </w:rPr>
        <w:t>Payload Configuration</w:t>
      </w:r>
    </w:p>
    <w:p w14:paraId="5B433767" w14:textId="37F62A1A" w:rsidR="00B6030F" w:rsidRDefault="00B6030F" w:rsidP="00C17776">
      <w:pPr>
        <w:jc w:val="both"/>
        <w:rPr>
          <w:lang w:val="en-GB"/>
        </w:rPr>
      </w:pPr>
      <w:r>
        <w:rPr>
          <w:lang w:val="en-GB"/>
        </w:rPr>
        <w:t>During the RAN1#122</w:t>
      </w:r>
      <w:r w:rsidR="0061589A">
        <w:rPr>
          <w:lang w:val="en-GB"/>
        </w:rPr>
        <w:t xml:space="preserve"> meeting</w:t>
      </w:r>
      <w:r w:rsidR="00311D0A">
        <w:rPr>
          <w:lang w:val="en-GB"/>
        </w:rPr>
        <w:t xml:space="preserve"> </w:t>
      </w:r>
      <w:r w:rsidR="0061589A">
        <w:rPr>
          <w:lang w:val="en-GB"/>
        </w:rPr>
        <w:fldChar w:fldCharType="begin"/>
      </w:r>
      <w:r w:rsidR="0061589A">
        <w:rPr>
          <w:lang w:val="en-GB"/>
        </w:rPr>
        <w:instrText xml:space="preserve"> REF _Ref210301267 \r \h </w:instrText>
      </w:r>
      <w:r w:rsidR="0061589A">
        <w:rPr>
          <w:lang w:val="en-GB"/>
        </w:rPr>
      </w:r>
      <w:r w:rsidR="0061589A">
        <w:rPr>
          <w:lang w:val="en-GB"/>
        </w:rPr>
        <w:fldChar w:fldCharType="separate"/>
      </w:r>
      <w:r w:rsidR="0061589A">
        <w:rPr>
          <w:cs/>
          <w:lang w:val="en-GB"/>
        </w:rPr>
        <w:t>‎</w:t>
      </w:r>
      <w:r w:rsidR="0061589A">
        <w:rPr>
          <w:lang w:val="en-GB"/>
        </w:rPr>
        <w:t>[5]</w:t>
      </w:r>
      <w:r w:rsidR="0061589A">
        <w:rPr>
          <w:lang w:val="en-GB"/>
        </w:rPr>
        <w:fldChar w:fldCharType="end"/>
      </w:r>
      <w:r w:rsidR="0061589A">
        <w:rPr>
          <w:lang w:val="en-GB"/>
        </w:rPr>
        <w:t xml:space="preserve">, the essential agreements have been made to denote and specify the payload generation. The payload size for a specific rank </w:t>
      </w:r>
      <m:oMath>
        <m:r>
          <w:rPr>
            <w:rFonts w:ascii="Cambria Math" w:hAnsi="Cambria Math"/>
            <w:lang w:val="en-GB"/>
          </w:rPr>
          <m:t>v</m:t>
        </m:r>
      </m:oMath>
      <w:r w:rsidR="0061589A">
        <w:rPr>
          <w:lang w:val="en-GB"/>
        </w:rPr>
        <w:t xml:space="preserve"> and layer </w:t>
      </w:r>
      <m:oMath>
        <m:r>
          <w:rPr>
            <w:rFonts w:ascii="Cambria Math" w:hAnsi="Cambria Math"/>
            <w:lang w:val="en-GB"/>
          </w:rPr>
          <m:t xml:space="preserve">l </m:t>
        </m:r>
      </m:oMath>
      <w:r w:rsidR="0061589A">
        <w:rPr>
          <w:lang w:val="en-GB"/>
        </w:rPr>
        <w:t>is impacted by dimension of the output of decoder (</w:t>
      </w:r>
      <m:oMath>
        <m:sSub>
          <m:sSubPr>
            <m:ctrlPr>
              <w:rPr>
                <w:rFonts w:ascii="Cambria Math" w:hAnsi="Cambria Math"/>
                <w:i/>
                <w:lang w:val="en-GB"/>
              </w:rPr>
            </m:ctrlPr>
          </m:sSubPr>
          <m:e>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l,v</m:t>
                </m:r>
              </m:sup>
            </m:sSup>
          </m:e>
          <m:sub>
            <m:r>
              <w:rPr>
                <w:rFonts w:ascii="Cambria Math" w:hAnsi="Cambria Math"/>
                <w:lang w:val="en-GB"/>
              </w:rPr>
              <m:t>z</m:t>
            </m:r>
          </m:sub>
        </m:sSub>
      </m:oMath>
      <w:r w:rsidR="0061589A">
        <w:rPr>
          <w:lang w:val="en-GB"/>
        </w:rPr>
        <w:t xml:space="preserve">), and quantization bits per segment,  </w:t>
      </w:r>
      <m:oMath>
        <m:sSup>
          <m:sSupPr>
            <m:ctrlPr>
              <w:rPr>
                <w:rFonts w:ascii="Cambria Math" w:eastAsia="DengXian" w:hAnsi="Cambria Math" w:cs="Arial"/>
                <w:b/>
                <w:bCs/>
                <w:i/>
                <w:iCs/>
                <w:kern w:val="2"/>
                <w:sz w:val="24"/>
                <w:szCs w:val="22"/>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0061589A">
        <w:rPr>
          <w:lang w:val="en-GB"/>
        </w:rPr>
        <w:t xml:space="preserve"> , and length of a segment </w:t>
      </w:r>
      <m:oMath>
        <m:r>
          <w:rPr>
            <w:rFonts w:ascii="Cambria Math" w:hAnsi="Cambria Math"/>
            <w:lang w:val="en-GB"/>
          </w:rPr>
          <m:t>L.</m:t>
        </m:r>
      </m:oMath>
      <w:r w:rsidR="0061589A">
        <w:rPr>
          <w:lang w:val="en-GB"/>
        </w:rPr>
        <w:t xml:space="preserve"> These three parameters together define the feedback size for a specific rank and layer. </w:t>
      </w:r>
    </w:p>
    <w:p w14:paraId="714339BD" w14:textId="77777777" w:rsidR="00557CCB" w:rsidRPr="00557CCB" w:rsidRDefault="00557CCB" w:rsidP="00C17776">
      <w:pPr>
        <w:jc w:val="both"/>
        <w:rPr>
          <w:sz w:val="12"/>
          <w:szCs w:val="10"/>
          <w:lang w:val="en-GB"/>
        </w:rPr>
      </w:pPr>
    </w:p>
    <w:tbl>
      <w:tblPr>
        <w:tblStyle w:val="TableGrid"/>
        <w:tblW w:w="0" w:type="auto"/>
        <w:tblLook w:val="04A0" w:firstRow="1" w:lastRow="0" w:firstColumn="1" w:lastColumn="0" w:noHBand="0" w:noVBand="1"/>
      </w:tblPr>
      <w:tblGrid>
        <w:gridCol w:w="9631"/>
      </w:tblGrid>
      <w:tr w:rsidR="00E90E7E" w14:paraId="1117C1B2" w14:textId="77777777" w:rsidTr="00E90E7E">
        <w:tc>
          <w:tcPr>
            <w:tcW w:w="9631" w:type="dxa"/>
          </w:tcPr>
          <w:p w14:paraId="2016B1DC" w14:textId="0FADA6DE" w:rsidR="00E90E7E" w:rsidRPr="00E90E7E" w:rsidRDefault="00E90E7E" w:rsidP="00E90E7E">
            <w:pPr>
              <w:spacing w:after="120"/>
              <w:jc w:val="both"/>
              <w:rPr>
                <w:rFonts w:eastAsia="MS Mincho"/>
                <w:sz w:val="20"/>
                <w:lang w:eastAsia="x-none"/>
              </w:rPr>
            </w:pPr>
            <w:r w:rsidRPr="00E90E7E">
              <w:rPr>
                <w:rFonts w:eastAsia="MS Mincho"/>
                <w:sz w:val="20"/>
                <w:highlight w:val="green"/>
                <w:lang w:val="x-none" w:eastAsia="x-none"/>
              </w:rPr>
              <w:t>Agreement</w:t>
            </w:r>
            <w:r w:rsidRPr="00E90E7E">
              <w:rPr>
                <w:rFonts w:eastAsia="MS Mincho"/>
                <w:sz w:val="20"/>
                <w:highlight w:val="green"/>
                <w:lang w:eastAsia="x-none"/>
              </w:rPr>
              <w:t xml:space="preserve"> </w:t>
            </w:r>
            <w:r w:rsidRPr="00E90E7E">
              <w:rPr>
                <w:rFonts w:eastAsia="MS Mincho"/>
                <w:sz w:val="20"/>
                <w:highlight w:val="green"/>
                <w:lang w:eastAsia="x-none"/>
              </w:rPr>
              <w:fldChar w:fldCharType="begin"/>
            </w:r>
            <w:r w:rsidRPr="00E90E7E">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E90E7E">
              <w:rPr>
                <w:rFonts w:eastAsia="MS Mincho"/>
                <w:sz w:val="20"/>
                <w:highlight w:val="green"/>
                <w:lang w:eastAsia="x-none"/>
              </w:rPr>
            </w:r>
            <w:r w:rsidRPr="00E90E7E">
              <w:rPr>
                <w:rFonts w:eastAsia="MS Mincho"/>
                <w:sz w:val="20"/>
                <w:highlight w:val="green"/>
                <w:lang w:eastAsia="x-none"/>
              </w:rPr>
              <w:fldChar w:fldCharType="separate"/>
            </w:r>
            <w:r w:rsidRPr="00E90E7E">
              <w:rPr>
                <w:rFonts w:eastAsia="MS Mincho"/>
                <w:sz w:val="20"/>
                <w:highlight w:val="green"/>
                <w:cs/>
                <w:lang w:eastAsia="x-none"/>
              </w:rPr>
              <w:t>‎</w:t>
            </w:r>
            <w:r w:rsidRPr="00E90E7E">
              <w:rPr>
                <w:rFonts w:eastAsia="MS Mincho"/>
                <w:sz w:val="20"/>
                <w:highlight w:val="green"/>
                <w:lang w:eastAsia="x-none"/>
              </w:rPr>
              <w:t>[5]</w:t>
            </w:r>
            <w:r w:rsidRPr="00E90E7E">
              <w:rPr>
                <w:rFonts w:eastAsia="MS Mincho"/>
                <w:sz w:val="20"/>
                <w:highlight w:val="green"/>
                <w:lang w:eastAsia="x-none"/>
              </w:rPr>
              <w:fldChar w:fldCharType="end"/>
            </w:r>
          </w:p>
          <w:p w14:paraId="21B21B77"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For precoding matrix feedback, consider the following aspects for payload determination.</w:t>
            </w:r>
          </w:p>
          <w:p w14:paraId="48D47634" w14:textId="77777777" w:rsidR="00E90E7E" w:rsidRPr="00E90E7E" w:rsidRDefault="00E90E7E" w:rsidP="00E90E7E">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Support only SQ, or only VQ or both </w:t>
            </w:r>
          </w:p>
          <w:p w14:paraId="19C777CB" w14:textId="77777777" w:rsidR="00E90E7E" w:rsidRPr="00E90E7E" w:rsidRDefault="00000000" w:rsidP="00E90E7E">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r>
                <m:rPr>
                  <m:sty m:val="bi"/>
                </m:rPr>
                <w:rPr>
                  <w:rFonts w:ascii="Cambria Math" w:eastAsia="DengXian" w:hAnsi="Cambria Math" w:cs="Arial"/>
                  <w:kern w:val="2"/>
                  <w:sz w:val="20"/>
                  <w:lang w:eastAsia="zh-CN"/>
                  <w14:ligatures w14:val="standardContextual"/>
                </w:rPr>
                <m:t xml:space="preserve"> </m:t>
              </m:r>
            </m:oMath>
            <w:r w:rsidR="00E90E7E"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00E90E7E"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14:ligatures w14:val="standardContextual"/>
                </w:rPr>
                <m:t>L</m:t>
              </m:r>
            </m:oMath>
            <w:r w:rsidR="00E90E7E" w:rsidRPr="00E90E7E">
              <w:rPr>
                <w:rFonts w:ascii="Times" w:eastAsia="Batang" w:hAnsi="Times"/>
                <w:sz w:val="20"/>
                <w:lang w:val="en-GB" w:eastAsia="x-none"/>
              </w:rPr>
              <w:t xml:space="preserve"> are fixed values or determined from multiple values based on NW configuration or UE reporting.</w:t>
            </w:r>
          </w:p>
          <w:p w14:paraId="144B647D" w14:textId="77777777" w:rsidR="00E90E7E" w:rsidRPr="00E90E7E" w:rsidRDefault="00000000" w:rsidP="00E90E7E">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00E90E7E"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00E90E7E" w:rsidRPr="00E90E7E">
              <w:rPr>
                <w:rFonts w:ascii="Times" w:eastAsia="Batang" w:hAnsi="Times"/>
                <w:sz w:val="20"/>
                <w:lang w:val="en-GB" w:eastAsia="x-none"/>
              </w:rPr>
              <w:t xml:space="preserve"> is layer-common or layer-specific, rank-common or rank-specific.</w:t>
            </w:r>
          </w:p>
          <w:p w14:paraId="2B5ADCAA" w14:textId="77777777" w:rsidR="00E90E7E" w:rsidRPr="00E90E7E" w:rsidRDefault="00E90E7E" w:rsidP="00E90E7E">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If configured,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14:ligatures w14:val="standardContextual"/>
                </w:rPr>
                <m:t>L</m:t>
              </m:r>
            </m:oMath>
            <w:r w:rsidRPr="00E90E7E">
              <w:rPr>
                <w:rFonts w:ascii="Times" w:eastAsia="Batang" w:hAnsi="Times"/>
                <w:sz w:val="20"/>
                <w:lang w:val="en-GB" w:eastAsia="x-none"/>
              </w:rPr>
              <w:t xml:space="preserve"> above are configured separately from pairing ID, or configured by Pairing ID.</w:t>
            </w:r>
          </w:p>
          <w:p w14:paraId="57D023A6" w14:textId="77777777" w:rsidR="00E90E7E" w:rsidRPr="00E90E7E" w:rsidRDefault="00E90E7E" w:rsidP="00E90E7E">
            <w:pPr>
              <w:numPr>
                <w:ilvl w:val="1"/>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The configuration may be via other parameters which are used to derive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eastAsia="x-none"/>
              </w:rPr>
              <w:t xml:space="preserve">, L and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eastAsia="x-none"/>
              </w:rPr>
              <w:t>.</w:t>
            </w:r>
          </w:p>
          <w:p w14:paraId="66F4727E"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Note: Consider limiting the total number of possible payload sizes considering the inter-vendor training challenges.</w:t>
            </w:r>
          </w:p>
          <w:p w14:paraId="4AD927C9"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 xml:space="preserve">Note: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rPr>
              <w:t xml:space="preserve">,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rPr>
              <w:t xml:space="preserve"> and </w:t>
            </w:r>
            <m:oMath>
              <m:r>
                <m:rPr>
                  <m:sty m:val="bi"/>
                </m:rPr>
                <w:rPr>
                  <w:rFonts w:ascii="Cambria Math" w:eastAsia="DengXian" w:hAnsi="Cambria Math" w:cs="Arial"/>
                  <w:kern w:val="2"/>
                  <w:sz w:val="20"/>
                  <w:lang w:eastAsia="zh-CN"/>
                  <w14:ligatures w14:val="standardContextual"/>
                </w:rPr>
                <m:t>L</m:t>
              </m:r>
            </m:oMath>
            <w:r w:rsidRPr="00E90E7E">
              <w:rPr>
                <w:rFonts w:ascii="Times" w:eastAsia="Batang" w:hAnsi="Times"/>
                <w:sz w:val="20"/>
                <w:lang w:val="en-GB"/>
              </w:rPr>
              <w:t xml:space="preserve"> are independent on subband and port configurations, </w:t>
            </w:r>
          </w:p>
          <w:p w14:paraId="668ED895" w14:textId="609326BB" w:rsidR="00E90E7E" w:rsidRPr="00E90E7E" w:rsidRDefault="00E90E7E" w:rsidP="00E90E7E">
            <w:pPr>
              <w:numPr>
                <w:ilvl w:val="0"/>
                <w:numId w:val="50"/>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FFS each combination of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eastAsia="x-none"/>
              </w:rPr>
              <w:t xml:space="preserve">,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eastAsia="x-none"/>
              </w:rPr>
              <w:t xml:space="preserve"> and </w:t>
            </w:r>
            <m:oMath>
              <m:r>
                <m:rPr>
                  <m:sty m:val="bi"/>
                </m:rPr>
                <w:rPr>
                  <w:rFonts w:ascii="Cambria Math" w:eastAsia="DengXian" w:hAnsi="Cambria Math" w:cs="Arial"/>
                  <w:kern w:val="2"/>
                  <w:sz w:val="20"/>
                  <w:lang w:eastAsia="zh-CN"/>
                  <w14:ligatures w14:val="standardContextual"/>
                </w:rPr>
                <m:t xml:space="preserve">L </m:t>
              </m:r>
            </m:oMath>
            <w:r w:rsidRPr="00E90E7E">
              <w:rPr>
                <w:rFonts w:ascii="Times" w:eastAsia="Batang" w:hAnsi="Times"/>
                <w:sz w:val="20"/>
                <w:lang w:val="en-GB" w:eastAsia="x-none"/>
              </w:rPr>
              <w:t>is applicable to a certain set of subband and port configurations.</w:t>
            </w:r>
          </w:p>
        </w:tc>
      </w:tr>
    </w:tbl>
    <w:p w14:paraId="60D2D91D" w14:textId="77777777" w:rsidR="0061589A" w:rsidRDefault="0061589A" w:rsidP="00E90E7E">
      <w:pPr>
        <w:pStyle w:val="0Maintext"/>
        <w:rPr>
          <w:lang w:val="en-GB"/>
        </w:rPr>
      </w:pPr>
    </w:p>
    <w:p w14:paraId="6E1E12B8" w14:textId="3C1C2621" w:rsidR="0061589A" w:rsidRDefault="0061589A" w:rsidP="000D7B37">
      <w:pPr>
        <w:pStyle w:val="0Maintext"/>
        <w:rPr>
          <w:lang w:val="en-GB"/>
        </w:rPr>
      </w:pPr>
      <w:r>
        <w:rPr>
          <w:lang w:val="en-GB"/>
        </w:rPr>
        <w:t xml:space="preserve">During the studies in the Rel 18 and 19, companies have observed that AI/ML model </w:t>
      </w:r>
      <w:r w:rsidR="00E55FB2">
        <w:rPr>
          <w:lang w:val="en-GB"/>
        </w:rPr>
        <w:t xml:space="preserve">are well-generalizable over rank and layers, making rank-common layer-common AI/ML models an appealing choice to reduce the </w:t>
      </w:r>
      <w:r w:rsidR="00E55FB2">
        <w:rPr>
          <w:lang w:val="en-GB"/>
        </w:rPr>
        <w:lastRenderedPageBreak/>
        <w:t xml:space="preserve">number of models that need to be developed. In honor of this observation, we believe </w:t>
      </w:r>
      <w:r w:rsidR="00E55FB2" w:rsidRPr="00E55FB2">
        <w:t>{</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sidRPr="00E55FB2">
        <w:rPr>
          <w:lang w:eastAsia="x-none"/>
        </w:rPr>
        <w:t xml:space="preserve">, </w:t>
      </w:r>
      <m:oMath>
        <m:r>
          <w:rPr>
            <w:rFonts w:ascii="Cambria Math" w:eastAsia="DengXian" w:hAnsi="Cambria Math"/>
          </w:rPr>
          <m:t>L</m:t>
        </m:r>
      </m:oMath>
      <w:r w:rsidR="00E55FB2" w:rsidRPr="00E55FB2">
        <w:t>}</w:t>
      </w:r>
      <w:r w:rsidR="00E55FB2">
        <w:t xml:space="preserve"> should facilitate the usage of </w:t>
      </w:r>
      <w:r w:rsidR="00E55FB2">
        <w:rPr>
          <w:lang w:val="en-GB"/>
        </w:rPr>
        <w:t>rank-common layer-common AI/ML models, the single or multiple available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 xml:space="preserve">}should not change by rank and layer. In other word, if the AI/ML model is not scalable, its single combination for </w:t>
      </w:r>
      <w:r w:rsidR="00E55FB2">
        <w:rPr>
          <w:lang w:val="en-GB"/>
        </w:rPr>
        <w:t>{</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 xml:space="preserve">} should remain consistent for any rank and layer, and if the model is scalable multiple combination of  </w:t>
      </w:r>
      <w:r w:rsidR="00E55FB2">
        <w:rPr>
          <w:lang w:val="en-GB"/>
        </w:rPr>
        <w:t>{</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 xml:space="preserve">} should remain valid for all ranks and layers too. </w:t>
      </w:r>
    </w:p>
    <w:p w14:paraId="126A0EFF" w14:textId="41F4529F" w:rsidR="000061C4" w:rsidRDefault="00E90E7E" w:rsidP="005556B5">
      <w:pPr>
        <w:pStyle w:val="Proposal"/>
      </w:pPr>
      <w:r>
        <w:t>Support layer</w:t>
      </w:r>
      <w:r w:rsidR="00557CCB">
        <w:t>-</w:t>
      </w:r>
      <w:r>
        <w:t>common rank</w:t>
      </w:r>
      <w:r w:rsidR="00557CCB">
        <w:t>-</w:t>
      </w:r>
      <w:r>
        <w:t xml:space="preserve">common AI/ML model with single set of </w:t>
      </w:r>
      <m:oMath>
        <m:r>
          <m:rPr>
            <m:sty m:val="bi"/>
          </m:rPr>
          <w:rPr>
            <w:rFonts w:ascii="Cambria Math" w:hAnsi="Cambria Math"/>
          </w:rPr>
          <m:t>{</m:t>
        </m:r>
        <m:sSubSup>
          <m:sSubSupPr>
            <m:ctrlPr>
              <w:rPr>
                <w:rFonts w:ascii="Cambria Math" w:eastAsia="DengXian" w:hAnsi="Cambria Math"/>
                <w:i/>
                <w:iCs/>
                <w:sz w:val="24"/>
                <w:szCs w:val="24"/>
              </w:rPr>
            </m:ctrlPr>
          </m:sSubSupPr>
          <m:e>
            <m:r>
              <m:rPr>
                <m:sty m:val="bi"/>
              </m:rPr>
              <w:rPr>
                <w:rFonts w:ascii="Cambria Math" w:eastAsia="DengXian" w:hAnsi="Cambria Math"/>
              </w:rPr>
              <m:t>d</m:t>
            </m:r>
          </m:e>
          <m:sub>
            <m:r>
              <m:rPr>
                <m:sty m:val="bi"/>
              </m:rPr>
              <w:rPr>
                <w:rFonts w:ascii="Cambria Math" w:eastAsia="DengXian" w:hAnsi="Cambria Math"/>
              </w:rPr>
              <m:t>z</m:t>
            </m:r>
          </m:sub>
          <m:sup>
            <m:r>
              <m:rPr>
                <m:sty m:val="bi"/>
              </m:rPr>
              <w:rPr>
                <w:rFonts w:ascii="Cambria Math" w:eastAsia="DengXian" w:hAnsi="Cambria Math"/>
              </w:rPr>
              <m:t>l,ν</m:t>
            </m:r>
          </m:sup>
        </m:sSubSup>
        <m:r>
          <m:rPr>
            <m:sty m:val="bi"/>
          </m:rPr>
          <w:rPr>
            <w:rFonts w:ascii="Cambria Math" w:eastAsia="DengXian" w:hAnsi="Cambria Math"/>
          </w:rPr>
          <m:t xml:space="preserve">, </m:t>
        </m:r>
        <m:sSup>
          <m:sSupPr>
            <m:ctrlPr>
              <w:rPr>
                <w:rFonts w:ascii="Cambria Math" w:eastAsia="DengXian" w:hAnsi="Cambria Math"/>
                <w:i/>
                <w:iCs/>
                <w:sz w:val="24"/>
                <w:szCs w:val="24"/>
              </w:rPr>
            </m:ctrlPr>
          </m:sSupPr>
          <m:e>
            <m:r>
              <m:rPr>
                <m:sty m:val="bi"/>
              </m:rPr>
              <w:rPr>
                <w:rFonts w:ascii="Cambria Math" w:eastAsia="DengXian" w:hAnsi="Cambria Math"/>
              </w:rPr>
              <m:t>Q</m:t>
            </m:r>
          </m:e>
          <m:sup>
            <m:r>
              <m:rPr>
                <m:sty m:val="bi"/>
              </m:rPr>
              <w:rPr>
                <w:rFonts w:ascii="Cambria Math" w:eastAsia="DengXian" w:hAnsi="Cambria Math"/>
              </w:rPr>
              <m:t>l,ν</m:t>
            </m:r>
          </m:sup>
        </m:sSup>
      </m:oMath>
      <w:r>
        <w:rPr>
          <w:lang w:eastAsia="x-none"/>
        </w:rPr>
        <w:t xml:space="preserve">, </w:t>
      </w:r>
      <m:oMath>
        <m:r>
          <m:rPr>
            <m:sty m:val="bi"/>
          </m:rPr>
          <w:rPr>
            <w:rFonts w:ascii="Cambria Math" w:eastAsia="DengXian" w:hAnsi="Cambria Math"/>
          </w:rPr>
          <m:t>L</m:t>
        </m:r>
      </m:oMath>
      <w:r>
        <w:t>}  for non-scalable AI/ML model and multiple</w:t>
      </w:r>
      <w:r w:rsidR="00557CCB">
        <w:t>s</w:t>
      </w:r>
      <w:r>
        <w:t xml:space="preserve"> set of {</w:t>
      </w:r>
      <m:oMath>
        <m:sSubSup>
          <m:sSubSupPr>
            <m:ctrlPr>
              <w:rPr>
                <w:rFonts w:ascii="Cambria Math" w:eastAsia="DengXian" w:hAnsi="Cambria Math"/>
                <w:i/>
                <w:iCs/>
                <w:sz w:val="24"/>
                <w:szCs w:val="24"/>
              </w:rPr>
            </m:ctrlPr>
          </m:sSubSupPr>
          <m:e>
            <m:r>
              <m:rPr>
                <m:sty m:val="bi"/>
              </m:rPr>
              <w:rPr>
                <w:rFonts w:ascii="Cambria Math" w:eastAsia="DengXian" w:hAnsi="Cambria Math"/>
              </w:rPr>
              <m:t>d</m:t>
            </m:r>
          </m:e>
          <m:sub>
            <m:r>
              <m:rPr>
                <m:sty m:val="bi"/>
              </m:rPr>
              <w:rPr>
                <w:rFonts w:ascii="Cambria Math" w:eastAsia="DengXian" w:hAnsi="Cambria Math"/>
              </w:rPr>
              <m:t>z</m:t>
            </m:r>
          </m:sub>
          <m:sup>
            <m:r>
              <m:rPr>
                <m:sty m:val="bi"/>
              </m:rPr>
              <w:rPr>
                <w:rFonts w:ascii="Cambria Math" w:eastAsia="DengXian" w:hAnsi="Cambria Math"/>
              </w:rPr>
              <m:t>l,ν</m:t>
            </m:r>
          </m:sup>
        </m:sSubSup>
        <m:r>
          <m:rPr>
            <m:sty m:val="bi"/>
          </m:rPr>
          <w:rPr>
            <w:rFonts w:ascii="Cambria Math" w:eastAsia="DengXian" w:hAnsi="Cambria Math"/>
          </w:rPr>
          <m:t xml:space="preserve">,  </m:t>
        </m:r>
        <m:sSup>
          <m:sSupPr>
            <m:ctrlPr>
              <w:rPr>
                <w:rFonts w:ascii="Cambria Math" w:eastAsia="DengXian" w:hAnsi="Cambria Math"/>
                <w:i/>
                <w:iCs/>
                <w:sz w:val="24"/>
                <w:szCs w:val="24"/>
              </w:rPr>
            </m:ctrlPr>
          </m:sSupPr>
          <m:e>
            <m:r>
              <m:rPr>
                <m:sty m:val="bi"/>
              </m:rPr>
              <w:rPr>
                <w:rFonts w:ascii="Cambria Math" w:eastAsia="DengXian" w:hAnsi="Cambria Math"/>
              </w:rPr>
              <m:t>Q</m:t>
            </m:r>
          </m:e>
          <m:sup>
            <m:r>
              <m:rPr>
                <m:sty m:val="bi"/>
              </m:rPr>
              <w:rPr>
                <w:rFonts w:ascii="Cambria Math" w:eastAsia="DengXian" w:hAnsi="Cambria Math"/>
              </w:rPr>
              <m:t>l,ν</m:t>
            </m:r>
          </m:sup>
        </m:sSup>
      </m:oMath>
      <w:r>
        <w:rPr>
          <w:lang w:eastAsia="x-none"/>
        </w:rPr>
        <w:t xml:space="preserve">, </w:t>
      </w:r>
      <m:oMath>
        <m:r>
          <m:rPr>
            <m:sty m:val="bi"/>
          </m:rPr>
          <w:rPr>
            <w:rFonts w:ascii="Cambria Math" w:eastAsia="DengXian" w:hAnsi="Cambria Math"/>
          </w:rPr>
          <m:t>L</m:t>
        </m:r>
      </m:oMath>
      <w:r>
        <w:t xml:space="preserve">} </w:t>
      </w:r>
      <w:r w:rsidR="000061C4">
        <w:t>for scalable models which are independent of rank and layers, i.e.</w:t>
      </w:r>
      <w:r>
        <w:t xml:space="preserve"> </w:t>
      </w:r>
      <m:oMath>
        <m:r>
          <m:rPr>
            <m:sty m:val="bi"/>
          </m:rPr>
          <w:rPr>
            <w:rFonts w:ascii="Cambria Math" w:hAnsi="Cambria Math"/>
          </w:rPr>
          <m:t>l</m:t>
        </m:r>
      </m:oMath>
      <w:r w:rsidR="000061C4">
        <w:t xml:space="preserve"> and </w:t>
      </w:r>
      <m:oMath>
        <m:r>
          <m:rPr>
            <m:sty m:val="bi"/>
          </m:rPr>
          <w:rPr>
            <w:rFonts w:ascii="Cambria Math" w:hAnsi="Cambria Math"/>
          </w:rPr>
          <m:t>v</m:t>
        </m:r>
      </m:oMath>
      <w:r w:rsidR="000061C4">
        <w:t>.</w:t>
      </w:r>
    </w:p>
    <w:p w14:paraId="6A4BDBE8" w14:textId="58FEB0AC" w:rsidR="000D7B37" w:rsidRDefault="000D7B37" w:rsidP="000D7B37">
      <w:pPr>
        <w:pStyle w:val="0Maintext"/>
      </w:pPr>
    </w:p>
    <w:p w14:paraId="46D6BCA1" w14:textId="3B799BC8" w:rsidR="000D7B37" w:rsidRDefault="000D7B37" w:rsidP="000D7B37">
      <w:pPr>
        <w:pStyle w:val="0Maintext"/>
      </w:pPr>
      <w:r>
        <w:t xml:space="preserve">The next question what type of quantization to support. Referring to evaluation in Rel 18, we have observed the SQ has comparable performance to VQ with much lower complexity. Also, SQ gives better flexibility if group-wise omission is finally agreed to be supported with providing clear mapping between latent elements and feedback bits. Indeed, if VQ and group-wise omission are coupled, the granularity of groups are tightened to the length of segments, which either make the grouping too aggressive if the segmentation length is too large, or diminish the gain of VQ by reducing the segmentation length in favor of grouping. Also, additional minor advantages of SQ are easier indication/exchange during inter-vendor collaboration and no requirement for excessive number of training samples. </w:t>
      </w:r>
    </w:p>
    <w:p w14:paraId="0371F473" w14:textId="4747F175" w:rsidR="00E90E7E" w:rsidRDefault="00E90E7E" w:rsidP="005556B5">
      <w:pPr>
        <w:pStyle w:val="Proposal"/>
      </w:pPr>
      <w:r>
        <w:t>Support at least scalar quantization</w:t>
      </w:r>
      <w:r w:rsidR="00557CCB">
        <w:t xml:space="preserve"> for quantizing the output of the encoder in the inference stage</w:t>
      </w:r>
      <w:r w:rsidR="00C677D9">
        <w:t>.</w:t>
      </w:r>
    </w:p>
    <w:p w14:paraId="5414FBB0" w14:textId="6995AF9B" w:rsidR="000D7B37" w:rsidRDefault="000D7B37" w:rsidP="000D7B37">
      <w:pPr>
        <w:pStyle w:val="0Maintext"/>
        <w:rPr>
          <w:rFonts w:ascii="Times" w:eastAsia="Batang" w:hAnsi="Times"/>
          <w:sz w:val="20"/>
          <w:lang w:val="en-GB" w:eastAsia="x-none"/>
        </w:rPr>
      </w:pPr>
      <w:r>
        <w:t xml:space="preserve">Another question raised in the previous agreement is </w:t>
      </w:r>
      <w:r w:rsidR="003B0F99">
        <w:t>“</w:t>
      </w:r>
      <w:r w:rsidR="003B0F99">
        <w:rPr>
          <w:rFonts w:ascii="Times" w:eastAsia="Batang" w:hAnsi="Times"/>
          <w:sz w:val="20"/>
          <w:lang w:val="en-GB" w:eastAsia="x-none"/>
        </w:rPr>
        <w:t xml:space="preserve">If configured, </w:t>
      </w:r>
      <m:oMath>
        <m:sSubSup>
          <m:sSubSupPr>
            <m:ctrlPr>
              <w:rPr>
                <w:rFonts w:ascii="Cambria Math" w:eastAsia="DengXian" w:hAnsi="Cambria Math" w:cs="Arial"/>
                <w:b/>
                <w:bCs/>
                <w:i/>
                <w:iCs/>
                <w:kern w:val="2"/>
                <w:sz w:val="24"/>
                <w:szCs w:val="22"/>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003B0F99">
        <w:rPr>
          <w:rFonts w:ascii="Times" w:eastAsia="Batang" w:hAnsi="Times"/>
          <w:sz w:val="20"/>
          <w:lang w:val="en-GB" w:eastAsia="x-none"/>
        </w:rPr>
        <w:t xml:space="preserve">and / or </w:t>
      </w:r>
      <m:oMath>
        <m:sSup>
          <m:sSupPr>
            <m:ctrlPr>
              <w:rPr>
                <w:rFonts w:ascii="Cambria Math" w:eastAsia="DengXian" w:hAnsi="Cambria Math" w:cs="Arial"/>
                <w:b/>
                <w:bCs/>
                <w:i/>
                <w:iCs/>
                <w:kern w:val="2"/>
                <w:sz w:val="24"/>
                <w:szCs w:val="22"/>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003B0F99">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14:ligatures w14:val="standardContextual"/>
          </w:rPr>
          <m:t>L</m:t>
        </m:r>
      </m:oMath>
      <w:r w:rsidR="003B0F99">
        <w:rPr>
          <w:rFonts w:ascii="Times" w:eastAsia="Batang" w:hAnsi="Times"/>
          <w:sz w:val="20"/>
          <w:lang w:val="en-GB" w:eastAsia="x-none"/>
        </w:rPr>
        <w:t xml:space="preserve"> above are configured separately from pairing ID, or configured by Pairing ID.” This question can be indirectly concluded from the following agreement we made in “other aspect” agenda where it is agreed a single pairing ID is exchanged per dataset.</w:t>
      </w:r>
    </w:p>
    <w:p w14:paraId="7E782E2F" w14:textId="77777777" w:rsidR="00557CCB" w:rsidRDefault="00557CCB" w:rsidP="000D7B37">
      <w:pPr>
        <w:pStyle w:val="0Maintext"/>
        <w:rPr>
          <w:rFonts w:ascii="Times" w:eastAsia="Batang" w:hAnsi="Times"/>
          <w:sz w:val="20"/>
          <w:lang w:val="en-GB" w:eastAsia="x-none"/>
        </w:rPr>
      </w:pPr>
    </w:p>
    <w:tbl>
      <w:tblPr>
        <w:tblStyle w:val="TableGrid"/>
        <w:tblW w:w="0" w:type="auto"/>
        <w:tblLook w:val="04A0" w:firstRow="1" w:lastRow="0" w:firstColumn="1" w:lastColumn="0" w:noHBand="0" w:noVBand="1"/>
      </w:tblPr>
      <w:tblGrid>
        <w:gridCol w:w="9631"/>
      </w:tblGrid>
      <w:tr w:rsidR="003B0F99" w14:paraId="369A1528" w14:textId="77777777" w:rsidTr="003B0F99">
        <w:tc>
          <w:tcPr>
            <w:tcW w:w="9631" w:type="dxa"/>
          </w:tcPr>
          <w:p w14:paraId="2497A78F" w14:textId="77777777" w:rsidR="003B0F99" w:rsidRPr="003B0F99" w:rsidRDefault="003B0F99" w:rsidP="003B0F99">
            <w:pPr>
              <w:spacing w:after="120"/>
              <w:jc w:val="both"/>
              <w:rPr>
                <w:rFonts w:eastAsia="MS Mincho"/>
                <w:kern w:val="2"/>
                <w:sz w:val="20"/>
                <w:lang w:val="x-none" w:eastAsia="x-none"/>
                <w14:ligatures w14:val="standardContextual"/>
              </w:rPr>
            </w:pPr>
            <w:r w:rsidRPr="003B0F99">
              <w:rPr>
                <w:rFonts w:eastAsia="MS Mincho"/>
                <w:kern w:val="2"/>
                <w:sz w:val="20"/>
                <w:highlight w:val="green"/>
                <w:lang w:val="x-none" w:eastAsia="x-none"/>
                <w14:ligatures w14:val="standardContextual"/>
              </w:rPr>
              <w:t>Agreement:</w:t>
            </w:r>
            <w:r w:rsidRPr="003B0F99">
              <w:rPr>
                <w:rFonts w:eastAsia="MS Mincho"/>
                <w:kern w:val="2"/>
                <w:sz w:val="20"/>
                <w:lang w:val="x-none" w:eastAsia="x-none"/>
                <w14:ligatures w14:val="standardContextual"/>
              </w:rPr>
              <w:t xml:space="preserve">   </w:t>
            </w:r>
          </w:p>
          <w:p w14:paraId="6903E60C" w14:textId="77777777" w:rsidR="003B0F99" w:rsidRPr="003B0F99" w:rsidRDefault="003B0F99" w:rsidP="003B0F99">
            <w:pPr>
              <w:overflowPunct w:val="0"/>
              <w:autoSpaceDE w:val="0"/>
              <w:autoSpaceDN w:val="0"/>
              <w:adjustRightInd w:val="0"/>
              <w:spacing w:before="120" w:after="120"/>
              <w:jc w:val="both"/>
              <w:rPr>
                <w:rFonts w:eastAsia="SimSun"/>
                <w:kern w:val="2"/>
                <w:sz w:val="20"/>
                <w:lang w:val="en-GB"/>
                <w14:ligatures w14:val="standardContextual"/>
              </w:rPr>
            </w:pPr>
            <w:r w:rsidRPr="003B0F99">
              <w:rPr>
                <w:rFonts w:eastAsia="SimSun"/>
                <w:kern w:val="2"/>
                <w:sz w:val="20"/>
                <w:lang w:val="en-GB"/>
                <w14:ligatures w14:val="standardContextual"/>
              </w:rPr>
              <w:t xml:space="preserve">For Option 4-1 under Direction A in AI/ML based CSI compression, support </w:t>
            </w:r>
            <w:r w:rsidRPr="003B0F99">
              <w:rPr>
                <w:rFonts w:eastAsia="SimSun"/>
                <w:color w:val="000000"/>
                <w:kern w:val="2"/>
                <w:sz w:val="20"/>
                <w:lang w:val="en-GB"/>
                <w14:ligatures w14:val="standardContextual"/>
              </w:rPr>
              <w:t xml:space="preserve">exchange of single </w:t>
            </w:r>
            <w:r w:rsidRPr="003B0F99">
              <w:rPr>
                <w:rFonts w:eastAsia="SimSun"/>
                <w:kern w:val="2"/>
                <w:sz w:val="20"/>
                <w:lang w:val="en-GB"/>
                <w14:ligatures w14:val="standardContextual"/>
              </w:rPr>
              <w:t xml:space="preserve">pairing ID </w:t>
            </w:r>
            <w:r w:rsidRPr="003B0F99">
              <w:rPr>
                <w:rFonts w:eastAsia="SimSun"/>
                <w:color w:val="000000"/>
                <w:kern w:val="2"/>
                <w:sz w:val="20"/>
                <w:lang w:val="en-GB"/>
                <w14:ligatures w14:val="standardContextual"/>
              </w:rPr>
              <w:t>along with dataset exchange</w:t>
            </w:r>
            <w:r w:rsidRPr="003B0F99">
              <w:rPr>
                <w:rFonts w:eastAsia="SimSun"/>
                <w:strike/>
                <w:color w:val="000000"/>
                <w:kern w:val="2"/>
                <w:sz w:val="20"/>
                <w:lang w:val="en-GB"/>
                <w14:ligatures w14:val="standardContextual"/>
              </w:rPr>
              <w:t>.</w:t>
            </w:r>
            <w:r w:rsidRPr="003B0F99">
              <w:rPr>
                <w:rFonts w:eastAsia="SimSun"/>
                <w:color w:val="000000"/>
                <w:kern w:val="2"/>
                <w:sz w:val="20"/>
                <w:lang w:val="en-GB"/>
                <w14:ligatures w14:val="standardContextual"/>
              </w:rPr>
              <w:t xml:space="preserve"> </w:t>
            </w:r>
          </w:p>
          <w:p w14:paraId="559D570A" w14:textId="77777777" w:rsidR="003B0F99" w:rsidRPr="003B0F99" w:rsidRDefault="003B0F99" w:rsidP="003B0F99">
            <w:pPr>
              <w:numPr>
                <w:ilvl w:val="0"/>
                <w:numId w:val="57"/>
              </w:numPr>
              <w:overflowPunct w:val="0"/>
              <w:autoSpaceDE w:val="0"/>
              <w:autoSpaceDN w:val="0"/>
              <w:adjustRightInd w:val="0"/>
              <w:spacing w:before="120" w:after="120" w:line="256" w:lineRule="auto"/>
              <w:jc w:val="both"/>
              <w:rPr>
                <w:rFonts w:eastAsia="SimSun"/>
                <w:kern w:val="2"/>
                <w:sz w:val="20"/>
                <w14:ligatures w14:val="standardContextual"/>
              </w:rPr>
            </w:pPr>
            <w:r w:rsidRPr="003B0F99">
              <w:rPr>
                <w:rFonts w:eastAsia="SimSun"/>
                <w:kern w:val="2"/>
                <w:sz w:val="20"/>
                <w14:ligatures w14:val="standardContextual"/>
              </w:rPr>
              <w:t>One pairing ID is assigned to one dataset.</w:t>
            </w:r>
          </w:p>
          <w:p w14:paraId="1020FE11" w14:textId="77777777" w:rsidR="003B0F99" w:rsidRPr="003B0F99" w:rsidRDefault="003B0F99" w:rsidP="003B0F99">
            <w:pPr>
              <w:numPr>
                <w:ilvl w:val="1"/>
                <w:numId w:val="57"/>
              </w:numPr>
              <w:overflowPunct w:val="0"/>
              <w:autoSpaceDE w:val="0"/>
              <w:autoSpaceDN w:val="0"/>
              <w:adjustRightInd w:val="0"/>
              <w:spacing w:before="120" w:after="120" w:line="256" w:lineRule="auto"/>
              <w:jc w:val="both"/>
              <w:rPr>
                <w:rFonts w:eastAsia="SimSun"/>
                <w:kern w:val="2"/>
                <w:sz w:val="20"/>
                <w14:ligatures w14:val="standardContextual"/>
              </w:rPr>
            </w:pPr>
            <w:r w:rsidRPr="003B0F99">
              <w:rPr>
                <w:rFonts w:eastAsia="SimSun"/>
                <w:kern w:val="2"/>
                <w:sz w:val="20"/>
                <w14:ligatures w14:val="standardContextual"/>
              </w:rPr>
              <w:t>The dataset can have different number of Tx port, number of subbands, and CSI payload size configurations (including different quantization codebooks i</w:t>
            </w:r>
            <w:r w:rsidRPr="003B0F99">
              <w:rPr>
                <w:rFonts w:eastAsia="SimSun"/>
                <w:kern w:val="2"/>
                <w:sz w:val="20"/>
                <w:lang w:eastAsia="zh-CN"/>
                <w14:ligatures w14:val="standardContextual"/>
              </w:rPr>
              <w:t>f</w:t>
            </w:r>
            <w:r w:rsidRPr="003B0F99">
              <w:rPr>
                <w:rFonts w:eastAsia="SimSun"/>
                <w:kern w:val="2"/>
                <w:sz w:val="20"/>
                <w14:ligatures w14:val="standardContextual"/>
              </w:rPr>
              <w:t xml:space="preserve"> needed).</w:t>
            </w:r>
          </w:p>
          <w:p w14:paraId="5CBF8713" w14:textId="77777777" w:rsidR="003B0F99" w:rsidRPr="003B0F99" w:rsidRDefault="003B0F99" w:rsidP="003B0F99">
            <w:pPr>
              <w:numPr>
                <w:ilvl w:val="0"/>
                <w:numId w:val="57"/>
              </w:numPr>
              <w:overflowPunct w:val="0"/>
              <w:autoSpaceDE w:val="0"/>
              <w:autoSpaceDN w:val="0"/>
              <w:adjustRightInd w:val="0"/>
              <w:spacing w:before="120" w:after="120" w:line="256" w:lineRule="auto"/>
              <w:jc w:val="both"/>
              <w:rPr>
                <w:rFonts w:eastAsia="SimSun"/>
                <w:kern w:val="2"/>
                <w:sz w:val="20"/>
                <w14:ligatures w14:val="standardContextual"/>
              </w:rPr>
            </w:pPr>
            <w:r w:rsidRPr="003B0F99">
              <w:rPr>
                <w:rFonts w:eastAsia="SimSun"/>
                <w:kern w:val="2"/>
                <w:sz w:val="20"/>
                <w:lang w:val="en-GB"/>
                <w14:ligatures w14:val="standardContextual"/>
              </w:rPr>
              <w:t xml:space="preserve">From RAN1 perspective, the uniqueness of the pairing ID needs further studied.  </w:t>
            </w:r>
            <w:r w:rsidRPr="003B0F99">
              <w:rPr>
                <w:rFonts w:eastAsia="SimSun"/>
                <w:color w:val="EE0000"/>
                <w:kern w:val="2"/>
                <w:sz w:val="20"/>
                <w:lang w:val="en-GB"/>
                <w14:ligatures w14:val="standardContextual"/>
              </w:rPr>
              <w:t xml:space="preserve"> </w:t>
            </w:r>
            <w:r w:rsidRPr="003B0F99">
              <w:rPr>
                <w:rFonts w:eastAsia="SimSun"/>
                <w:kern w:val="2"/>
                <w:sz w:val="20"/>
                <w:lang w:val="en-GB"/>
                <w14:ligatures w14:val="standardContextual"/>
              </w:rPr>
              <w:t xml:space="preserve">  </w:t>
            </w:r>
          </w:p>
          <w:p w14:paraId="2CF10D5B" w14:textId="356DA374" w:rsidR="003B0F99" w:rsidRPr="003B0F99" w:rsidRDefault="003B0F99" w:rsidP="003B0F99">
            <w:pPr>
              <w:numPr>
                <w:ilvl w:val="0"/>
                <w:numId w:val="57"/>
              </w:numPr>
              <w:overflowPunct w:val="0"/>
              <w:autoSpaceDE w:val="0"/>
              <w:autoSpaceDN w:val="0"/>
              <w:adjustRightInd w:val="0"/>
              <w:spacing w:before="120" w:after="120" w:line="256" w:lineRule="auto"/>
              <w:jc w:val="both"/>
              <w:rPr>
                <w:rFonts w:eastAsia="SimSun"/>
                <w:kern w:val="2"/>
                <w:sz w:val="20"/>
                <w:lang w:val="en-GB"/>
                <w14:ligatures w14:val="standardContextual"/>
              </w:rPr>
            </w:pPr>
            <w:r w:rsidRPr="003B0F99">
              <w:rPr>
                <w:rFonts w:eastAsia="SimSun"/>
                <w:kern w:val="2"/>
                <w:sz w:val="20"/>
                <w:lang w:val="en-GB"/>
                <w14:ligatures w14:val="standardContextual"/>
              </w:rPr>
              <w:t xml:space="preserve">FFS: the impact on pairing ID(s) when additional data samples are added to an exchanged dataset, if supported.  </w:t>
            </w:r>
          </w:p>
        </w:tc>
      </w:tr>
    </w:tbl>
    <w:p w14:paraId="4E9CD286" w14:textId="77777777" w:rsidR="003B0F99" w:rsidRDefault="003B0F99" w:rsidP="000D7B37">
      <w:pPr>
        <w:pStyle w:val="0Maintext"/>
      </w:pPr>
    </w:p>
    <w:p w14:paraId="7D434FC5" w14:textId="2DB94DCF" w:rsidR="003B0F99" w:rsidRDefault="003B0F99" w:rsidP="000D7B37">
      <w:pPr>
        <w:pStyle w:val="0Maintext"/>
      </w:pPr>
      <w:r>
        <w:t xml:space="preserve">The agreement clearly indicates the dataset may be intended to train a scalable AI/ML model but it will be assigned a single pairing ID for entire dataset. Therefore, it is not possible to configure a payload size by the mean of pairing ID alone. A pairing ID along with further indication is required to configure a specific payload size at least for Direction A with sub-option 4-1. Assuming it is not reasonable to define a separate payload configuration mechanism for each inter-vendor collaboration scheme, this should be seem as the general payload configuration principal. </w:t>
      </w:r>
    </w:p>
    <w:p w14:paraId="75D2D63D" w14:textId="4E86E563" w:rsidR="00C677D9" w:rsidRDefault="00C677D9" w:rsidP="005556B5">
      <w:pPr>
        <w:pStyle w:val="Proposal"/>
      </w:pPr>
      <w:r>
        <w:t>Support separate configuration of {</w:t>
      </w:r>
      <m:oMath>
        <m:sSubSup>
          <m:sSubSupPr>
            <m:ctrlPr>
              <w:rPr>
                <w:rFonts w:ascii="Cambria Math" w:eastAsia="DengXian" w:hAnsi="Cambria Math"/>
                <w:i/>
                <w:iCs/>
                <w:sz w:val="24"/>
                <w:szCs w:val="24"/>
              </w:rPr>
            </m:ctrlPr>
          </m:sSubSupPr>
          <m:e>
            <m:r>
              <m:rPr>
                <m:sty m:val="bi"/>
              </m:rPr>
              <w:rPr>
                <w:rFonts w:ascii="Cambria Math" w:eastAsia="DengXian" w:hAnsi="Cambria Math"/>
              </w:rPr>
              <m:t>d</m:t>
            </m:r>
          </m:e>
          <m:sub>
            <m:r>
              <m:rPr>
                <m:sty m:val="bi"/>
              </m:rPr>
              <w:rPr>
                <w:rFonts w:ascii="Cambria Math" w:eastAsia="DengXian" w:hAnsi="Cambria Math"/>
              </w:rPr>
              <m:t>z</m:t>
            </m:r>
          </m:sub>
          <m:sup>
            <m:r>
              <m:rPr>
                <m:sty m:val="bi"/>
              </m:rPr>
              <w:rPr>
                <w:rFonts w:ascii="Cambria Math" w:eastAsia="DengXian" w:hAnsi="Cambria Math"/>
              </w:rPr>
              <m:t>l,ν</m:t>
            </m:r>
          </m:sup>
        </m:sSubSup>
        <m:r>
          <m:rPr>
            <m:sty m:val="bi"/>
          </m:rPr>
          <w:rPr>
            <w:rFonts w:ascii="Cambria Math" w:eastAsia="DengXian" w:hAnsi="Cambria Math"/>
          </w:rPr>
          <m:t xml:space="preserve">,  </m:t>
        </m:r>
        <m:sSup>
          <m:sSupPr>
            <m:ctrlPr>
              <w:rPr>
                <w:rFonts w:ascii="Cambria Math" w:eastAsia="DengXian" w:hAnsi="Cambria Math"/>
                <w:i/>
                <w:iCs/>
                <w:sz w:val="24"/>
                <w:szCs w:val="24"/>
              </w:rPr>
            </m:ctrlPr>
          </m:sSupPr>
          <m:e>
            <m:r>
              <m:rPr>
                <m:sty m:val="bi"/>
              </m:rPr>
              <w:rPr>
                <w:rFonts w:ascii="Cambria Math" w:eastAsia="DengXian" w:hAnsi="Cambria Math"/>
              </w:rPr>
              <m:t>Q</m:t>
            </m:r>
          </m:e>
          <m:sup>
            <m:r>
              <m:rPr>
                <m:sty m:val="bi"/>
              </m:rPr>
              <w:rPr>
                <w:rFonts w:ascii="Cambria Math" w:eastAsia="DengXian" w:hAnsi="Cambria Math"/>
              </w:rPr>
              <m:t>l,ν</m:t>
            </m:r>
          </m:sup>
        </m:sSup>
      </m:oMath>
      <w:r>
        <w:rPr>
          <w:lang w:eastAsia="x-none"/>
        </w:rPr>
        <w:t xml:space="preserve">, </w:t>
      </w:r>
      <m:oMath>
        <m:r>
          <m:rPr>
            <m:sty m:val="bi"/>
          </m:rPr>
          <w:rPr>
            <w:rFonts w:ascii="Cambria Math" w:eastAsia="DengXian" w:hAnsi="Cambria Math"/>
          </w:rPr>
          <m:t>L</m:t>
        </m:r>
      </m:oMath>
      <w:r>
        <w:t>} from pairing ID.</w:t>
      </w:r>
    </w:p>
    <w:p w14:paraId="756CC7C3" w14:textId="77777777" w:rsidR="005556B5" w:rsidRDefault="005556B5" w:rsidP="0061589A">
      <w:pPr>
        <w:pStyle w:val="0Maintext"/>
      </w:pPr>
    </w:p>
    <w:p w14:paraId="5E4E0DCC" w14:textId="29607B74" w:rsidR="0061589A" w:rsidRDefault="0061589A" w:rsidP="0061589A">
      <w:pPr>
        <w:pStyle w:val="0Maintext"/>
      </w:pPr>
      <w:r>
        <w:lastRenderedPageBreak/>
        <w:t xml:space="preserve">The quantization codebook alignment between UE side and NW side has been identified as a necessity during evaluations and studies made during previous releases’ study item phase. While we have initially discussed about the alignment procedure of quantization codebook at both sides for superior performance, this issue is essentially resolved with the following agreements made for inter-vendor collaboration schemes </w:t>
      </w:r>
      <w:r>
        <w:fldChar w:fldCharType="begin"/>
      </w:r>
      <w:r>
        <w:instrText xml:space="preserve"> REF _Ref205822068 \r \h  \* MERGEFORMAT </w:instrText>
      </w:r>
      <w:r>
        <w:fldChar w:fldCharType="separate"/>
      </w:r>
      <w:r>
        <w:rPr>
          <w:cs/>
        </w:rPr>
        <w:t>‎</w:t>
      </w:r>
      <w:r>
        <w:t>[4]</w:t>
      </w:r>
      <w:r>
        <w:fldChar w:fldCharType="end"/>
      </w:r>
      <w:r>
        <w:t>.</w:t>
      </w:r>
    </w:p>
    <w:p w14:paraId="415C8919" w14:textId="77777777" w:rsidR="00557CCB" w:rsidRPr="00557CCB" w:rsidRDefault="00557CCB" w:rsidP="0061589A">
      <w:pPr>
        <w:pStyle w:val="0Maintext"/>
        <w:rPr>
          <w:sz w:val="6"/>
          <w:szCs w:val="4"/>
        </w:rPr>
      </w:pPr>
    </w:p>
    <w:tbl>
      <w:tblPr>
        <w:tblStyle w:val="TableGrid"/>
        <w:tblW w:w="0" w:type="auto"/>
        <w:tblLook w:val="04A0" w:firstRow="1" w:lastRow="0" w:firstColumn="1" w:lastColumn="0" w:noHBand="0" w:noVBand="1"/>
      </w:tblPr>
      <w:tblGrid>
        <w:gridCol w:w="9631"/>
      </w:tblGrid>
      <w:tr w:rsidR="0061589A" w14:paraId="00046548" w14:textId="77777777" w:rsidTr="0061589A">
        <w:tc>
          <w:tcPr>
            <w:tcW w:w="9631" w:type="dxa"/>
            <w:tcBorders>
              <w:top w:val="single" w:sz="4" w:space="0" w:color="auto"/>
              <w:left w:val="single" w:sz="4" w:space="0" w:color="auto"/>
              <w:bottom w:val="single" w:sz="4" w:space="0" w:color="auto"/>
              <w:right w:val="single" w:sz="4" w:space="0" w:color="auto"/>
            </w:tcBorders>
            <w:hideMark/>
          </w:tcPr>
          <w:p w14:paraId="65AE6EB1" w14:textId="1940D90C" w:rsidR="0061589A" w:rsidRPr="00284A59" w:rsidRDefault="0061589A">
            <w:pPr>
              <w:spacing w:after="160" w:line="254" w:lineRule="auto"/>
              <w:rPr>
                <w:rFonts w:asciiTheme="majorBidi" w:eastAsia="DengXian" w:hAnsiTheme="majorBidi" w:cstheme="majorBidi"/>
                <w:iCs/>
                <w:kern w:val="2"/>
                <w:szCs w:val="22"/>
                <w:highlight w:val="green"/>
                <w:lang w:eastAsia="zh-CN"/>
                <w14:ligatures w14:val="standardContextual"/>
              </w:rPr>
            </w:pPr>
            <w:r w:rsidRPr="00284A59">
              <w:rPr>
                <w:rFonts w:asciiTheme="majorBidi" w:eastAsia="DengXian" w:hAnsiTheme="majorBidi" w:cstheme="majorBidi"/>
                <w:iCs/>
                <w:kern w:val="2"/>
                <w:szCs w:val="22"/>
                <w:highlight w:val="green"/>
                <w:lang w:eastAsia="zh-CN"/>
                <w14:ligatures w14:val="standardContextual"/>
              </w:rPr>
              <w:t xml:space="preserve">Agreement </w:t>
            </w:r>
            <w:r w:rsidRPr="00284A59">
              <w:rPr>
                <w:rFonts w:asciiTheme="majorBidi" w:eastAsia="DengXian" w:hAnsiTheme="majorBidi" w:cstheme="majorBidi"/>
                <w:iCs/>
                <w:kern w:val="2"/>
                <w:szCs w:val="22"/>
                <w:highlight w:val="green"/>
                <w:lang w:eastAsia="zh-CN"/>
                <w14:ligatures w14:val="standardContextual"/>
              </w:rPr>
              <w:fldChar w:fldCharType="begin"/>
            </w:r>
            <w:r w:rsidRPr="00284A59">
              <w:rPr>
                <w:rFonts w:asciiTheme="majorBidi" w:eastAsia="DengXian" w:hAnsiTheme="majorBidi" w:cstheme="majorBidi"/>
                <w:iCs/>
                <w:kern w:val="2"/>
                <w:szCs w:val="22"/>
                <w:highlight w:val="green"/>
                <w:lang w:eastAsia="zh-CN"/>
                <w14:ligatures w14:val="standardContextual"/>
              </w:rPr>
              <w:instrText xml:space="preserve"> REF _Ref205822068 \r \h </w:instrText>
            </w:r>
            <w:r w:rsidR="00284A59" w:rsidRPr="00284A59">
              <w:rPr>
                <w:rFonts w:asciiTheme="majorBidi" w:eastAsia="DengXian" w:hAnsiTheme="majorBidi" w:cstheme="majorBidi"/>
                <w:iCs/>
                <w:kern w:val="2"/>
                <w:szCs w:val="22"/>
                <w:highlight w:val="green"/>
                <w:lang w:eastAsia="zh-CN"/>
                <w14:ligatures w14:val="standardContextual"/>
              </w:rPr>
              <w:instrText xml:space="preserve"> \* MERGEFORMAT </w:instrText>
            </w:r>
            <w:r w:rsidRPr="00284A59">
              <w:rPr>
                <w:rFonts w:asciiTheme="majorBidi" w:eastAsia="DengXian" w:hAnsiTheme="majorBidi" w:cstheme="majorBidi"/>
                <w:iCs/>
                <w:kern w:val="2"/>
                <w:szCs w:val="22"/>
                <w:highlight w:val="green"/>
                <w:lang w:eastAsia="zh-CN"/>
                <w14:ligatures w14:val="standardContextual"/>
              </w:rPr>
            </w:r>
            <w:r w:rsidRPr="00284A59">
              <w:rPr>
                <w:rFonts w:asciiTheme="majorBidi" w:eastAsia="DengXian" w:hAnsiTheme="majorBidi" w:cstheme="majorBidi"/>
                <w:iCs/>
                <w:kern w:val="2"/>
                <w:szCs w:val="22"/>
                <w:highlight w:val="green"/>
                <w:lang w:eastAsia="zh-CN"/>
                <w14:ligatures w14:val="standardContextual"/>
              </w:rPr>
              <w:fldChar w:fldCharType="separate"/>
            </w:r>
            <w:r w:rsidRPr="00284A59">
              <w:rPr>
                <w:rFonts w:asciiTheme="majorBidi" w:eastAsia="DengXian" w:hAnsiTheme="majorBidi" w:cstheme="majorBidi"/>
                <w:iCs/>
                <w:kern w:val="2"/>
                <w:szCs w:val="22"/>
                <w:highlight w:val="green"/>
                <w:cs/>
                <w:lang w:eastAsia="zh-CN"/>
                <w14:ligatures w14:val="standardContextual"/>
              </w:rPr>
              <w:t>‎</w:t>
            </w:r>
            <w:r w:rsidRPr="00284A59">
              <w:rPr>
                <w:rFonts w:asciiTheme="majorBidi" w:eastAsia="DengXian" w:hAnsiTheme="majorBidi" w:cstheme="majorBidi"/>
                <w:iCs/>
                <w:kern w:val="2"/>
                <w:szCs w:val="22"/>
                <w:highlight w:val="green"/>
                <w:lang w:eastAsia="zh-CN"/>
                <w14:ligatures w14:val="standardContextual"/>
              </w:rPr>
              <w:t>[4]</w:t>
            </w:r>
            <w:r w:rsidRPr="00284A59">
              <w:rPr>
                <w:rFonts w:asciiTheme="majorBidi" w:eastAsia="DengXian" w:hAnsiTheme="majorBidi" w:cstheme="majorBidi"/>
                <w:iCs/>
                <w:kern w:val="2"/>
                <w:szCs w:val="22"/>
                <w:highlight w:val="green"/>
                <w:lang w:eastAsia="zh-CN"/>
                <w14:ligatures w14:val="standardContextual"/>
              </w:rPr>
              <w:fldChar w:fldCharType="end"/>
            </w:r>
            <w:r w:rsidRPr="00284A59">
              <w:rPr>
                <w:rFonts w:asciiTheme="majorBidi" w:eastAsia="DengXian" w:hAnsiTheme="majorBidi" w:cstheme="majorBidi"/>
                <w:iCs/>
                <w:kern w:val="2"/>
                <w:szCs w:val="22"/>
                <w:highlight w:val="green"/>
                <w:lang w:eastAsia="zh-CN"/>
                <w14:ligatures w14:val="standardContextual"/>
              </w:rPr>
              <w:t xml:space="preserve"> </w:t>
            </w:r>
          </w:p>
          <w:p w14:paraId="6FD97648" w14:textId="77777777" w:rsidR="0061589A" w:rsidRPr="00284A59" w:rsidRDefault="0061589A">
            <w:pPr>
              <w:spacing w:after="160" w:line="254" w:lineRule="auto"/>
              <w:rPr>
                <w:rFonts w:asciiTheme="majorBidi" w:eastAsia="Malgun Gothic" w:hAnsiTheme="majorBidi" w:cstheme="majorBidi"/>
                <w:kern w:val="2"/>
                <w:szCs w:val="22"/>
                <w14:ligatures w14:val="standardContextual"/>
              </w:rPr>
            </w:pPr>
            <w:r w:rsidRPr="00284A59">
              <w:rPr>
                <w:rFonts w:asciiTheme="majorBidi" w:eastAsia="DengXian" w:hAnsiTheme="majorBidi" w:cstheme="majorBidi"/>
                <w:kern w:val="2"/>
                <w:szCs w:val="22"/>
                <w:lang w:eastAsia="zh-CN"/>
                <w14:ligatures w14:val="standardContextual"/>
              </w:rPr>
              <w:t xml:space="preserve">For inter-vendor collaboration Direction C, </w:t>
            </w:r>
          </w:p>
          <w:p w14:paraId="049B9D46" w14:textId="77777777" w:rsidR="0061589A" w:rsidRPr="00284A59" w:rsidRDefault="0061589A" w:rsidP="0061589A">
            <w:pPr>
              <w:numPr>
                <w:ilvl w:val="0"/>
                <w:numId w:val="56"/>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Use standardized quantization codebook</w:t>
            </w:r>
          </w:p>
          <w:p w14:paraId="60ED364F" w14:textId="77777777" w:rsidR="0061589A" w:rsidRPr="00284A59" w:rsidRDefault="0061589A">
            <w:pPr>
              <w:spacing w:after="160" w:line="254" w:lineRule="auto"/>
              <w:rPr>
                <w:rFonts w:asciiTheme="majorBidi" w:eastAsia="DengXian" w:hAnsiTheme="majorBidi" w:cstheme="majorBidi"/>
                <w:kern w:val="2"/>
                <w:szCs w:val="22"/>
                <w:lang w:eastAsia="zh-CN"/>
                <w14:ligatures w14:val="standardContextual"/>
              </w:rPr>
            </w:pPr>
            <w:r w:rsidRPr="00284A59">
              <w:rPr>
                <w:rFonts w:asciiTheme="majorBidi" w:eastAsia="DengXian" w:hAnsiTheme="majorBidi" w:cstheme="majorBidi"/>
                <w:kern w:val="2"/>
                <w:szCs w:val="22"/>
                <w:lang w:eastAsia="zh-CN"/>
                <w14:ligatures w14:val="standardContextual"/>
              </w:rPr>
              <w:t xml:space="preserve">For inter-vendor collaboration Direction A Options 4-1, 3a-1 (with or without NW-side target CSI sharing), </w:t>
            </w:r>
          </w:p>
          <w:p w14:paraId="0749512A" w14:textId="77777777" w:rsidR="0061589A" w:rsidRPr="00284A59" w:rsidRDefault="0061589A" w:rsidP="0061589A">
            <w:pPr>
              <w:numPr>
                <w:ilvl w:val="0"/>
                <w:numId w:val="56"/>
              </w:numPr>
              <w:spacing w:line="276" w:lineRule="auto"/>
              <w:contextualSpacing/>
              <w:rPr>
                <w:rFonts w:asciiTheme="majorBidi" w:eastAsia="Malgun Gothic" w:hAnsiTheme="majorBidi" w:cstheme="majorBidi"/>
                <w:szCs w:val="22"/>
                <w:lang w:val="en-GB" w:eastAsia="zh-CN"/>
              </w:rPr>
            </w:pPr>
            <w:r w:rsidRPr="00284A59">
              <w:rPr>
                <w:rFonts w:asciiTheme="majorBidi" w:hAnsiTheme="majorBidi" w:cstheme="majorBidi"/>
                <w:szCs w:val="22"/>
                <w:lang w:val="en-GB" w:eastAsia="x-none"/>
              </w:rPr>
              <w:t>Standardize configuration(s) of quantization codebook, e.g., scalar or vector quantization, segment size of VQ, codebook size.</w:t>
            </w:r>
          </w:p>
          <w:p w14:paraId="22BB7148" w14:textId="77777777" w:rsidR="0061589A" w:rsidRPr="00284A59" w:rsidRDefault="0061589A" w:rsidP="0061589A">
            <w:pPr>
              <w:numPr>
                <w:ilvl w:val="1"/>
                <w:numId w:val="56"/>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FFS: applicability of the above for Case 2 </w:t>
            </w:r>
          </w:p>
          <w:p w14:paraId="0BF59367" w14:textId="77777777" w:rsidR="0061589A" w:rsidRPr="00284A59" w:rsidRDefault="0061589A" w:rsidP="0061589A">
            <w:pPr>
              <w:numPr>
                <w:ilvl w:val="1"/>
                <w:numId w:val="56"/>
              </w:numPr>
              <w:spacing w:line="276" w:lineRule="auto"/>
              <w:contextualSpacing/>
              <w:rPr>
                <w:rFonts w:asciiTheme="majorBidi" w:hAnsiTheme="majorBidi" w:cstheme="majorBidi"/>
                <w:szCs w:val="22"/>
                <w:lang w:val="en-GB" w:eastAsia="x-none"/>
              </w:rPr>
            </w:pPr>
            <w:r w:rsidRPr="00284A59">
              <w:rPr>
                <w:rFonts w:asciiTheme="majorBidi" w:hAnsiTheme="majorBidi" w:cstheme="majorBidi"/>
                <w:szCs w:val="22"/>
                <w:lang w:val="en-GB" w:eastAsia="x-none"/>
              </w:rPr>
              <w:t>Exchange quantization codebook of (the selected) standardized configuration(s) from NW-side to UE-side along with each exchanged dataset or model parameters.</w:t>
            </w:r>
          </w:p>
          <w:p w14:paraId="67248B64" w14:textId="77777777" w:rsidR="0061589A" w:rsidRDefault="0061589A" w:rsidP="0061589A">
            <w:pPr>
              <w:numPr>
                <w:ilvl w:val="0"/>
                <w:numId w:val="56"/>
              </w:numPr>
              <w:spacing w:line="276" w:lineRule="auto"/>
              <w:contextualSpacing/>
              <w:rPr>
                <w:rFonts w:ascii="Times" w:hAnsi="Times" w:cs="Times"/>
                <w:sz w:val="20"/>
                <w:szCs w:val="24"/>
                <w:lang w:val="en-GB" w:eastAsia="x-none"/>
              </w:rPr>
            </w:pPr>
            <w:r w:rsidRPr="00284A59">
              <w:rPr>
                <w:rFonts w:asciiTheme="majorBidi" w:hAnsiTheme="majorBidi" w:cstheme="majorBidi"/>
                <w:szCs w:val="22"/>
                <w:lang w:val="en-GB" w:eastAsia="x-none"/>
              </w:rPr>
              <w:t>FFS: whether quantization codebook may be different across different payload size configurations</w:t>
            </w:r>
            <w:r>
              <w:rPr>
                <w:rFonts w:ascii="Times" w:hAnsi="Times" w:cs="Times"/>
                <w:sz w:val="20"/>
                <w:szCs w:val="24"/>
                <w:lang w:val="en-GB" w:eastAsia="x-none"/>
              </w:rPr>
              <w:t xml:space="preserve"> </w:t>
            </w:r>
          </w:p>
        </w:tc>
      </w:tr>
    </w:tbl>
    <w:p w14:paraId="43AE287D" w14:textId="77777777" w:rsidR="0061589A" w:rsidRDefault="0061589A" w:rsidP="0061589A">
      <w:pPr>
        <w:jc w:val="both"/>
        <w:rPr>
          <w:lang w:val="en-GB"/>
        </w:rPr>
      </w:pPr>
    </w:p>
    <w:p w14:paraId="0A5FE62C" w14:textId="1C0DDF15" w:rsidR="00284A59" w:rsidRDefault="0061589A" w:rsidP="00284A59">
      <w:pPr>
        <w:jc w:val="both"/>
        <w:rPr>
          <w:lang w:val="en-GB"/>
        </w:rPr>
      </w:pPr>
      <w:r>
        <w:rPr>
          <w:lang w:val="en-GB"/>
        </w:rPr>
        <w:t>According to the agreement, the quantization codebook is either specified along with AI/ML model under Direction C or will be</w:t>
      </w:r>
      <w:r w:rsidR="000565F9">
        <w:rPr>
          <w:lang w:val="en-GB"/>
        </w:rPr>
        <w:t xml:space="preserve"> somehow</w:t>
      </w:r>
      <w:r>
        <w:rPr>
          <w:lang w:val="en-GB"/>
        </w:rPr>
        <w:t xml:space="preserve"> exchanged from NW to UE in Direction A sub-options 4-1 and 3a-1. This exchange can be done in either </w:t>
      </w:r>
      <w:r w:rsidR="000565F9">
        <w:rPr>
          <w:lang w:val="en-GB"/>
        </w:rPr>
        <w:t>by standardization and referring to standardized quantization codebook</w:t>
      </w:r>
      <w:r>
        <w:rPr>
          <w:lang w:val="en-GB"/>
        </w:rPr>
        <w:t xml:space="preserve"> or </w:t>
      </w:r>
      <w:r w:rsidR="000565F9">
        <w:rPr>
          <w:lang w:val="en-GB"/>
        </w:rPr>
        <w:t>transferring codebook itself</w:t>
      </w:r>
      <w:r>
        <w:rPr>
          <w:lang w:val="en-GB"/>
        </w:rPr>
        <w:t xml:space="preserve">, both resulting in a complete alignment at the NW and UE sides. </w:t>
      </w:r>
      <w:r w:rsidR="005556B5">
        <w:rPr>
          <w:lang w:val="en-GB"/>
        </w:rPr>
        <w:t>Following the advantages mentioned for SQ, it can be easily standardized too, and exchanging it with every dataset seems unnecessary. So</w:t>
      </w:r>
      <w:r w:rsidR="00284A59">
        <w:rPr>
          <w:lang w:val="en-GB"/>
        </w:rPr>
        <w:t>,</w:t>
      </w:r>
      <w:r w:rsidR="005556B5">
        <w:rPr>
          <w:lang w:val="en-GB"/>
        </w:rPr>
        <w:t xml:space="preserve"> if the downs election offered by the following agreement is deemed necessary, Alt2 seems more appealing.</w:t>
      </w:r>
    </w:p>
    <w:p w14:paraId="6589511A" w14:textId="77777777" w:rsidR="00557CCB" w:rsidRPr="00557CCB" w:rsidRDefault="00557CCB" w:rsidP="00284A59">
      <w:pPr>
        <w:jc w:val="both"/>
        <w:rPr>
          <w:sz w:val="2"/>
          <w:szCs w:val="2"/>
          <w:lang w:val="en-GB"/>
        </w:rPr>
      </w:pPr>
    </w:p>
    <w:tbl>
      <w:tblPr>
        <w:tblStyle w:val="TableGrid"/>
        <w:tblW w:w="0" w:type="auto"/>
        <w:tblLook w:val="04A0" w:firstRow="1" w:lastRow="0" w:firstColumn="1" w:lastColumn="0" w:noHBand="0" w:noVBand="1"/>
      </w:tblPr>
      <w:tblGrid>
        <w:gridCol w:w="9631"/>
      </w:tblGrid>
      <w:tr w:rsidR="000061C4" w14:paraId="269425D8" w14:textId="77777777" w:rsidTr="000061C4">
        <w:tc>
          <w:tcPr>
            <w:tcW w:w="9631" w:type="dxa"/>
          </w:tcPr>
          <w:p w14:paraId="42256A5B" w14:textId="0CB150B3" w:rsidR="000061C4" w:rsidRPr="000061C4" w:rsidRDefault="000061C4" w:rsidP="000061C4">
            <w:pPr>
              <w:spacing w:after="120"/>
              <w:jc w:val="both"/>
              <w:rPr>
                <w:rFonts w:eastAsia="MS Mincho"/>
                <w:sz w:val="20"/>
                <w:lang w:eastAsia="x-none"/>
              </w:rPr>
            </w:pPr>
            <w:r w:rsidRPr="000061C4">
              <w:rPr>
                <w:rFonts w:eastAsia="MS Mincho"/>
                <w:sz w:val="20"/>
                <w:highlight w:val="green"/>
                <w:lang w:val="x-none" w:eastAsia="x-none"/>
              </w:rPr>
              <w:t>Agreemen</w:t>
            </w:r>
            <w:r w:rsidRPr="000061C4">
              <w:rPr>
                <w:rFonts w:eastAsia="MS Mincho"/>
                <w:sz w:val="20"/>
                <w:highlight w:val="green"/>
                <w:lang w:eastAsia="x-none"/>
              </w:rPr>
              <w:t xml:space="preserve">t </w:t>
            </w:r>
            <w:r w:rsidRPr="000061C4">
              <w:rPr>
                <w:rFonts w:eastAsia="MS Mincho"/>
                <w:sz w:val="20"/>
                <w:highlight w:val="green"/>
                <w:lang w:eastAsia="x-none"/>
              </w:rPr>
              <w:fldChar w:fldCharType="begin"/>
            </w:r>
            <w:r w:rsidRPr="000061C4">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0061C4">
              <w:rPr>
                <w:rFonts w:eastAsia="MS Mincho"/>
                <w:sz w:val="20"/>
                <w:highlight w:val="green"/>
                <w:lang w:eastAsia="x-none"/>
              </w:rPr>
            </w:r>
            <w:r w:rsidRPr="000061C4">
              <w:rPr>
                <w:rFonts w:eastAsia="MS Mincho"/>
                <w:sz w:val="20"/>
                <w:highlight w:val="green"/>
                <w:lang w:eastAsia="x-none"/>
              </w:rPr>
              <w:fldChar w:fldCharType="separate"/>
            </w:r>
            <w:r w:rsidRPr="000061C4">
              <w:rPr>
                <w:rFonts w:eastAsia="MS Mincho"/>
                <w:sz w:val="20"/>
                <w:highlight w:val="green"/>
                <w:cs/>
                <w:lang w:eastAsia="x-none"/>
              </w:rPr>
              <w:t>‎</w:t>
            </w:r>
            <w:r w:rsidRPr="000061C4">
              <w:rPr>
                <w:rFonts w:eastAsia="MS Mincho"/>
                <w:sz w:val="20"/>
                <w:highlight w:val="green"/>
                <w:lang w:eastAsia="x-none"/>
              </w:rPr>
              <w:t>[5]</w:t>
            </w:r>
            <w:r w:rsidRPr="000061C4">
              <w:rPr>
                <w:rFonts w:eastAsia="MS Mincho"/>
                <w:sz w:val="20"/>
                <w:highlight w:val="green"/>
                <w:lang w:eastAsia="x-none"/>
              </w:rPr>
              <w:fldChar w:fldCharType="end"/>
            </w:r>
          </w:p>
          <w:p w14:paraId="306E09B0" w14:textId="77777777" w:rsidR="000061C4" w:rsidRPr="003B0F99" w:rsidRDefault="000061C4" w:rsidP="000061C4">
            <w:pPr>
              <w:spacing w:after="0"/>
              <w:rPr>
                <w:rFonts w:ascii="Times" w:eastAsia="Batang" w:hAnsi="Times"/>
                <w:szCs w:val="22"/>
                <w:lang w:val="en-GB"/>
              </w:rPr>
            </w:pPr>
            <w:r w:rsidRPr="003B0F99">
              <w:rPr>
                <w:rFonts w:ascii="Times" w:eastAsia="Batang" w:hAnsi="Times"/>
                <w:szCs w:val="22"/>
                <w:lang w:val="en-GB"/>
              </w:rPr>
              <w:t xml:space="preserve">For quantization codebook used for quantizing the feedback, </w:t>
            </w:r>
          </w:p>
          <w:p w14:paraId="08767C9B" w14:textId="3E4B5D95" w:rsidR="000061C4" w:rsidRPr="003B0F99" w:rsidRDefault="000061C4" w:rsidP="000061C4">
            <w:pPr>
              <w:numPr>
                <w:ilvl w:val="0"/>
                <w:numId w:val="51"/>
              </w:numPr>
              <w:spacing w:after="0" w:line="256" w:lineRule="auto"/>
              <w:rPr>
                <w:rFonts w:ascii="Times" w:eastAsia="Batang" w:hAnsi="Times"/>
                <w:szCs w:val="22"/>
                <w:lang w:val="en-GB"/>
              </w:rPr>
            </w:pPr>
            <w:r w:rsidRPr="003B0F99">
              <w:rPr>
                <w:rFonts w:ascii="Times" w:eastAsia="Batang" w:hAnsi="Times"/>
                <w:szCs w:val="22"/>
                <w:lang w:val="en-GB"/>
              </w:rPr>
              <w:t xml:space="preserve">For inter-vendor collaboration </w:t>
            </w:r>
            <w:r w:rsidR="003B0F99" w:rsidRPr="003B0F99">
              <w:rPr>
                <w:rFonts w:ascii="Times" w:eastAsia="Batang" w:hAnsi="Times"/>
                <w:szCs w:val="22"/>
                <w:lang w:val="en-GB"/>
              </w:rPr>
              <w:t>Direction</w:t>
            </w:r>
            <w:r w:rsidR="003B0F99">
              <w:rPr>
                <w:rFonts w:ascii="Times" w:eastAsia="Batang" w:hAnsi="Times"/>
                <w:szCs w:val="22"/>
                <w:lang w:val="en-GB"/>
              </w:rPr>
              <w:t xml:space="preserve"> </w:t>
            </w:r>
            <w:r w:rsidRPr="003B0F99">
              <w:rPr>
                <w:rFonts w:ascii="Times" w:eastAsia="Batang" w:hAnsi="Times"/>
                <w:szCs w:val="22"/>
                <w:lang w:val="en-GB"/>
              </w:rPr>
              <w:t>A, select one of the following:</w:t>
            </w:r>
          </w:p>
          <w:p w14:paraId="271BB316" w14:textId="77777777" w:rsidR="003B0F99" w:rsidRPr="003B0F99" w:rsidRDefault="000061C4" w:rsidP="003B0F99">
            <w:pPr>
              <w:numPr>
                <w:ilvl w:val="1"/>
                <w:numId w:val="52"/>
              </w:numPr>
              <w:suppressAutoHyphens/>
              <w:spacing w:after="160" w:line="256" w:lineRule="auto"/>
              <w:contextualSpacing/>
              <w:jc w:val="both"/>
              <w:rPr>
                <w:rFonts w:ascii="Times" w:eastAsia="Batang" w:hAnsi="Times"/>
                <w:szCs w:val="22"/>
                <w:lang w:val="en-GB" w:eastAsia="x-none"/>
              </w:rPr>
            </w:pPr>
            <w:r w:rsidRPr="003B0F99">
              <w:rPr>
                <w:rFonts w:ascii="Times" w:eastAsia="Batang" w:hAnsi="Times"/>
                <w:szCs w:val="22"/>
                <w:lang w:val="en-GB" w:eastAsia="x-none"/>
              </w:rPr>
              <w:t>Alt1: Exchange quantization codebook from NW-side to UE-side along with each exchanged dataset or model parameters</w:t>
            </w:r>
          </w:p>
          <w:p w14:paraId="45569B64" w14:textId="350F4D78" w:rsidR="000061C4" w:rsidRPr="003B0F99" w:rsidRDefault="000061C4" w:rsidP="003B0F99">
            <w:pPr>
              <w:numPr>
                <w:ilvl w:val="1"/>
                <w:numId w:val="52"/>
              </w:numPr>
              <w:suppressAutoHyphens/>
              <w:spacing w:after="160" w:line="256" w:lineRule="auto"/>
              <w:contextualSpacing/>
              <w:jc w:val="both"/>
              <w:rPr>
                <w:rFonts w:ascii="Times" w:eastAsia="Batang" w:hAnsi="Times"/>
                <w:sz w:val="20"/>
                <w:lang w:val="en-GB" w:eastAsia="x-none"/>
              </w:rPr>
            </w:pPr>
            <w:r w:rsidRPr="003B0F99">
              <w:rPr>
                <w:szCs w:val="22"/>
              </w:rPr>
              <w:t>Alt2: Use a standardized quantization codebook decided by RAN1.</w:t>
            </w:r>
          </w:p>
        </w:tc>
      </w:tr>
    </w:tbl>
    <w:p w14:paraId="641AF661" w14:textId="77777777" w:rsidR="000061C4" w:rsidRDefault="000061C4" w:rsidP="000061C4">
      <w:pPr>
        <w:pStyle w:val="0Maintext"/>
      </w:pPr>
    </w:p>
    <w:p w14:paraId="0E3E1F00" w14:textId="71EB6E52" w:rsidR="000061C4" w:rsidRDefault="000061C4" w:rsidP="005556B5">
      <w:pPr>
        <w:pStyle w:val="Proposal"/>
      </w:pPr>
      <w:r w:rsidRPr="000565F9">
        <w:t xml:space="preserve">Prioritize Alt </w:t>
      </w:r>
      <w:r w:rsidR="00284A59">
        <w:t>2-</w:t>
      </w:r>
      <w:r w:rsidRPr="000565F9">
        <w:t xml:space="preserve"> Use a standardized quantization codebook decided by RAN1</w:t>
      </w:r>
      <w:r w:rsidR="00284A59">
        <w:t xml:space="preserve"> at least for SQ.</w:t>
      </w:r>
    </w:p>
    <w:p w14:paraId="14D4C51D" w14:textId="45A48A93" w:rsidR="00284A59" w:rsidRDefault="00284A59" w:rsidP="00284A59">
      <w:pPr>
        <w:pStyle w:val="0Maintext"/>
      </w:pPr>
      <w:r>
        <w:t xml:space="preserve">Finally, we have not observed any pressing need to exchange/configure more than one quantization codebook per AI/ML model. In fact, impact of quantization resolution on performance is lower than length of output decoder. Thereby, to make different payload size available for a single scalable AI/ML model, it would be beneficial to focus on the </w:t>
      </w:r>
      <m:oMath>
        <m:sSubSup>
          <m:sSubSupPr>
            <m:ctrlPr>
              <w:rPr>
                <w:rFonts w:ascii="Cambria Math" w:hAnsi="Cambria Math"/>
                <w:i/>
                <w:sz w:val="24"/>
                <w:szCs w:val="24"/>
              </w:rPr>
            </m:ctrlPr>
          </m:sSubSupPr>
          <m:e>
            <m:r>
              <w:rPr>
                <w:rFonts w:ascii="Cambria Math" w:hAnsi="Cambria Math"/>
              </w:rPr>
              <m:t>d</m:t>
            </m:r>
          </m:e>
          <m:sub>
            <m:r>
              <w:rPr>
                <w:rFonts w:ascii="Cambria Math" w:hAnsi="Cambria Math"/>
              </w:rPr>
              <m:t>z</m:t>
            </m:r>
          </m:sub>
          <m:sup>
            <m:r>
              <w:rPr>
                <w:rFonts w:ascii="Cambria Math" w:hAnsi="Cambria Math"/>
              </w:rPr>
              <m:t>l,v</m:t>
            </m:r>
          </m:sup>
        </m:sSubSup>
      </m:oMath>
      <w:r>
        <w:t xml:space="preserve"> rather than </w:t>
      </w:r>
      <m:oMath>
        <m:sSup>
          <m:sSupPr>
            <m:ctrlPr>
              <w:rPr>
                <w:rFonts w:ascii="Cambria Math" w:hAnsi="Cambria Math"/>
                <w:i/>
                <w:sz w:val="24"/>
                <w:szCs w:val="24"/>
              </w:rPr>
            </m:ctrlPr>
          </m:sSupPr>
          <m:e>
            <m:r>
              <w:rPr>
                <w:rFonts w:ascii="Cambria Math" w:hAnsi="Cambria Math"/>
              </w:rPr>
              <m:t>Q</m:t>
            </m:r>
          </m:e>
          <m:sup>
            <m:r>
              <w:rPr>
                <w:rFonts w:ascii="Cambria Math" w:hAnsi="Cambria Math"/>
              </w:rPr>
              <m:t>l,v</m:t>
            </m:r>
          </m:sup>
        </m:sSup>
      </m:oMath>
      <w:r>
        <w:t xml:space="preserve"> and </w:t>
      </w:r>
      <m:oMath>
        <m:r>
          <w:rPr>
            <w:rFonts w:ascii="Cambria Math" w:hAnsi="Cambria Math"/>
          </w:rPr>
          <m:t>L</m:t>
        </m:r>
      </m:oMath>
      <w:r>
        <w:t>.</w:t>
      </w:r>
    </w:p>
    <w:p w14:paraId="43FD7EE4" w14:textId="6C46D147" w:rsidR="00284A59" w:rsidRPr="000565F9" w:rsidRDefault="00284A59" w:rsidP="00284A59">
      <w:pPr>
        <w:pStyle w:val="Proposal"/>
      </w:pPr>
      <w:r>
        <w:t xml:space="preserve">Support a single quantization codebook per AI/ML </w:t>
      </w:r>
      <w:r w:rsidR="00557CCB">
        <w:t>model.</w:t>
      </w:r>
    </w:p>
    <w:p w14:paraId="6CE39FE5" w14:textId="3A5DABA6" w:rsidR="001B7CDD" w:rsidRPr="001B7CDD" w:rsidRDefault="005F0F06" w:rsidP="001D3ADA">
      <w:pPr>
        <w:pStyle w:val="Heading2"/>
        <w:rPr>
          <w:lang w:val="en-GB"/>
        </w:rPr>
      </w:pPr>
      <w:r>
        <w:rPr>
          <w:lang w:val="en-GB"/>
        </w:rPr>
        <w:t>CSI Processing Unit</w:t>
      </w:r>
      <w:r w:rsidR="008C67AD">
        <w:rPr>
          <w:lang w:val="en-GB"/>
        </w:rPr>
        <w:t xml:space="preserve"> and Timeline </w:t>
      </w:r>
    </w:p>
    <w:p w14:paraId="404226E9" w14:textId="7A826309" w:rsidR="002E3848" w:rsidRDefault="00CA0064" w:rsidP="00697E7A">
      <w:pPr>
        <w:pStyle w:val="0Maintext"/>
        <w:rPr>
          <w:bCs/>
          <w:iCs/>
          <w:lang w:eastAsia="zh-CN"/>
        </w:rPr>
      </w:pPr>
      <w:r>
        <w:rPr>
          <w:lang w:val="en-GB"/>
        </w:rPr>
        <w:t xml:space="preserve">The CSI processing unit has been discussed for one-sided AI/ML use cases, e.g., AI/ML-based CSI prediction and beam management. The progress made for those use cases, can be re-used for AI/ML CSI compression as well. </w:t>
      </w:r>
      <w:r w:rsidR="005F0F06">
        <w:rPr>
          <w:lang w:val="en-GB"/>
        </w:rPr>
        <w:t xml:space="preserve"> </w:t>
      </w:r>
      <w:r w:rsidR="00262FF3">
        <w:rPr>
          <w:lang w:val="en-GB"/>
        </w:rPr>
        <w:t xml:space="preserve">For AI/ML CSI compression, we support dedicated AI/ML processing unit </w:t>
      </w:r>
      <w:r w:rsidR="00697E7A">
        <w:rPr>
          <w:lang w:val="en-GB"/>
        </w:rPr>
        <w:t>(</w:t>
      </w:r>
      <w:r w:rsidR="00262FF3">
        <w:rPr>
          <w:lang w:val="en-GB"/>
        </w:rPr>
        <w:t>APU</w:t>
      </w:r>
      <w:r w:rsidR="00697E7A">
        <w:rPr>
          <w:lang w:val="en-GB"/>
        </w:rPr>
        <w:t>)</w:t>
      </w:r>
      <w:r w:rsidR="00262FF3">
        <w:rPr>
          <w:lang w:val="en-GB"/>
        </w:rPr>
        <w:t xml:space="preserve"> which is not shared with other AI/ML use cases nor legacy CSI reports. Therefore, we prefer to report</w:t>
      </w:r>
      <w:r w:rsidR="00927D92">
        <w:rPr>
          <w:lang w:val="en-GB"/>
        </w:rPr>
        <w:t xml:space="preserve"> a dedicated APU pool for </w:t>
      </w:r>
      <w:r w:rsidR="00927D92">
        <w:rPr>
          <w:lang w:val="en-GB"/>
        </w:rPr>
        <w:lastRenderedPageBreak/>
        <w:t>each AI/ML functionality in UE capability report in terms of O_APU.</w:t>
      </w:r>
      <w:r w:rsidR="00262FF3">
        <w:rPr>
          <w:lang w:val="en-GB"/>
        </w:rPr>
        <w:t xml:space="preserve"> </w:t>
      </w:r>
      <w:r w:rsidR="00927D92">
        <w:rPr>
          <w:lang w:val="en-GB"/>
        </w:rPr>
        <w:t xml:space="preserve">There are two </w:t>
      </w:r>
      <w:r w:rsidR="0004211F">
        <w:rPr>
          <w:lang w:val="en-GB"/>
        </w:rPr>
        <w:t xml:space="preserve">main </w:t>
      </w:r>
      <w:r w:rsidR="00927D92">
        <w:rPr>
          <w:lang w:val="en-GB"/>
        </w:rPr>
        <w:t>reasons behind this.</w:t>
      </w:r>
      <w:r w:rsidR="002E3848">
        <w:rPr>
          <w:bCs/>
          <w:iCs/>
          <w:lang w:eastAsia="zh-CN"/>
        </w:rPr>
        <w:t xml:space="preserve"> </w:t>
      </w:r>
      <w:r w:rsidR="00927D92">
        <w:rPr>
          <w:bCs/>
          <w:iCs/>
          <w:lang w:eastAsia="zh-CN"/>
        </w:rPr>
        <w:t>C</w:t>
      </w:r>
      <w:r w:rsidR="002E3848">
        <w:rPr>
          <w:bCs/>
          <w:iCs/>
          <w:lang w:eastAsia="zh-CN"/>
        </w:rPr>
        <w:t xml:space="preserve">urrent legacy CPU mechanism cannot accurately capture the complexity difference between different CSI reports. For example, BM will report 1 port Wide Band L1-RSRP only, and a CSI-ACQ report may require UE to measure and calculate for up to 32 ports of CRI/RI/PMI/CQI for either Wideband or Sub-Band. It is very hard to accommodate the corresponding complexity difference into the current granularity of O_CPU. </w:t>
      </w:r>
      <w:r w:rsidR="00697E7A">
        <w:rPr>
          <w:bCs/>
          <w:iCs/>
          <w:lang w:eastAsia="zh-CN"/>
        </w:rPr>
        <w:t xml:space="preserve">Thereby, a dedicated O_APU is needed. </w:t>
      </w:r>
      <w:r w:rsidR="002E3848">
        <w:rPr>
          <w:bCs/>
          <w:iCs/>
          <w:lang w:eastAsia="zh-CN"/>
        </w:rPr>
        <w:t xml:space="preserve">Moreover, the UE implementation on the legacy algorithms and AI/ML-based algorithms are totally different. They may even use different hardware resources for computation. </w:t>
      </w:r>
      <w:r w:rsidR="00697E7A">
        <w:rPr>
          <w:bCs/>
          <w:iCs/>
          <w:lang w:eastAsia="zh-CN"/>
        </w:rPr>
        <w:t>It is not reasonable therefore to</w:t>
      </w:r>
      <w:r w:rsidR="002E3848">
        <w:rPr>
          <w:bCs/>
          <w:iCs/>
          <w:lang w:eastAsia="zh-CN"/>
        </w:rPr>
        <w:t xml:space="preserve"> add the AI/ML report complexity on top of the current CPU mechanism. </w:t>
      </w:r>
      <w:r w:rsidR="00697E7A">
        <w:rPr>
          <w:bCs/>
          <w:iCs/>
          <w:lang w:eastAsia="zh-CN"/>
        </w:rPr>
        <w:t>Additionally</w:t>
      </w:r>
      <w:r w:rsidR="002E3848">
        <w:rPr>
          <w:bCs/>
          <w:iCs/>
          <w:lang w:eastAsia="zh-CN"/>
        </w:rPr>
        <w:t>, we believe it is more useful for UE to report dedicated processing capability for each AI/ML use cases. With this approach, we don’t need to standardize on how to capture the complexity difference among different use cases and NW can have a clearer understanding on how many AI/ML</w:t>
      </w:r>
      <w:r w:rsidR="00927D92">
        <w:rPr>
          <w:bCs/>
          <w:iCs/>
          <w:lang w:eastAsia="zh-CN"/>
        </w:rPr>
        <w:t xml:space="preserve"> </w:t>
      </w:r>
      <w:r w:rsidR="002E3848">
        <w:rPr>
          <w:bCs/>
          <w:iCs/>
          <w:lang w:eastAsia="zh-CN"/>
        </w:rPr>
        <w:t>reports UE can support simultaneously</w:t>
      </w:r>
      <w:r w:rsidR="00927D92">
        <w:rPr>
          <w:bCs/>
          <w:iCs/>
          <w:lang w:eastAsia="zh-CN"/>
        </w:rPr>
        <w:t xml:space="preserve"> for each AI/ML functionality</w:t>
      </w:r>
      <w:r w:rsidR="002E3848">
        <w:rPr>
          <w:bCs/>
          <w:iCs/>
          <w:lang w:eastAsia="zh-CN"/>
        </w:rPr>
        <w:t xml:space="preserve">. </w:t>
      </w:r>
    </w:p>
    <w:p w14:paraId="6546DDCE" w14:textId="4CEDB01C" w:rsidR="00284A59" w:rsidRDefault="00681BB0" w:rsidP="00284A59">
      <w:pPr>
        <w:pStyle w:val="Proposal"/>
      </w:pPr>
      <w:r>
        <w:t>Consider a</w:t>
      </w:r>
      <w:r w:rsidR="002E3848" w:rsidRPr="00262FF3">
        <w:t xml:space="preserve"> dedicated AI/ML PU for AI/ML-based </w:t>
      </w:r>
      <w:r w:rsidR="00262FF3" w:rsidRPr="00262FF3">
        <w:t>CSI Compression</w:t>
      </w:r>
      <w:r w:rsidR="002E3848" w:rsidRPr="00262FF3">
        <w:t xml:space="preserve"> </w:t>
      </w:r>
      <w:r>
        <w:t xml:space="preserve">which </w:t>
      </w:r>
      <w:r w:rsidR="002E3848" w:rsidRPr="00262FF3">
        <w:t xml:space="preserve">will not be shared with other </w:t>
      </w:r>
      <w:r w:rsidR="00697E7A">
        <w:t>AI/ML functionalities</w:t>
      </w:r>
      <w:r w:rsidR="002E3848" w:rsidRPr="00262FF3">
        <w:t xml:space="preserve">. </w:t>
      </w:r>
    </w:p>
    <w:p w14:paraId="4FAC178F" w14:textId="4E9036ED" w:rsidR="009533FB" w:rsidRDefault="00697E7A" w:rsidP="009533FB">
      <w:pPr>
        <w:pStyle w:val="0Maintext"/>
      </w:pPr>
      <w:r>
        <w:t xml:space="preserve">Regarding the timeline for AI/ML for CSI compression, </w:t>
      </w:r>
      <w:r w:rsidR="009533FB">
        <w:t>the</w:t>
      </w:r>
      <w:r>
        <w:t xml:space="preserve"> legacy timeline cannot be </w:t>
      </w:r>
      <w:r w:rsidR="009533FB">
        <w:t>directly re</w:t>
      </w:r>
      <w:r>
        <w:t xml:space="preserve">used as it does not </w:t>
      </w:r>
      <w:r w:rsidR="00681BB0">
        <w:t>incorporate</w:t>
      </w:r>
      <w:r>
        <w:t xml:space="preserve"> the delay from AI/ML model inference and loading AI/ML model onto dedicated </w:t>
      </w:r>
      <w:r w:rsidR="009533FB">
        <w:t xml:space="preserve">processing unit. In our understanding, </w:t>
      </w:r>
      <w:r w:rsidR="00681BB0">
        <w:t>once</w:t>
      </w:r>
      <w:r w:rsidR="009533FB">
        <w:t xml:space="preserve"> offline training through inter-vendor collaboration</w:t>
      </w:r>
      <w:r w:rsidR="00681BB0">
        <w:t xml:space="preserve"> schemes</w:t>
      </w:r>
      <w:r w:rsidR="009533FB">
        <w:t xml:space="preserve"> </w:t>
      </w:r>
      <w:r w:rsidR="00623A42">
        <w:t>is</w:t>
      </w:r>
      <w:r w:rsidR="009533FB">
        <w:t xml:space="preserve"> complete</w:t>
      </w:r>
      <w:r w:rsidR="00681BB0">
        <w:t>d</w:t>
      </w:r>
      <w:r w:rsidR="009533FB">
        <w:t>, a UE vendor may obtain tens of AI/ML model</w:t>
      </w:r>
      <w:r w:rsidR="00681BB0">
        <w:t>s</w:t>
      </w:r>
      <w:r w:rsidR="009533FB">
        <w:t xml:space="preserve"> with respect to different configuration</w:t>
      </w:r>
      <w:r w:rsidR="00681BB0">
        <w:t>s</w:t>
      </w:r>
      <w:r w:rsidR="009533FB">
        <w:t>, scenarios, and NW vendors; all residing at the UE</w:t>
      </w:r>
      <w:r w:rsidR="00681BB0">
        <w:t>-</w:t>
      </w:r>
      <w:r w:rsidR="009533FB">
        <w:t xml:space="preserve">side server. Each UE device may store a subset of trained AI/ML models in the field, but it is </w:t>
      </w:r>
      <w:r w:rsidR="00681BB0">
        <w:t xml:space="preserve">still </w:t>
      </w:r>
      <w:r w:rsidR="009533FB">
        <w:t xml:space="preserve">not feasible to keep all of them ready to inference on the dedicated processing units. In our view, when an AI/ML model is configured for inference, it should be first loaded from storage onto the dedicated processing unit which incurs a delay. On the other hand, execution of the model itself introduce additional delay depending on the </w:t>
      </w:r>
      <w:r w:rsidR="00681BB0">
        <w:t xml:space="preserve">UE’s </w:t>
      </w:r>
      <w:r w:rsidR="009533FB">
        <w:t>processing capability and AI/ML model’s complexity. These two delaying factors are not considered by legacy timeline. Therefore, it is suggested to introduce an additional delay (which depends on hardware capability and AI/ML model’s complexity) into the legacy timeline for CSI reports.</w:t>
      </w:r>
    </w:p>
    <w:p w14:paraId="577D83A1" w14:textId="6EAAAB23" w:rsidR="00927D92" w:rsidRDefault="006D2C5A" w:rsidP="005556B5">
      <w:pPr>
        <w:pStyle w:val="Proposal"/>
      </w:pPr>
      <w:r>
        <w:t>Consider adding additional delay based on UE</w:t>
      </w:r>
      <w:r w:rsidR="00681BB0">
        <w:t>’s</w:t>
      </w:r>
      <w:r>
        <w:t xml:space="preserve"> capability report into legacy timeline in order to accommodate delays incurred from loading AI/ML model onto dedicated </w:t>
      </w:r>
      <w:r w:rsidR="00681BB0">
        <w:t xml:space="preserve">AI </w:t>
      </w:r>
      <w:r>
        <w:t xml:space="preserve">processing unit and its execution. </w:t>
      </w:r>
      <w:r w:rsidR="009533FB">
        <w:t xml:space="preserve"> </w:t>
      </w:r>
      <w:r w:rsidR="00697E7A">
        <w:t xml:space="preserve">  </w:t>
      </w:r>
    </w:p>
    <w:p w14:paraId="78A90353" w14:textId="77777777" w:rsidR="003B0F99" w:rsidRPr="00697E7A" w:rsidRDefault="003B0F99" w:rsidP="005556B5">
      <w:pPr>
        <w:pStyle w:val="Proposal"/>
        <w:numPr>
          <w:ilvl w:val="0"/>
          <w:numId w:val="0"/>
        </w:numPr>
      </w:pPr>
    </w:p>
    <w:p w14:paraId="2EB75FAA" w14:textId="6F1501A4" w:rsidR="006C0CEE" w:rsidRDefault="006C0CEE" w:rsidP="006C0CEE">
      <w:pPr>
        <w:pStyle w:val="Heading1"/>
      </w:pPr>
      <w:r>
        <w:t>Conclusion</w:t>
      </w:r>
    </w:p>
    <w:p w14:paraId="21ADBD4E" w14:textId="4075CBFD" w:rsidR="00FC2E6D" w:rsidRDefault="006C0CEE" w:rsidP="006C0CEE">
      <w:r>
        <w:t>We have the follo</w:t>
      </w:r>
      <w:r w:rsidR="00345873">
        <w:t xml:space="preserve">wing proposals in this contribution: </w:t>
      </w:r>
    </w:p>
    <w:p w14:paraId="417EAE4E" w14:textId="77777777" w:rsidR="00C22A30" w:rsidRDefault="00C22A30" w:rsidP="005556B5">
      <w:pPr>
        <w:pStyle w:val="Proposal"/>
        <w:numPr>
          <w:ilvl w:val="0"/>
          <w:numId w:val="20"/>
        </w:numPr>
      </w:pPr>
      <w:r>
        <w:t>For pairing and applicability report of two-sided AI/ML models using AI/ML model ID, the following procedure is proposed as the starting point of discussion:</w:t>
      </w:r>
    </w:p>
    <w:p w14:paraId="33F1BD07" w14:textId="77777777" w:rsidR="00C22A30" w:rsidRDefault="00C22A30" w:rsidP="00C22A30">
      <w:pPr>
        <w:pStyle w:val="ListParagraph"/>
        <w:numPr>
          <w:ilvl w:val="0"/>
          <w:numId w:val="43"/>
        </w:numPr>
        <w:rPr>
          <w:b/>
          <w:bCs/>
          <w:lang w:val="en-GB" w:eastAsia="zh-CN"/>
        </w:rPr>
      </w:pPr>
      <w:r>
        <w:rPr>
          <w:b/>
          <w:bCs/>
          <w:lang w:val="en-GB" w:eastAsia="zh-CN"/>
        </w:rPr>
        <w:t xml:space="preserve">Step 1: Network sends UECapabilityEnqiry message to initiate the procedure to a UE reporting its AI/ML supported functionalities. </w:t>
      </w:r>
    </w:p>
    <w:p w14:paraId="5BED9573" w14:textId="77777777" w:rsidR="00C22A30" w:rsidRDefault="00C22A30" w:rsidP="00C22A30">
      <w:pPr>
        <w:pStyle w:val="ListParagraph"/>
        <w:numPr>
          <w:ilvl w:val="0"/>
          <w:numId w:val="43"/>
        </w:numPr>
        <w:rPr>
          <w:b/>
          <w:bCs/>
          <w:lang w:val="en-GB" w:eastAsia="zh-CN"/>
        </w:rPr>
      </w:pPr>
      <w:r>
        <w:rPr>
          <w:b/>
          <w:bCs/>
          <w:lang w:val="en-GB" w:eastAsia="zh-CN"/>
        </w:rPr>
        <w:t>Step 2: UE sends UECapablityInformation message to network, containing supported functionalities at the UE side.</w:t>
      </w:r>
    </w:p>
    <w:p w14:paraId="448B49CC" w14:textId="77777777" w:rsidR="00C22A30" w:rsidRDefault="00C22A30" w:rsidP="00C22A30">
      <w:pPr>
        <w:pStyle w:val="ListParagraph"/>
        <w:numPr>
          <w:ilvl w:val="0"/>
          <w:numId w:val="43"/>
        </w:numPr>
        <w:rPr>
          <w:b/>
          <w:bCs/>
          <w:lang w:val="en-GB" w:eastAsia="zh-CN"/>
        </w:rPr>
      </w:pPr>
      <w:r>
        <w:rPr>
          <w:b/>
          <w:bCs/>
          <w:lang w:val="en-GB" w:eastAsia="zh-CN"/>
        </w:rPr>
        <w:t>Step 3: NW sends a sets of AI/ML model IDs available at NW-side and ready to be paired and may provide initial configuration of each inquired AI/ML model ID.</w:t>
      </w:r>
    </w:p>
    <w:p w14:paraId="2E9AFBF7" w14:textId="77777777" w:rsidR="00C22A30" w:rsidRDefault="00C22A30" w:rsidP="00C22A30">
      <w:pPr>
        <w:pStyle w:val="ListParagraph"/>
        <w:numPr>
          <w:ilvl w:val="0"/>
          <w:numId w:val="43"/>
        </w:numPr>
        <w:rPr>
          <w:b/>
          <w:bCs/>
          <w:lang w:val="en-GB" w:eastAsia="zh-CN"/>
        </w:rPr>
      </w:pPr>
      <w:r>
        <w:rPr>
          <w:b/>
          <w:bCs/>
          <w:lang w:val="en-GB" w:eastAsia="zh-CN"/>
        </w:rPr>
        <w:t>Step 4: UE reports applicable AI/ML model IDs corresponding to the AI/ML model IDs inquired by NW during step 3.</w:t>
      </w:r>
    </w:p>
    <w:p w14:paraId="0AC0F8F1" w14:textId="03E58F00" w:rsidR="00C22A30" w:rsidRDefault="00C22A30" w:rsidP="00C22A30">
      <w:pPr>
        <w:pStyle w:val="ListParagraph"/>
        <w:numPr>
          <w:ilvl w:val="0"/>
          <w:numId w:val="43"/>
        </w:numPr>
        <w:rPr>
          <w:b/>
          <w:bCs/>
          <w:lang w:val="en-GB" w:eastAsia="zh-CN"/>
        </w:rPr>
      </w:pPr>
      <w:r>
        <w:rPr>
          <w:b/>
          <w:bCs/>
          <w:lang w:val="en-GB" w:eastAsia="zh-CN"/>
        </w:rPr>
        <w:t xml:space="preserve">Step 5: NW configures a set of applicable AI/ML models based on the report received in step 4 from </w:t>
      </w:r>
      <w:r w:rsidR="00557CCB">
        <w:rPr>
          <w:b/>
          <w:bCs/>
          <w:lang w:val="en-GB" w:eastAsia="zh-CN"/>
        </w:rPr>
        <w:t>UE and</w:t>
      </w:r>
      <w:r>
        <w:rPr>
          <w:b/>
          <w:bCs/>
          <w:lang w:val="en-GB" w:eastAsia="zh-CN"/>
        </w:rPr>
        <w:t xml:space="preserve"> may provide updated configurations compared to step 3.</w:t>
      </w:r>
    </w:p>
    <w:p w14:paraId="0F537305" w14:textId="2DA9A02F" w:rsidR="001F171C" w:rsidRDefault="001F171C" w:rsidP="005556B5">
      <w:pPr>
        <w:pStyle w:val="Proposal"/>
      </w:pPr>
      <w:r w:rsidRPr="001F171C">
        <w:lastRenderedPageBreak/>
        <w:t>For CQI determination using two-sided AI/ML models for CSI compression: i) deprioritize sub-options 1c, 2a, and 2b; and ii) Further clarify potential adjustment in option 1b.</w:t>
      </w:r>
    </w:p>
    <w:p w14:paraId="756FAE04" w14:textId="3EFAF615" w:rsidR="001F171C" w:rsidRDefault="001F171C" w:rsidP="005556B5">
      <w:pPr>
        <w:pStyle w:val="Proposal"/>
      </w:pPr>
      <w:r>
        <w:t>As priority rules for AI/ML-related CSI reports, assign lowest priority to the data collection reports and equal priority to monitoring and inference reports.</w:t>
      </w:r>
    </w:p>
    <w:p w14:paraId="2561C080" w14:textId="1315C5EB" w:rsidR="001F171C" w:rsidRDefault="001F171C" w:rsidP="005556B5">
      <w:pPr>
        <w:pStyle w:val="Proposal"/>
      </w:pPr>
      <w:r>
        <w:t>Consider the following options for CSI omission:</w:t>
      </w:r>
    </w:p>
    <w:p w14:paraId="41856DA4" w14:textId="77777777" w:rsidR="001F171C" w:rsidRDefault="001F171C" w:rsidP="001F171C">
      <w:pPr>
        <w:pStyle w:val="0Maintext"/>
        <w:numPr>
          <w:ilvl w:val="0"/>
          <w:numId w:val="53"/>
        </w:numPr>
        <w:spacing w:after="0"/>
        <w:rPr>
          <w:b/>
          <w:bCs/>
        </w:rPr>
      </w:pPr>
      <w:r>
        <w:rPr>
          <w:b/>
          <w:bCs/>
        </w:rPr>
        <w:t>Option 1- Layer-wise omission: All feedbacks bits corresponding to a layer will be omitted at a time.</w:t>
      </w:r>
    </w:p>
    <w:p w14:paraId="36CC0A3D" w14:textId="5819D7F8" w:rsidR="001F171C" w:rsidRDefault="001F171C" w:rsidP="001F171C">
      <w:pPr>
        <w:pStyle w:val="0Maintext"/>
        <w:numPr>
          <w:ilvl w:val="0"/>
          <w:numId w:val="53"/>
        </w:numPr>
        <w:spacing w:after="0"/>
        <w:rPr>
          <w:b/>
          <w:bCs/>
        </w:rPr>
      </w:pPr>
      <w:r>
        <w:rPr>
          <w:b/>
          <w:bCs/>
        </w:rPr>
        <w:t>Option 2 - Group-wise omission: group(s) of feedback bits from all layers will be omitted at a time.</w:t>
      </w:r>
    </w:p>
    <w:p w14:paraId="4A02AF63" w14:textId="3943DCE8" w:rsidR="001F171C" w:rsidRDefault="00557CCB" w:rsidP="005556B5">
      <w:pPr>
        <w:pStyle w:val="Proposal"/>
      </w:pPr>
      <w:r w:rsidRPr="00557CCB">
        <w:t>Prioritize group-wise omission where group(s) of feedback bits from all layers are omitted if omission is required</w:t>
      </w:r>
      <w:r w:rsidR="001F171C">
        <w:t>.</w:t>
      </w:r>
    </w:p>
    <w:p w14:paraId="640F32EB" w14:textId="7B964C2F" w:rsidR="001F171C" w:rsidRDefault="001F171C" w:rsidP="005556B5">
      <w:pPr>
        <w:pStyle w:val="Proposal"/>
      </w:pPr>
      <w:r>
        <w:t>Discuss how to group the CSI feedback bits for potential group-wise omission in the following aspects:</w:t>
      </w:r>
    </w:p>
    <w:p w14:paraId="362145ED" w14:textId="463D7F9E" w:rsidR="001F171C" w:rsidRPr="001F171C" w:rsidRDefault="001F171C" w:rsidP="001F171C">
      <w:pPr>
        <w:pStyle w:val="0Maintext"/>
        <w:numPr>
          <w:ilvl w:val="0"/>
          <w:numId w:val="43"/>
        </w:numPr>
        <w:spacing w:after="60"/>
        <w:rPr>
          <w:b/>
          <w:bCs/>
        </w:rPr>
      </w:pPr>
      <w:r w:rsidRPr="001F171C">
        <w:rPr>
          <w:b/>
          <w:bCs/>
        </w:rPr>
        <w:t>Number of groups</w:t>
      </w:r>
    </w:p>
    <w:p w14:paraId="358465CC" w14:textId="40559D5A" w:rsidR="001F171C" w:rsidRPr="001F171C" w:rsidRDefault="001F171C" w:rsidP="001F171C">
      <w:pPr>
        <w:pStyle w:val="0Maintext"/>
        <w:numPr>
          <w:ilvl w:val="0"/>
          <w:numId w:val="43"/>
        </w:numPr>
        <w:spacing w:after="60"/>
        <w:rPr>
          <w:b/>
          <w:bCs/>
        </w:rPr>
      </w:pPr>
      <w:r w:rsidRPr="001F171C">
        <w:rPr>
          <w:b/>
          <w:bCs/>
        </w:rPr>
        <w:t>Whether grouping changes for layers and ranks</w:t>
      </w:r>
    </w:p>
    <w:p w14:paraId="364BBA40" w14:textId="2F824E14" w:rsidR="001F171C" w:rsidRPr="001F171C" w:rsidRDefault="001F171C" w:rsidP="001F171C">
      <w:pPr>
        <w:pStyle w:val="0Maintext"/>
        <w:numPr>
          <w:ilvl w:val="0"/>
          <w:numId w:val="43"/>
        </w:numPr>
        <w:spacing w:after="60"/>
        <w:rPr>
          <w:b/>
          <w:bCs/>
        </w:rPr>
      </w:pPr>
      <w:r w:rsidRPr="001F171C">
        <w:rPr>
          <w:b/>
          <w:bCs/>
        </w:rPr>
        <w:t>Impact on inter-vendor collaboration</w:t>
      </w:r>
    </w:p>
    <w:p w14:paraId="4B5A0DF8" w14:textId="580E047C" w:rsidR="001F171C" w:rsidRDefault="00557CCB" w:rsidP="005556B5">
      <w:pPr>
        <w:pStyle w:val="Proposal"/>
      </w:pPr>
      <w:r>
        <w:t xml:space="preserve">Support layer-common rank-common AI/ML model with single set of </w:t>
      </w:r>
      <m:oMath>
        <m:r>
          <m:rPr>
            <m:sty m:val="bi"/>
          </m:rPr>
          <w:rPr>
            <w:rFonts w:ascii="Cambria Math" w:hAnsi="Cambria Math"/>
          </w:rPr>
          <m:t>{</m:t>
        </m:r>
        <m:sSubSup>
          <m:sSubSupPr>
            <m:ctrlPr>
              <w:rPr>
                <w:rFonts w:ascii="Cambria Math" w:eastAsia="DengXian" w:hAnsi="Cambria Math"/>
                <w:i/>
                <w:iCs/>
                <w:sz w:val="24"/>
                <w:szCs w:val="24"/>
              </w:rPr>
            </m:ctrlPr>
          </m:sSubSupPr>
          <m:e>
            <m:r>
              <m:rPr>
                <m:sty m:val="bi"/>
              </m:rPr>
              <w:rPr>
                <w:rFonts w:ascii="Cambria Math" w:eastAsia="DengXian" w:hAnsi="Cambria Math"/>
              </w:rPr>
              <m:t>d</m:t>
            </m:r>
          </m:e>
          <m:sub>
            <m:r>
              <m:rPr>
                <m:sty m:val="bi"/>
              </m:rPr>
              <w:rPr>
                <w:rFonts w:ascii="Cambria Math" w:eastAsia="DengXian" w:hAnsi="Cambria Math"/>
              </w:rPr>
              <m:t>z</m:t>
            </m:r>
          </m:sub>
          <m:sup>
            <m:r>
              <m:rPr>
                <m:sty m:val="bi"/>
              </m:rPr>
              <w:rPr>
                <w:rFonts w:ascii="Cambria Math" w:eastAsia="DengXian" w:hAnsi="Cambria Math"/>
              </w:rPr>
              <m:t>l,ν</m:t>
            </m:r>
          </m:sup>
        </m:sSubSup>
        <m:r>
          <m:rPr>
            <m:sty m:val="bi"/>
          </m:rPr>
          <w:rPr>
            <w:rFonts w:ascii="Cambria Math" w:eastAsia="DengXian" w:hAnsi="Cambria Math"/>
          </w:rPr>
          <m:t xml:space="preserve">, </m:t>
        </m:r>
        <m:sSup>
          <m:sSupPr>
            <m:ctrlPr>
              <w:rPr>
                <w:rFonts w:ascii="Cambria Math" w:eastAsia="DengXian" w:hAnsi="Cambria Math"/>
                <w:i/>
                <w:iCs/>
                <w:sz w:val="24"/>
                <w:szCs w:val="24"/>
              </w:rPr>
            </m:ctrlPr>
          </m:sSupPr>
          <m:e>
            <m:r>
              <m:rPr>
                <m:sty m:val="bi"/>
              </m:rPr>
              <w:rPr>
                <w:rFonts w:ascii="Cambria Math" w:eastAsia="DengXian" w:hAnsi="Cambria Math"/>
              </w:rPr>
              <m:t>Q</m:t>
            </m:r>
          </m:e>
          <m:sup>
            <m:r>
              <m:rPr>
                <m:sty m:val="bi"/>
              </m:rPr>
              <w:rPr>
                <w:rFonts w:ascii="Cambria Math" w:eastAsia="DengXian" w:hAnsi="Cambria Math"/>
              </w:rPr>
              <m:t>l,ν</m:t>
            </m:r>
          </m:sup>
        </m:sSup>
      </m:oMath>
      <w:r>
        <w:rPr>
          <w:lang w:eastAsia="x-none"/>
        </w:rPr>
        <w:t xml:space="preserve">, </w:t>
      </w:r>
      <m:oMath>
        <m:r>
          <m:rPr>
            <m:sty m:val="bi"/>
          </m:rPr>
          <w:rPr>
            <w:rFonts w:ascii="Cambria Math" w:eastAsia="DengXian" w:hAnsi="Cambria Math"/>
          </w:rPr>
          <m:t>L</m:t>
        </m:r>
      </m:oMath>
      <w:r>
        <w:t>}  for non-scalable AI/ML model and multiples set of {</w:t>
      </w:r>
      <m:oMath>
        <m:sSubSup>
          <m:sSubSupPr>
            <m:ctrlPr>
              <w:rPr>
                <w:rFonts w:ascii="Cambria Math" w:eastAsia="DengXian" w:hAnsi="Cambria Math"/>
                <w:i/>
                <w:iCs/>
                <w:sz w:val="24"/>
                <w:szCs w:val="24"/>
              </w:rPr>
            </m:ctrlPr>
          </m:sSubSupPr>
          <m:e>
            <m:r>
              <m:rPr>
                <m:sty m:val="bi"/>
              </m:rPr>
              <w:rPr>
                <w:rFonts w:ascii="Cambria Math" w:eastAsia="DengXian" w:hAnsi="Cambria Math"/>
              </w:rPr>
              <m:t>d</m:t>
            </m:r>
          </m:e>
          <m:sub>
            <m:r>
              <m:rPr>
                <m:sty m:val="bi"/>
              </m:rPr>
              <w:rPr>
                <w:rFonts w:ascii="Cambria Math" w:eastAsia="DengXian" w:hAnsi="Cambria Math"/>
              </w:rPr>
              <m:t>z</m:t>
            </m:r>
          </m:sub>
          <m:sup>
            <m:r>
              <m:rPr>
                <m:sty m:val="bi"/>
              </m:rPr>
              <w:rPr>
                <w:rFonts w:ascii="Cambria Math" w:eastAsia="DengXian" w:hAnsi="Cambria Math"/>
              </w:rPr>
              <m:t>l,ν</m:t>
            </m:r>
          </m:sup>
        </m:sSubSup>
        <m:r>
          <m:rPr>
            <m:sty m:val="bi"/>
          </m:rPr>
          <w:rPr>
            <w:rFonts w:ascii="Cambria Math" w:eastAsia="DengXian" w:hAnsi="Cambria Math"/>
          </w:rPr>
          <m:t xml:space="preserve">,  </m:t>
        </m:r>
        <m:sSup>
          <m:sSupPr>
            <m:ctrlPr>
              <w:rPr>
                <w:rFonts w:ascii="Cambria Math" w:eastAsia="DengXian" w:hAnsi="Cambria Math"/>
                <w:i/>
                <w:iCs/>
                <w:sz w:val="24"/>
                <w:szCs w:val="24"/>
              </w:rPr>
            </m:ctrlPr>
          </m:sSupPr>
          <m:e>
            <m:r>
              <m:rPr>
                <m:sty m:val="bi"/>
              </m:rPr>
              <w:rPr>
                <w:rFonts w:ascii="Cambria Math" w:eastAsia="DengXian" w:hAnsi="Cambria Math"/>
              </w:rPr>
              <m:t>Q</m:t>
            </m:r>
          </m:e>
          <m:sup>
            <m:r>
              <m:rPr>
                <m:sty m:val="bi"/>
              </m:rPr>
              <w:rPr>
                <w:rFonts w:ascii="Cambria Math" w:eastAsia="DengXian" w:hAnsi="Cambria Math"/>
              </w:rPr>
              <m:t>l,ν</m:t>
            </m:r>
          </m:sup>
        </m:sSup>
      </m:oMath>
      <w:r>
        <w:rPr>
          <w:lang w:eastAsia="x-none"/>
        </w:rPr>
        <w:t xml:space="preserve">, </w:t>
      </w:r>
      <m:oMath>
        <m:r>
          <m:rPr>
            <m:sty m:val="bi"/>
          </m:rPr>
          <w:rPr>
            <w:rFonts w:ascii="Cambria Math" w:eastAsia="DengXian" w:hAnsi="Cambria Math"/>
          </w:rPr>
          <m:t>L</m:t>
        </m:r>
      </m:oMath>
      <w:r>
        <w:t xml:space="preserve">} for scalable models which are independent of rank and layers, i.e. </w:t>
      </w:r>
      <m:oMath>
        <m:r>
          <m:rPr>
            <m:sty m:val="bi"/>
          </m:rPr>
          <w:rPr>
            <w:rFonts w:ascii="Cambria Math" w:hAnsi="Cambria Math"/>
          </w:rPr>
          <m:t>l</m:t>
        </m:r>
      </m:oMath>
      <w:r>
        <w:t xml:space="preserve"> and </w:t>
      </w:r>
      <m:oMath>
        <m:r>
          <m:rPr>
            <m:sty m:val="bi"/>
          </m:rPr>
          <w:rPr>
            <w:rFonts w:ascii="Cambria Math" w:hAnsi="Cambria Math"/>
          </w:rPr>
          <m:t>v</m:t>
        </m:r>
      </m:oMath>
      <w:r w:rsidR="001F171C">
        <w:t>.</w:t>
      </w:r>
    </w:p>
    <w:p w14:paraId="58D6B0CB" w14:textId="3AA7366D" w:rsidR="001F171C" w:rsidRDefault="00557CCB" w:rsidP="005556B5">
      <w:pPr>
        <w:pStyle w:val="Proposal"/>
      </w:pPr>
      <w:r w:rsidRPr="00557CCB">
        <w:t>Support at least scalar quantization for quantizing the output of the encoder in the inference stage.</w:t>
      </w:r>
    </w:p>
    <w:p w14:paraId="552879E6" w14:textId="4413E9C3" w:rsidR="00C677D9" w:rsidRDefault="00C677D9" w:rsidP="005556B5">
      <w:pPr>
        <w:pStyle w:val="Proposal"/>
      </w:pPr>
      <w:r>
        <w:t>Support separate configuration of {</w:t>
      </w:r>
      <m:oMath>
        <m:sSubSup>
          <m:sSubSupPr>
            <m:ctrlPr>
              <w:rPr>
                <w:rFonts w:ascii="Cambria Math" w:eastAsia="DengXian" w:hAnsi="Cambria Math"/>
                <w:i/>
                <w:iCs/>
                <w:sz w:val="24"/>
                <w:szCs w:val="24"/>
              </w:rPr>
            </m:ctrlPr>
          </m:sSubSupPr>
          <m:e>
            <m:r>
              <m:rPr>
                <m:sty m:val="bi"/>
              </m:rPr>
              <w:rPr>
                <w:rFonts w:ascii="Cambria Math" w:eastAsia="DengXian" w:hAnsi="Cambria Math"/>
              </w:rPr>
              <m:t>d</m:t>
            </m:r>
          </m:e>
          <m:sub>
            <m:r>
              <m:rPr>
                <m:sty m:val="bi"/>
              </m:rPr>
              <w:rPr>
                <w:rFonts w:ascii="Cambria Math" w:eastAsia="DengXian" w:hAnsi="Cambria Math"/>
              </w:rPr>
              <m:t>z</m:t>
            </m:r>
          </m:sub>
          <m:sup>
            <m:r>
              <m:rPr>
                <m:sty m:val="bi"/>
              </m:rPr>
              <w:rPr>
                <w:rFonts w:ascii="Cambria Math" w:eastAsia="DengXian" w:hAnsi="Cambria Math"/>
              </w:rPr>
              <m:t>l,ν</m:t>
            </m:r>
          </m:sup>
        </m:sSubSup>
        <m:r>
          <m:rPr>
            <m:sty m:val="bi"/>
          </m:rPr>
          <w:rPr>
            <w:rFonts w:ascii="Cambria Math" w:eastAsia="DengXian" w:hAnsi="Cambria Math"/>
          </w:rPr>
          <m:t xml:space="preserve">,  </m:t>
        </m:r>
        <m:sSup>
          <m:sSupPr>
            <m:ctrlPr>
              <w:rPr>
                <w:rFonts w:ascii="Cambria Math" w:eastAsia="DengXian" w:hAnsi="Cambria Math"/>
                <w:i/>
                <w:iCs/>
                <w:sz w:val="24"/>
                <w:szCs w:val="24"/>
              </w:rPr>
            </m:ctrlPr>
          </m:sSupPr>
          <m:e>
            <m:r>
              <m:rPr>
                <m:sty m:val="bi"/>
              </m:rPr>
              <w:rPr>
                <w:rFonts w:ascii="Cambria Math" w:eastAsia="DengXian" w:hAnsi="Cambria Math"/>
              </w:rPr>
              <m:t>Q</m:t>
            </m:r>
          </m:e>
          <m:sup>
            <m:r>
              <m:rPr>
                <m:sty m:val="bi"/>
              </m:rPr>
              <w:rPr>
                <w:rFonts w:ascii="Cambria Math" w:eastAsia="DengXian" w:hAnsi="Cambria Math"/>
              </w:rPr>
              <m:t>l,ν</m:t>
            </m:r>
          </m:sup>
        </m:sSup>
      </m:oMath>
      <w:r>
        <w:rPr>
          <w:lang w:eastAsia="x-none"/>
        </w:rPr>
        <w:t xml:space="preserve">, </w:t>
      </w:r>
      <m:oMath>
        <m:r>
          <m:rPr>
            <m:sty m:val="bi"/>
          </m:rPr>
          <w:rPr>
            <w:rFonts w:ascii="Cambria Math" w:eastAsia="DengXian" w:hAnsi="Cambria Math"/>
          </w:rPr>
          <m:t>L</m:t>
        </m:r>
      </m:oMath>
      <w:r>
        <w:t>} from pairing ID.</w:t>
      </w:r>
    </w:p>
    <w:p w14:paraId="3F494372" w14:textId="27707320" w:rsidR="001F171C" w:rsidRDefault="001F171C" w:rsidP="005556B5">
      <w:pPr>
        <w:pStyle w:val="Proposal"/>
      </w:pPr>
      <w:r>
        <w:t xml:space="preserve">Prioritize Alt </w:t>
      </w:r>
      <w:r w:rsidR="00284A59">
        <w:t>2</w:t>
      </w:r>
      <w:r>
        <w:t xml:space="preserve"> - Use a standardized quantization codebook decided by RAN1</w:t>
      </w:r>
      <w:r w:rsidR="00284A59">
        <w:t xml:space="preserve"> at least for </w:t>
      </w:r>
      <w:r w:rsidR="00557CCB">
        <w:t>SQ.</w:t>
      </w:r>
    </w:p>
    <w:p w14:paraId="40D8BEA9" w14:textId="77777777" w:rsidR="001F171C" w:rsidRDefault="001F171C" w:rsidP="005556B5">
      <w:pPr>
        <w:pStyle w:val="Proposal"/>
      </w:pPr>
      <w:r>
        <w:t xml:space="preserve">Consider a dedicated AI/ML PU for AI/ML-based CSI Compression which will not be shared with other AI/ML functionalities. </w:t>
      </w:r>
    </w:p>
    <w:p w14:paraId="3B61A1A0" w14:textId="39878B90" w:rsidR="00284A59" w:rsidRDefault="00284A59" w:rsidP="00284A59">
      <w:pPr>
        <w:pStyle w:val="Proposal"/>
      </w:pPr>
      <w:r>
        <w:t xml:space="preserve">Support a single quantization codebook per AI/ML </w:t>
      </w:r>
      <w:r w:rsidR="00557CCB">
        <w:t>model.</w:t>
      </w:r>
    </w:p>
    <w:p w14:paraId="6A63FD6B" w14:textId="6E75E774" w:rsidR="001F171C" w:rsidRDefault="001F171C" w:rsidP="005556B5">
      <w:pPr>
        <w:pStyle w:val="Proposal"/>
      </w:pPr>
      <w:r>
        <w:t xml:space="preserve">Consider adding additional delay based on UE’s capability report into legacy timeline in order to accommodate delays incurred from loading AI/ML model onto dedicated AI processing unit and its execution.    </w:t>
      </w:r>
    </w:p>
    <w:p w14:paraId="3D9EEB86" w14:textId="6CB2D984" w:rsidR="00BE4F8C" w:rsidRPr="00056E7A" w:rsidRDefault="00BE4F8C" w:rsidP="00542014">
      <w:pPr>
        <w:pStyle w:val="Heading1"/>
      </w:pPr>
      <w:r w:rsidRPr="00056E7A">
        <w:t>References</w:t>
      </w:r>
    </w:p>
    <w:p w14:paraId="669EEF99" w14:textId="0496633F" w:rsidR="008D68C2" w:rsidRPr="001B7CDD" w:rsidRDefault="009062A4" w:rsidP="00756BF6">
      <w:pPr>
        <w:pStyle w:val="ListParagraph"/>
        <w:numPr>
          <w:ilvl w:val="0"/>
          <w:numId w:val="16"/>
        </w:numPr>
        <w:ind w:left="360"/>
        <w:rPr>
          <w:rFonts w:asciiTheme="majorBidi" w:eastAsiaTheme="minorHAnsi" w:hAnsiTheme="majorBidi" w:cstheme="majorBidi"/>
          <w:sz w:val="20"/>
          <w:szCs w:val="22"/>
          <w:lang w:eastAsia="zh-CN"/>
        </w:rPr>
      </w:pPr>
      <w:bookmarkStart w:id="6" w:name="_Ref205733310"/>
      <w:r w:rsidRPr="009062A4">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0"/>
      <w:bookmarkEnd w:id="1"/>
      <w:bookmarkEnd w:id="3"/>
      <w:bookmarkEnd w:id="6"/>
    </w:p>
    <w:p w14:paraId="2C7BC34E" w14:textId="6F471C4F" w:rsidR="001B7CDD" w:rsidRDefault="001D3ADA" w:rsidP="00756BF6">
      <w:pPr>
        <w:pStyle w:val="ListParagraph"/>
        <w:numPr>
          <w:ilvl w:val="0"/>
          <w:numId w:val="16"/>
        </w:numPr>
        <w:ind w:left="360"/>
        <w:rPr>
          <w:rFonts w:asciiTheme="majorBidi" w:eastAsiaTheme="minorHAnsi" w:hAnsiTheme="majorBidi" w:cstheme="majorBidi"/>
          <w:sz w:val="20"/>
          <w:szCs w:val="22"/>
          <w:lang w:eastAsia="zh-CN"/>
        </w:rPr>
      </w:pPr>
      <w:bookmarkStart w:id="7" w:name="_Ref205810115"/>
      <w:r w:rsidRPr="001D3ADA">
        <w:rPr>
          <w:rFonts w:asciiTheme="majorBidi" w:eastAsiaTheme="minorHAnsi" w:hAnsiTheme="majorBidi" w:cstheme="majorBidi"/>
          <w:sz w:val="20"/>
          <w:szCs w:val="22"/>
          <w:lang w:eastAsia="zh-CN"/>
        </w:rPr>
        <w:t>R2-2407848</w:t>
      </w:r>
      <w:r>
        <w:rPr>
          <w:rFonts w:asciiTheme="majorBidi" w:eastAsiaTheme="minorHAnsi" w:hAnsiTheme="majorBidi" w:cstheme="majorBidi"/>
          <w:sz w:val="20"/>
          <w:szCs w:val="22"/>
          <w:lang w:eastAsia="zh-CN"/>
        </w:rPr>
        <w:t>, “</w:t>
      </w:r>
      <w:r w:rsidRPr="001D3ADA">
        <w:rPr>
          <w:rFonts w:asciiTheme="majorBidi" w:eastAsiaTheme="minorHAnsi" w:hAnsiTheme="majorBidi" w:cstheme="majorBidi"/>
          <w:sz w:val="20"/>
          <w:szCs w:val="22"/>
          <w:lang w:eastAsia="zh-CN"/>
        </w:rPr>
        <w:t>LS on applicable functionality reporting for beam management UE-sided model</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TSG RAN WG2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WG2#127</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Maastricht, Netherlands, Aug 19th – 23rd, 2024</w:t>
      </w:r>
      <w:r>
        <w:rPr>
          <w:rFonts w:asciiTheme="majorBidi" w:eastAsiaTheme="minorHAnsi" w:hAnsiTheme="majorBidi" w:cstheme="majorBidi"/>
          <w:sz w:val="20"/>
          <w:szCs w:val="22"/>
          <w:lang w:eastAsia="zh-CN"/>
        </w:rPr>
        <w:t>.</w:t>
      </w:r>
      <w:bookmarkEnd w:id="7"/>
    </w:p>
    <w:p w14:paraId="64DEF0A5" w14:textId="68CA9A3E" w:rsidR="001D3ADA" w:rsidRDefault="001D3ADA" w:rsidP="00756BF6">
      <w:pPr>
        <w:pStyle w:val="ListParagraph"/>
        <w:numPr>
          <w:ilvl w:val="0"/>
          <w:numId w:val="16"/>
        </w:numPr>
        <w:ind w:left="360"/>
        <w:rPr>
          <w:rFonts w:asciiTheme="majorBidi" w:eastAsiaTheme="minorHAnsi" w:hAnsiTheme="majorBidi" w:cstheme="majorBidi"/>
          <w:sz w:val="20"/>
          <w:szCs w:val="22"/>
          <w:lang w:eastAsia="zh-CN"/>
        </w:rPr>
      </w:pPr>
      <w:bookmarkStart w:id="8" w:name="_Ref205809421"/>
      <w:r>
        <w:rPr>
          <w:rFonts w:asciiTheme="majorBidi" w:eastAsiaTheme="minorHAnsi" w:hAnsiTheme="majorBidi" w:cstheme="majorBidi"/>
          <w:sz w:val="20"/>
          <w:szCs w:val="22"/>
          <w:lang w:eastAsia="zh-CN"/>
        </w:rPr>
        <w:t>R1-2301913, “</w:t>
      </w:r>
      <w:r w:rsidRPr="001D3ADA">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Moderator (Apple)</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WG1 Meeting #112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Athens, Greece, Feb 27th – Mar 3rd, 2023</w:t>
      </w:r>
      <w:r>
        <w:rPr>
          <w:rFonts w:asciiTheme="majorBidi" w:eastAsiaTheme="minorHAnsi" w:hAnsiTheme="majorBidi" w:cstheme="majorBidi"/>
          <w:sz w:val="20"/>
          <w:szCs w:val="22"/>
          <w:lang w:eastAsia="zh-CN"/>
        </w:rPr>
        <w:t>.</w:t>
      </w:r>
      <w:bookmarkEnd w:id="8"/>
    </w:p>
    <w:p w14:paraId="408AE58E" w14:textId="56FEF764" w:rsidR="00C17776" w:rsidRDefault="00C17776" w:rsidP="00262FF3">
      <w:pPr>
        <w:pStyle w:val="ListParagraph"/>
        <w:numPr>
          <w:ilvl w:val="0"/>
          <w:numId w:val="16"/>
        </w:numPr>
        <w:ind w:left="360"/>
        <w:rPr>
          <w:rFonts w:asciiTheme="majorBidi" w:eastAsiaTheme="minorHAnsi" w:hAnsiTheme="majorBidi" w:cstheme="majorBidi"/>
          <w:sz w:val="20"/>
          <w:szCs w:val="22"/>
          <w:lang w:eastAsia="zh-CN"/>
        </w:rPr>
      </w:pPr>
      <w:bookmarkStart w:id="9" w:name="_Ref205822068"/>
      <w:r w:rsidRPr="00C17776">
        <w:rPr>
          <w:rFonts w:asciiTheme="majorBidi" w:eastAsiaTheme="minorHAnsi" w:hAnsiTheme="majorBidi" w:cstheme="majorBidi"/>
          <w:sz w:val="20"/>
          <w:szCs w:val="22"/>
          <w:lang w:eastAsia="zh-CN"/>
        </w:rPr>
        <w:lastRenderedPageBreak/>
        <w:t>R1-2503034, “Final summary of Additional study on AI/ML for NR air interface: CSI compression”, Moderator (Qualcomm), 3GPP TSG RAN WG1 #120-bis, Wuhan, China, April 7th – 11th, 2025.</w:t>
      </w:r>
      <w:bookmarkEnd w:id="9"/>
    </w:p>
    <w:p w14:paraId="5762BF75" w14:textId="712EA3B8" w:rsidR="00DB0A85" w:rsidRPr="00262FF3" w:rsidRDefault="00DB0A85" w:rsidP="00262FF3">
      <w:pPr>
        <w:pStyle w:val="ListParagraph"/>
        <w:numPr>
          <w:ilvl w:val="0"/>
          <w:numId w:val="16"/>
        </w:numPr>
        <w:ind w:left="360"/>
        <w:rPr>
          <w:rFonts w:asciiTheme="majorBidi" w:eastAsiaTheme="minorHAnsi" w:hAnsiTheme="majorBidi" w:cstheme="majorBidi"/>
          <w:sz w:val="20"/>
          <w:szCs w:val="22"/>
          <w:lang w:eastAsia="zh-CN"/>
        </w:rPr>
      </w:pPr>
      <w:bookmarkStart w:id="10" w:name="_Ref210301267"/>
      <w:r w:rsidRPr="00DB0A85">
        <w:rPr>
          <w:rFonts w:asciiTheme="majorBidi" w:eastAsiaTheme="minorHAnsi" w:hAnsiTheme="majorBidi" w:cstheme="majorBidi"/>
          <w:sz w:val="20"/>
          <w:szCs w:val="22"/>
          <w:lang w:eastAsia="zh-CN"/>
        </w:rPr>
        <w:t>R1-250</w:t>
      </w:r>
      <w:r>
        <w:rPr>
          <w:rFonts w:asciiTheme="majorBidi" w:eastAsiaTheme="minorHAnsi" w:hAnsiTheme="majorBidi" w:cstheme="majorBidi"/>
          <w:sz w:val="20"/>
          <w:szCs w:val="22"/>
          <w:lang w:eastAsia="zh-CN"/>
        </w:rPr>
        <w:t>6619</w:t>
      </w:r>
      <w:r w:rsidRPr="00DB0A85">
        <w:rPr>
          <w:rFonts w:asciiTheme="majorBidi" w:eastAsiaTheme="minorHAnsi" w:hAnsiTheme="majorBidi" w:cstheme="majorBidi"/>
          <w:sz w:val="20"/>
          <w:szCs w:val="22"/>
          <w:lang w:eastAsia="zh-CN"/>
        </w:rPr>
        <w:t>, “Final summary on AIML inference related aspects”, Moderator (Qualcomm), 3GPP TSG RAN WG1 #</w:t>
      </w:r>
      <w:r>
        <w:rPr>
          <w:rFonts w:asciiTheme="majorBidi" w:eastAsiaTheme="minorHAnsi" w:hAnsiTheme="majorBidi" w:cstheme="majorBidi"/>
          <w:sz w:val="20"/>
          <w:szCs w:val="22"/>
          <w:lang w:eastAsia="zh-CN"/>
        </w:rPr>
        <w:t>122</w:t>
      </w:r>
      <w:r w:rsidRPr="00DB0A85">
        <w:rPr>
          <w:rFonts w:asciiTheme="majorBidi" w:eastAsiaTheme="minorHAnsi" w:hAnsiTheme="majorBidi" w:cstheme="majorBidi"/>
          <w:sz w:val="20"/>
          <w:szCs w:val="22"/>
          <w:lang w:eastAsia="zh-CN"/>
        </w:rPr>
        <w:t>, Bengaluru, India, Aug 25th – 29th, 2025.</w:t>
      </w:r>
      <w:bookmarkEnd w:id="10"/>
    </w:p>
    <w:sectPr w:rsidR="00DB0A85" w:rsidRPr="00262F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1213F" w14:textId="77777777" w:rsidR="008C38EF" w:rsidRDefault="008C38EF">
      <w:r>
        <w:separator/>
      </w:r>
    </w:p>
  </w:endnote>
  <w:endnote w:type="continuationSeparator" w:id="0">
    <w:p w14:paraId="30498282" w14:textId="77777777" w:rsidR="008C38EF" w:rsidRDefault="008C38EF">
      <w:r>
        <w:continuationSeparator/>
      </w:r>
    </w:p>
  </w:endnote>
  <w:endnote w:type="continuationNotice" w:id="1">
    <w:p w14:paraId="6CE16196" w14:textId="77777777" w:rsidR="008C38EF" w:rsidRDefault="008C3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339DE" w14:textId="77777777" w:rsidR="008C38EF" w:rsidRDefault="008C38EF">
      <w:r>
        <w:separator/>
      </w:r>
    </w:p>
  </w:footnote>
  <w:footnote w:type="continuationSeparator" w:id="0">
    <w:p w14:paraId="6FAD7668" w14:textId="77777777" w:rsidR="008C38EF" w:rsidRDefault="008C38EF">
      <w:r>
        <w:continuationSeparator/>
      </w:r>
    </w:p>
  </w:footnote>
  <w:footnote w:type="continuationNotice" w:id="1">
    <w:p w14:paraId="7B8F6177" w14:textId="77777777" w:rsidR="008C38EF" w:rsidRDefault="008C38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4278"/>
    <w:multiLevelType w:val="hybridMultilevel"/>
    <w:tmpl w:val="8F7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F7452"/>
    <w:multiLevelType w:val="hybridMultilevel"/>
    <w:tmpl w:val="5CA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AB64C586"/>
    <w:lvl w:ilvl="0" w:tplc="2BB07A12">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2B2E19"/>
    <w:multiLevelType w:val="hybridMultilevel"/>
    <w:tmpl w:val="62D0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DF1C51"/>
    <w:multiLevelType w:val="hybridMultilevel"/>
    <w:tmpl w:val="14C8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99756A"/>
    <w:multiLevelType w:val="hybridMultilevel"/>
    <w:tmpl w:val="E376C3BC"/>
    <w:lvl w:ilvl="0" w:tplc="26F4AA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22A2280"/>
    <w:multiLevelType w:val="hybridMultilevel"/>
    <w:tmpl w:val="9FD6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40" w15:restartNumberingAfterBreak="0">
    <w:nsid w:val="6B210E87"/>
    <w:multiLevelType w:val="hybridMultilevel"/>
    <w:tmpl w:val="1744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667252"/>
    <w:multiLevelType w:val="hybridMultilevel"/>
    <w:tmpl w:val="1E18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46"/>
  </w:num>
  <w:num w:numId="2" w16cid:durableId="1851943407">
    <w:abstractNumId w:val="35"/>
  </w:num>
  <w:num w:numId="3" w16cid:durableId="1948343308">
    <w:abstractNumId w:val="3"/>
  </w:num>
  <w:num w:numId="4" w16cid:durableId="1088036895">
    <w:abstractNumId w:val="1"/>
  </w:num>
  <w:num w:numId="5" w16cid:durableId="1663465542">
    <w:abstractNumId w:val="17"/>
  </w:num>
  <w:num w:numId="6" w16cid:durableId="262956210">
    <w:abstractNumId w:val="38"/>
  </w:num>
  <w:num w:numId="7" w16cid:durableId="1218204952">
    <w:abstractNumId w:val="23"/>
  </w:num>
  <w:num w:numId="8" w16cid:durableId="1276137458">
    <w:abstractNumId w:val="9"/>
  </w:num>
  <w:num w:numId="9" w16cid:durableId="390034028">
    <w:abstractNumId w:val="30"/>
  </w:num>
  <w:num w:numId="10" w16cid:durableId="1891915319">
    <w:abstractNumId w:val="20"/>
  </w:num>
  <w:num w:numId="11" w16cid:durableId="198011453">
    <w:abstractNumId w:val="0"/>
  </w:num>
  <w:num w:numId="12" w16cid:durableId="1033192644">
    <w:abstractNumId w:val="32"/>
  </w:num>
  <w:num w:numId="13" w16cid:durableId="468863152">
    <w:abstractNumId w:val="33"/>
  </w:num>
  <w:num w:numId="14" w16cid:durableId="1794446598">
    <w:abstractNumId w:val="18"/>
  </w:num>
  <w:num w:numId="15" w16cid:durableId="1506164569">
    <w:abstractNumId w:val="39"/>
  </w:num>
  <w:num w:numId="16" w16cid:durableId="1910573608">
    <w:abstractNumId w:val="27"/>
  </w:num>
  <w:num w:numId="17" w16cid:durableId="748231372">
    <w:abstractNumId w:val="20"/>
  </w:num>
  <w:num w:numId="18" w16cid:durableId="534929407">
    <w:abstractNumId w:val="15"/>
  </w:num>
  <w:num w:numId="19" w16cid:durableId="899752599">
    <w:abstractNumId w:val="44"/>
  </w:num>
  <w:num w:numId="20" w16cid:durableId="14848556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3"/>
  </w:num>
  <w:num w:numId="23" w16cid:durableId="1710951060">
    <w:abstractNumId w:val="7"/>
  </w:num>
  <w:num w:numId="24" w16cid:durableId="1369337641">
    <w:abstractNumId w:val="34"/>
  </w:num>
  <w:num w:numId="25" w16cid:durableId="2117409168">
    <w:abstractNumId w:val="19"/>
  </w:num>
  <w:num w:numId="26" w16cid:durableId="1644578204">
    <w:abstractNumId w:val="43"/>
  </w:num>
  <w:num w:numId="27" w16cid:durableId="841242634">
    <w:abstractNumId w:val="22"/>
  </w:num>
  <w:num w:numId="28" w16cid:durableId="1594359942">
    <w:abstractNumId w:val="24"/>
  </w:num>
  <w:num w:numId="29" w16cid:durableId="886643962">
    <w:abstractNumId w:val="31"/>
  </w:num>
  <w:num w:numId="30" w16cid:durableId="234710089">
    <w:abstractNumId w:val="12"/>
  </w:num>
  <w:num w:numId="31" w16cid:durableId="1339113376">
    <w:abstractNumId w:val="8"/>
  </w:num>
  <w:num w:numId="32" w16cid:durableId="1304041763">
    <w:abstractNumId w:val="12"/>
  </w:num>
  <w:num w:numId="33" w16cid:durableId="952714626">
    <w:abstractNumId w:val="8"/>
  </w:num>
  <w:num w:numId="34" w16cid:durableId="1382754241">
    <w:abstractNumId w:val="12"/>
  </w:num>
  <w:num w:numId="35" w16cid:durableId="1202522024">
    <w:abstractNumId w:val="5"/>
  </w:num>
  <w:num w:numId="36" w16cid:durableId="94044992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7532091">
    <w:abstractNumId w:val="16"/>
  </w:num>
  <w:num w:numId="38" w16cid:durableId="2105179745">
    <w:abstractNumId w:val="14"/>
  </w:num>
  <w:num w:numId="39" w16cid:durableId="1737507030">
    <w:abstractNumId w:val="6"/>
  </w:num>
  <w:num w:numId="40" w16cid:durableId="952856893">
    <w:abstractNumId w:val="4"/>
  </w:num>
  <w:num w:numId="41" w16cid:durableId="1504734721">
    <w:abstractNumId w:val="37"/>
  </w:num>
  <w:num w:numId="42" w16cid:durableId="981883883">
    <w:abstractNumId w:val="29"/>
  </w:num>
  <w:num w:numId="43" w16cid:durableId="138808396">
    <w:abstractNumId w:val="29"/>
  </w:num>
  <w:num w:numId="44" w16cid:durableId="1680231528">
    <w:abstractNumId w:val="28"/>
  </w:num>
  <w:num w:numId="45" w16cid:durableId="647631932">
    <w:abstractNumId w:val="40"/>
  </w:num>
  <w:num w:numId="46" w16cid:durableId="947196692">
    <w:abstractNumId w:val="11"/>
  </w:num>
  <w:num w:numId="47" w16cid:durableId="422260958">
    <w:abstractNumId w:val="45"/>
  </w:num>
  <w:num w:numId="48" w16cid:durableId="1604025296">
    <w:abstractNumId w:val="21"/>
  </w:num>
  <w:num w:numId="49" w16cid:durableId="777336818">
    <w:abstractNumId w:val="25"/>
  </w:num>
  <w:num w:numId="50" w16cid:durableId="949320362">
    <w:abstractNumId w:val="10"/>
  </w:num>
  <w:num w:numId="51" w16cid:durableId="615602367">
    <w:abstractNumId w:val="2"/>
  </w:num>
  <w:num w:numId="52" w16cid:durableId="24525236">
    <w:abstractNumId w:val="41"/>
  </w:num>
  <w:num w:numId="53" w16cid:durableId="2141264571">
    <w:abstractNumId w:val="45"/>
  </w:num>
  <w:num w:numId="54" w16cid:durableId="1724257298">
    <w:abstractNumId w:val="21"/>
  </w:num>
  <w:num w:numId="55" w16cid:durableId="1637683112">
    <w:abstractNumId w:val="26"/>
  </w:num>
  <w:num w:numId="56" w16cid:durableId="1239486076">
    <w:abstractNumId w:val="28"/>
  </w:num>
  <w:num w:numId="57" w16cid:durableId="1876652449">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1C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1F"/>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65F9"/>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3F21"/>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D7B37"/>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2F3"/>
    <w:rsid w:val="001B091A"/>
    <w:rsid w:val="001B0BB8"/>
    <w:rsid w:val="001B0CB9"/>
    <w:rsid w:val="001B0F03"/>
    <w:rsid w:val="001B19C0"/>
    <w:rsid w:val="001B2A77"/>
    <w:rsid w:val="001B6724"/>
    <w:rsid w:val="001B7CDD"/>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ADA"/>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71C"/>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2FF3"/>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A59"/>
    <w:rsid w:val="00284E74"/>
    <w:rsid w:val="00285419"/>
    <w:rsid w:val="00285744"/>
    <w:rsid w:val="00285979"/>
    <w:rsid w:val="00286011"/>
    <w:rsid w:val="00286313"/>
    <w:rsid w:val="00286362"/>
    <w:rsid w:val="0028673D"/>
    <w:rsid w:val="00286978"/>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54F"/>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589"/>
    <w:rsid w:val="002E086B"/>
    <w:rsid w:val="002E0B58"/>
    <w:rsid w:val="002E29E4"/>
    <w:rsid w:val="002E3093"/>
    <w:rsid w:val="002E3113"/>
    <w:rsid w:val="002E324D"/>
    <w:rsid w:val="002E348D"/>
    <w:rsid w:val="002E368C"/>
    <w:rsid w:val="002E3848"/>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CDE"/>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1D0A"/>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1A7D"/>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85D"/>
    <w:rsid w:val="003A5980"/>
    <w:rsid w:val="003A5B71"/>
    <w:rsid w:val="003A5ED3"/>
    <w:rsid w:val="003A5FA4"/>
    <w:rsid w:val="003A69CD"/>
    <w:rsid w:val="003A6AAC"/>
    <w:rsid w:val="003A75FA"/>
    <w:rsid w:val="003B01B7"/>
    <w:rsid w:val="003B0F99"/>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41F4"/>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24"/>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3B6F"/>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07AC"/>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3C1"/>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53C"/>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56B5"/>
    <w:rsid w:val="00556902"/>
    <w:rsid w:val="00556BB0"/>
    <w:rsid w:val="005576F4"/>
    <w:rsid w:val="005577A8"/>
    <w:rsid w:val="005579CC"/>
    <w:rsid w:val="00557AB9"/>
    <w:rsid w:val="00557CCB"/>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8DB"/>
    <w:rsid w:val="00597FBC"/>
    <w:rsid w:val="005A0EE1"/>
    <w:rsid w:val="005A1A52"/>
    <w:rsid w:val="005A2509"/>
    <w:rsid w:val="005A3426"/>
    <w:rsid w:val="005A435C"/>
    <w:rsid w:val="005A485C"/>
    <w:rsid w:val="005A4BA1"/>
    <w:rsid w:val="005A5F75"/>
    <w:rsid w:val="005A650D"/>
    <w:rsid w:val="005A6683"/>
    <w:rsid w:val="005A74E2"/>
    <w:rsid w:val="005B168F"/>
    <w:rsid w:val="005B1F15"/>
    <w:rsid w:val="005B2810"/>
    <w:rsid w:val="005B337A"/>
    <w:rsid w:val="005B3F49"/>
    <w:rsid w:val="005B4416"/>
    <w:rsid w:val="005B4813"/>
    <w:rsid w:val="005B4C8E"/>
    <w:rsid w:val="005B4EDA"/>
    <w:rsid w:val="005B51E7"/>
    <w:rsid w:val="005B5FF0"/>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E7E74"/>
    <w:rsid w:val="005F0E97"/>
    <w:rsid w:val="005F0F06"/>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29C4"/>
    <w:rsid w:val="006137D2"/>
    <w:rsid w:val="00614FD7"/>
    <w:rsid w:val="0061589A"/>
    <w:rsid w:val="00615E57"/>
    <w:rsid w:val="00616B2A"/>
    <w:rsid w:val="00616CCB"/>
    <w:rsid w:val="00617873"/>
    <w:rsid w:val="00617ADC"/>
    <w:rsid w:val="00617FCB"/>
    <w:rsid w:val="00620518"/>
    <w:rsid w:val="00621CD1"/>
    <w:rsid w:val="00622996"/>
    <w:rsid w:val="00623A42"/>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D6A"/>
    <w:rsid w:val="00651F1C"/>
    <w:rsid w:val="006523A0"/>
    <w:rsid w:val="006537BB"/>
    <w:rsid w:val="00655CB9"/>
    <w:rsid w:val="006560F2"/>
    <w:rsid w:val="00656307"/>
    <w:rsid w:val="006567FE"/>
    <w:rsid w:val="0065702D"/>
    <w:rsid w:val="00657143"/>
    <w:rsid w:val="006572B7"/>
    <w:rsid w:val="0066185E"/>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1BB0"/>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E7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2C5A"/>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4162"/>
    <w:rsid w:val="006E516A"/>
    <w:rsid w:val="006E570B"/>
    <w:rsid w:val="006E5E31"/>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1B94"/>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77DAF"/>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3DB0"/>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0D8"/>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1222"/>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38EF"/>
    <w:rsid w:val="008C4EF6"/>
    <w:rsid w:val="008C60E9"/>
    <w:rsid w:val="008C64E5"/>
    <w:rsid w:val="008C67AD"/>
    <w:rsid w:val="008C7AC5"/>
    <w:rsid w:val="008C7EDE"/>
    <w:rsid w:val="008C7F17"/>
    <w:rsid w:val="008D02A0"/>
    <w:rsid w:val="008D134C"/>
    <w:rsid w:val="008D251C"/>
    <w:rsid w:val="008D37E5"/>
    <w:rsid w:val="008D3EF2"/>
    <w:rsid w:val="008D3F4C"/>
    <w:rsid w:val="008D496E"/>
    <w:rsid w:val="008D4B51"/>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A92"/>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2A4"/>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27D92"/>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3FB"/>
    <w:rsid w:val="00953AC5"/>
    <w:rsid w:val="009545FA"/>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696"/>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418"/>
    <w:rsid w:val="00A35C04"/>
    <w:rsid w:val="00A36354"/>
    <w:rsid w:val="00A36BB9"/>
    <w:rsid w:val="00A407B9"/>
    <w:rsid w:val="00A40B96"/>
    <w:rsid w:val="00A40DD4"/>
    <w:rsid w:val="00A41D7A"/>
    <w:rsid w:val="00A42A2E"/>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6C8"/>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7E4"/>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38EE"/>
    <w:rsid w:val="00AC4090"/>
    <w:rsid w:val="00AC4A0C"/>
    <w:rsid w:val="00AC4ACA"/>
    <w:rsid w:val="00AC4C0B"/>
    <w:rsid w:val="00AC4F92"/>
    <w:rsid w:val="00AC55DA"/>
    <w:rsid w:val="00AC5B2C"/>
    <w:rsid w:val="00AC688A"/>
    <w:rsid w:val="00AC731B"/>
    <w:rsid w:val="00AC7EEE"/>
    <w:rsid w:val="00AD060D"/>
    <w:rsid w:val="00AD0B1A"/>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06B1E"/>
    <w:rsid w:val="00B105FF"/>
    <w:rsid w:val="00B10A32"/>
    <w:rsid w:val="00B10D78"/>
    <w:rsid w:val="00B11125"/>
    <w:rsid w:val="00B111B8"/>
    <w:rsid w:val="00B11F53"/>
    <w:rsid w:val="00B124AE"/>
    <w:rsid w:val="00B1262E"/>
    <w:rsid w:val="00B13285"/>
    <w:rsid w:val="00B134BD"/>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030F"/>
    <w:rsid w:val="00B61138"/>
    <w:rsid w:val="00B61498"/>
    <w:rsid w:val="00B622C1"/>
    <w:rsid w:val="00B628C7"/>
    <w:rsid w:val="00B62CD7"/>
    <w:rsid w:val="00B63025"/>
    <w:rsid w:val="00B63138"/>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97C97"/>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1E6C"/>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01E2"/>
    <w:rsid w:val="00BE2623"/>
    <w:rsid w:val="00BE2867"/>
    <w:rsid w:val="00BE3231"/>
    <w:rsid w:val="00BE3815"/>
    <w:rsid w:val="00BE3A01"/>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8F0"/>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76"/>
    <w:rsid w:val="00C177BA"/>
    <w:rsid w:val="00C179AB"/>
    <w:rsid w:val="00C17D43"/>
    <w:rsid w:val="00C206E4"/>
    <w:rsid w:val="00C21198"/>
    <w:rsid w:val="00C218DB"/>
    <w:rsid w:val="00C21BF9"/>
    <w:rsid w:val="00C2221B"/>
    <w:rsid w:val="00C22A30"/>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7D9"/>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064"/>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6EA"/>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119C"/>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0678"/>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3C"/>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436"/>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0A85"/>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5FB2"/>
    <w:rsid w:val="00E56162"/>
    <w:rsid w:val="00E56C11"/>
    <w:rsid w:val="00E56D92"/>
    <w:rsid w:val="00E579FD"/>
    <w:rsid w:val="00E57B74"/>
    <w:rsid w:val="00E610DB"/>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0E7E"/>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2EE"/>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12B"/>
    <w:rsid w:val="00F6634D"/>
    <w:rsid w:val="00F66C37"/>
    <w:rsid w:val="00F66D30"/>
    <w:rsid w:val="00F67D0C"/>
    <w:rsid w:val="00F700CD"/>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8E6"/>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B35"/>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556B5"/>
    <w:pPr>
      <w:numPr>
        <w:numId w:val="10"/>
      </w:numPr>
      <w:spacing w:before="120" w:after="120" w:line="252" w:lineRule="auto"/>
      <w:ind w:left="0" w:firstLine="0"/>
      <w:jc w:val="both"/>
    </w:pPr>
    <w:rPr>
      <w:rFonts w:asciiTheme="majorBidi" w:hAnsiTheme="majorBidi"/>
      <w:b/>
      <w:bCs/>
      <w:szCs w:val="22"/>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556B5"/>
    <w:rPr>
      <w:rFonts w:asciiTheme="majorBidi" w:hAnsiTheme="majorBidi"/>
      <w:b/>
      <w:bCs/>
      <w:sz w:val="22"/>
      <w:szCs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szCs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szCs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2537866">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93017430">
      <w:bodyDiv w:val="1"/>
      <w:marLeft w:val="0"/>
      <w:marRight w:val="0"/>
      <w:marTop w:val="0"/>
      <w:marBottom w:val="0"/>
      <w:divBdr>
        <w:top w:val="none" w:sz="0" w:space="0" w:color="auto"/>
        <w:left w:val="none" w:sz="0" w:space="0" w:color="auto"/>
        <w:bottom w:val="none" w:sz="0" w:space="0" w:color="auto"/>
        <w:right w:val="none" w:sz="0" w:space="0" w:color="auto"/>
      </w:divBdr>
    </w:div>
    <w:div w:id="102267071">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89342722">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532114">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19647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99809">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480907">
      <w:bodyDiv w:val="1"/>
      <w:marLeft w:val="0"/>
      <w:marRight w:val="0"/>
      <w:marTop w:val="0"/>
      <w:marBottom w:val="0"/>
      <w:divBdr>
        <w:top w:val="none" w:sz="0" w:space="0" w:color="auto"/>
        <w:left w:val="none" w:sz="0" w:space="0" w:color="auto"/>
        <w:bottom w:val="none" w:sz="0" w:space="0" w:color="auto"/>
        <w:right w:val="none" w:sz="0" w:space="0" w:color="auto"/>
      </w:divBdr>
      <w:divsChild>
        <w:div w:id="884222119">
          <w:marLeft w:val="432"/>
          <w:marRight w:val="0"/>
          <w:marTop w:val="240"/>
          <w:marBottom w:val="0"/>
          <w:divBdr>
            <w:top w:val="none" w:sz="0" w:space="0" w:color="auto"/>
            <w:left w:val="none" w:sz="0" w:space="0" w:color="auto"/>
            <w:bottom w:val="none" w:sz="0" w:space="0" w:color="auto"/>
            <w:right w:val="none" w:sz="0" w:space="0" w:color="auto"/>
          </w:divBdr>
        </w:div>
        <w:div w:id="1537235833">
          <w:marLeft w:val="1267"/>
          <w:marRight w:val="0"/>
          <w:marTop w:val="180"/>
          <w:marBottom w:val="0"/>
          <w:divBdr>
            <w:top w:val="none" w:sz="0" w:space="0" w:color="auto"/>
            <w:left w:val="none" w:sz="0" w:space="0" w:color="auto"/>
            <w:bottom w:val="none" w:sz="0" w:space="0" w:color="auto"/>
            <w:right w:val="none" w:sz="0" w:space="0" w:color="auto"/>
          </w:divBdr>
        </w:div>
        <w:div w:id="870191149">
          <w:marLeft w:val="1699"/>
          <w:marRight w:val="0"/>
          <w:marTop w:val="120"/>
          <w:marBottom w:val="0"/>
          <w:divBdr>
            <w:top w:val="none" w:sz="0" w:space="0" w:color="auto"/>
            <w:left w:val="none" w:sz="0" w:space="0" w:color="auto"/>
            <w:bottom w:val="none" w:sz="0" w:space="0" w:color="auto"/>
            <w:right w:val="none" w:sz="0" w:space="0" w:color="auto"/>
          </w:divBdr>
        </w:div>
        <w:div w:id="198248818">
          <w:marLeft w:val="1267"/>
          <w:marRight w:val="0"/>
          <w:marTop w:val="180"/>
          <w:marBottom w:val="0"/>
          <w:divBdr>
            <w:top w:val="none" w:sz="0" w:space="0" w:color="auto"/>
            <w:left w:val="none" w:sz="0" w:space="0" w:color="auto"/>
            <w:bottom w:val="none" w:sz="0" w:space="0" w:color="auto"/>
            <w:right w:val="none" w:sz="0" w:space="0" w:color="auto"/>
          </w:divBdr>
        </w:div>
        <w:div w:id="187568072">
          <w:marLeft w:val="1699"/>
          <w:marRight w:val="0"/>
          <w:marTop w:val="120"/>
          <w:marBottom w:val="0"/>
          <w:divBdr>
            <w:top w:val="none" w:sz="0" w:space="0" w:color="auto"/>
            <w:left w:val="none" w:sz="0" w:space="0" w:color="auto"/>
            <w:bottom w:val="none" w:sz="0" w:space="0" w:color="auto"/>
            <w:right w:val="none" w:sz="0" w:space="0" w:color="auto"/>
          </w:divBdr>
        </w:div>
        <w:div w:id="1241133181">
          <w:marLeft w:val="1267"/>
          <w:marRight w:val="0"/>
          <w:marTop w:val="180"/>
          <w:marBottom w:val="0"/>
          <w:divBdr>
            <w:top w:val="none" w:sz="0" w:space="0" w:color="auto"/>
            <w:left w:val="none" w:sz="0" w:space="0" w:color="auto"/>
            <w:bottom w:val="none" w:sz="0" w:space="0" w:color="auto"/>
            <w:right w:val="none" w:sz="0" w:space="0" w:color="auto"/>
          </w:divBdr>
        </w:div>
        <w:div w:id="2122605820">
          <w:marLeft w:val="1699"/>
          <w:marRight w:val="0"/>
          <w:marTop w:val="12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47462055">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1519269">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6757966">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85891571">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1412003">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10681984">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754426">
      <w:bodyDiv w:val="1"/>
      <w:marLeft w:val="0"/>
      <w:marRight w:val="0"/>
      <w:marTop w:val="0"/>
      <w:marBottom w:val="0"/>
      <w:divBdr>
        <w:top w:val="none" w:sz="0" w:space="0" w:color="auto"/>
        <w:left w:val="none" w:sz="0" w:space="0" w:color="auto"/>
        <w:bottom w:val="none" w:sz="0" w:space="0" w:color="auto"/>
        <w:right w:val="none" w:sz="0" w:space="0" w:color="auto"/>
      </w:divBdr>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328222">
      <w:bodyDiv w:val="1"/>
      <w:marLeft w:val="0"/>
      <w:marRight w:val="0"/>
      <w:marTop w:val="0"/>
      <w:marBottom w:val="0"/>
      <w:divBdr>
        <w:top w:val="none" w:sz="0" w:space="0" w:color="auto"/>
        <w:left w:val="none" w:sz="0" w:space="0" w:color="auto"/>
        <w:bottom w:val="none" w:sz="0" w:space="0" w:color="auto"/>
        <w:right w:val="none" w:sz="0" w:space="0" w:color="auto"/>
      </w:divBdr>
    </w:div>
    <w:div w:id="1549879343">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09993649">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1263969">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66942475">
      <w:bodyDiv w:val="1"/>
      <w:marLeft w:val="0"/>
      <w:marRight w:val="0"/>
      <w:marTop w:val="0"/>
      <w:marBottom w:val="0"/>
      <w:divBdr>
        <w:top w:val="none" w:sz="0" w:space="0" w:color="auto"/>
        <w:left w:val="none" w:sz="0" w:space="0" w:color="auto"/>
        <w:bottom w:val="none" w:sz="0" w:space="0" w:color="auto"/>
        <w:right w:val="none" w:sz="0" w:space="0" w:color="auto"/>
      </w:divBdr>
    </w:div>
    <w:div w:id="1879077557">
      <w:bodyDiv w:val="1"/>
      <w:marLeft w:val="0"/>
      <w:marRight w:val="0"/>
      <w:marTop w:val="0"/>
      <w:marBottom w:val="0"/>
      <w:divBdr>
        <w:top w:val="none" w:sz="0" w:space="0" w:color="auto"/>
        <w:left w:val="none" w:sz="0" w:space="0" w:color="auto"/>
        <w:bottom w:val="none" w:sz="0" w:space="0" w:color="auto"/>
        <w:right w:val="none" w:sz="0" w:space="0" w:color="auto"/>
      </w:divBdr>
    </w:div>
    <w:div w:id="1890264859">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4800254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41292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0228">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4366</Words>
  <Characters>24892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2025-10-03T04:42:00Z</dcterms:modified>
</cp:coreProperties>
</file>