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line="276" w:lineRule="auto"/>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3GPP TSG RAN WG1 #11</w:t>
      </w:r>
      <w:r>
        <w:rPr>
          <w:rFonts w:ascii="Times New Roman" w:hAnsi="Times New Roman" w:cs="Times New Roman"/>
          <w:b/>
          <w:color w:val="000000" w:themeColor="text1"/>
          <w:lang w:val="en-US"/>
          <w14:textFill>
            <w14:solidFill>
              <w14:schemeClr w14:val="tx1"/>
            </w14:solidFill>
          </w14:textFill>
        </w:rPr>
        <w:t>5</w:t>
      </w:r>
      <w:r>
        <w:rPr>
          <w:rFonts w:ascii="Times New Roman" w:hAnsi="Times New Roman" w:cs="Times New Roman"/>
          <w:b/>
          <w:color w:val="000000" w:themeColor="text1"/>
          <w14:textFill>
            <w14:solidFill>
              <w14:schemeClr w14:val="tx1"/>
            </w14:solidFill>
          </w14:textFill>
        </w:rPr>
        <w:tab/>
      </w:r>
      <w:r>
        <w:rPr>
          <w:rFonts w:hint="default" w:ascii="Times New Roman" w:hAnsi="Times New Roman" w:cs="Times New Roman"/>
          <w:b/>
          <w:color w:val="000000" w:themeColor="text1"/>
          <w14:textFill>
            <w14:solidFill>
              <w14:schemeClr w14:val="tx1"/>
            </w14:solidFill>
          </w14:textFill>
        </w:rPr>
        <w:t>R1-2312161</w:t>
      </w:r>
    </w:p>
    <w:p>
      <w:pPr>
        <w:spacing w:line="276"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b/>
          <w:color w:val="000000" w:themeColor="text1"/>
          <w:lang w:val="en-US"/>
          <w14:textFill>
            <w14:solidFill>
              <w14:schemeClr w14:val="tx1"/>
            </w14:solidFill>
          </w14:textFill>
        </w:rPr>
        <w:t>Chicago, USA, November 13th – November 17th, 2023</w:t>
      </w:r>
    </w:p>
    <w:p>
      <w:pPr>
        <w:pBdr>
          <w:top w:val="single" w:color="000001" w:sz="4" w:space="1"/>
        </w:pBdr>
        <w:spacing w:line="276" w:lineRule="auto"/>
        <w:rPr>
          <w:rFonts w:ascii="Times New Roman" w:hAnsi="Times New Roman" w:cs="Times New Roman"/>
          <w:b/>
          <w:color w:val="000000" w:themeColor="text1"/>
          <w14:textFill>
            <w14:solidFill>
              <w14:schemeClr w14:val="tx1"/>
            </w14:solidFill>
          </w14:textFill>
        </w:rPr>
      </w:pPr>
    </w:p>
    <w:p>
      <w:pPr>
        <w:spacing w:after="60" w:line="276" w:lineRule="auto"/>
        <w:ind w:left="1555" w:hanging="1555"/>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Agenda Item:</w:t>
      </w:r>
      <w:r>
        <w:rPr>
          <w:rFonts w:ascii="Times New Roman" w:hAnsi="Times New Roman" w:cs="Times New Roman"/>
          <w:b/>
          <w:color w:val="000000" w:themeColor="text1"/>
          <w14:textFill>
            <w14:solidFill>
              <w14:schemeClr w14:val="tx1"/>
            </w14:solidFill>
          </w14:textFill>
        </w:rPr>
        <w:tab/>
      </w:r>
      <w:r>
        <w:rPr>
          <w:rFonts w:ascii="Times New Roman" w:hAnsi="Times New Roman" w:cs="Times New Roman"/>
          <w:b/>
          <w:color w:val="000000" w:themeColor="text1"/>
          <w:lang w:val="en-US"/>
          <w14:textFill>
            <w14:solidFill>
              <w14:schemeClr w14:val="tx1"/>
            </w14:solidFill>
          </w14:textFill>
        </w:rPr>
        <w:t>8.5</w:t>
      </w:r>
      <w:r>
        <w:rPr>
          <w:rFonts w:ascii="Times New Roman" w:hAnsi="Times New Roman" w:cs="Times New Roman"/>
          <w:b/>
          <w:color w:val="000000" w:themeColor="text1"/>
          <w14:textFill>
            <w14:solidFill>
              <w14:schemeClr w14:val="tx1"/>
            </w14:solidFill>
          </w14:textFill>
        </w:rPr>
        <w:t>.</w:t>
      </w:r>
      <w:r>
        <w:rPr>
          <w:rFonts w:ascii="Times New Roman" w:hAnsi="Times New Roman" w:cs="Times New Roman"/>
          <w:b/>
          <w:color w:val="000000" w:themeColor="text1"/>
          <w:lang w:val="en-US"/>
          <w14:textFill>
            <w14:solidFill>
              <w14:schemeClr w14:val="tx1"/>
            </w14:solidFill>
          </w14:textFill>
        </w:rPr>
        <w:t>2</w:t>
      </w:r>
    </w:p>
    <w:p>
      <w:pPr>
        <w:spacing w:after="60" w:line="276" w:lineRule="auto"/>
        <w:ind w:left="1555" w:hanging="1555"/>
        <w:rPr>
          <w:rFonts w:ascii="Times New Roman" w:hAnsi="Times New Roman" w:cs="Times New Roman"/>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Source:</w:t>
      </w:r>
      <w:r>
        <w:rPr>
          <w:rFonts w:ascii="Times New Roman" w:hAnsi="Times New Roman" w:cs="Times New Roman"/>
          <w:b/>
          <w:color w:val="000000" w:themeColor="text1"/>
          <w14:textFill>
            <w14:solidFill>
              <w14:schemeClr w14:val="tx1"/>
            </w14:solidFill>
          </w14:textFill>
        </w:rPr>
        <w:tab/>
      </w:r>
      <w:r>
        <w:rPr>
          <w:rFonts w:ascii="Times New Roman" w:hAnsi="Times New Roman" w:cs="Times New Roman"/>
          <w:b/>
          <w:color w:val="000000" w:themeColor="text1"/>
          <w14:textFill>
            <w14:solidFill>
              <w14:schemeClr w14:val="tx1"/>
            </w14:solidFill>
          </w14:textFill>
        </w:rPr>
        <w:t>CEWiT</w:t>
      </w:r>
    </w:p>
    <w:p>
      <w:pPr>
        <w:spacing w:after="60" w:line="276" w:lineRule="auto"/>
        <w:ind w:left="1555" w:hanging="1555"/>
        <w:rPr>
          <w:rFonts w:ascii="Times New Roman" w:hAnsi="Times New Roman" w:cs="Times New Roman"/>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Title:</w:t>
      </w:r>
      <w:r>
        <w:rPr>
          <w:rFonts w:ascii="Times New Roman" w:hAnsi="Times New Roman" w:cs="Times New Roman"/>
          <w:b/>
          <w:color w:val="000000" w:themeColor="text1"/>
          <w14:textFill>
            <w14:solidFill>
              <w14:schemeClr w14:val="tx1"/>
            </w14:solidFill>
          </w14:textFill>
        </w:rPr>
        <w:tab/>
      </w:r>
      <w:r>
        <w:rPr>
          <w:rFonts w:ascii="Times New Roman" w:hAnsi="Times New Roman" w:cs="Times New Roman"/>
          <w:b/>
          <w:color w:val="000000" w:themeColor="text1"/>
          <w14:textFill>
            <w14:solidFill>
              <w14:schemeClr w14:val="tx1"/>
            </w14:solidFill>
          </w14:textFill>
        </w:rPr>
        <w:t>Discussion on cell DTX/DRX mechanism</w:t>
      </w:r>
    </w:p>
    <w:p>
      <w:pPr>
        <w:spacing w:after="60" w:line="276" w:lineRule="auto"/>
        <w:ind w:left="1555" w:hanging="1555"/>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Document for:</w:t>
      </w:r>
      <w:r>
        <w:rPr>
          <w:rFonts w:ascii="Times New Roman" w:hAnsi="Times New Roman" w:cs="Times New Roman"/>
          <w:b/>
          <w:color w:val="000000" w:themeColor="text1"/>
          <w14:textFill>
            <w14:solidFill>
              <w14:schemeClr w14:val="tx1"/>
            </w14:solidFill>
          </w14:textFill>
        </w:rPr>
        <w:tab/>
      </w:r>
      <w:r>
        <w:rPr>
          <w:rFonts w:ascii="Times New Roman" w:hAnsi="Times New Roman" w:cs="Times New Roman"/>
          <w:b/>
          <w:color w:val="000000" w:themeColor="text1"/>
          <w14:textFill>
            <w14:solidFill>
              <w14:schemeClr w14:val="tx1"/>
            </w14:solidFill>
          </w14:textFill>
        </w:rPr>
        <w:t xml:space="preserve">Discussion </w:t>
      </w:r>
    </w:p>
    <w:p>
      <w:pPr>
        <w:pBdr>
          <w:bottom w:val="single" w:color="000001" w:sz="4" w:space="1"/>
        </w:pBdr>
        <w:spacing w:line="276" w:lineRule="auto"/>
        <w:rPr>
          <w:rFonts w:ascii="Times New Roman" w:hAnsi="Times New Roman" w:cs="Times New Roman"/>
          <w:b/>
          <w:color w:val="000000" w:themeColor="text1"/>
          <w14:textFill>
            <w14:solidFill>
              <w14:schemeClr w14:val="tx1"/>
            </w14:solidFill>
          </w14:textFill>
        </w:rPr>
      </w:pPr>
    </w:p>
    <w:p>
      <w:pPr>
        <w:pStyle w:val="2"/>
        <w:numPr>
          <w:ilvl w:val="0"/>
          <w:numId w:val="2"/>
        </w:numPr>
        <w:spacing w:line="276" w:lineRule="auto"/>
        <w:rPr>
          <w:rFonts w:ascii="Times New Roman" w:hAnsi="Times New Roman" w:cs="Times New Roman"/>
          <w:color w:val="000000" w:themeColor="text1"/>
          <w:sz w:val="24"/>
          <w:szCs w:val="24"/>
          <w14:textFill>
            <w14:solidFill>
              <w14:schemeClr w14:val="tx1"/>
            </w14:solidFill>
          </w14:textFill>
        </w:rPr>
      </w:pPr>
      <w:bookmarkStart w:id="0" w:name="_Ref129681862"/>
      <w:bookmarkEnd w:id="0"/>
      <w:bookmarkStart w:id="1" w:name="_Ref124589705"/>
      <w:bookmarkEnd w:id="1"/>
      <w:r>
        <w:rPr>
          <w:rFonts w:ascii="Times New Roman" w:hAnsi="Times New Roman" w:cs="Times New Roman"/>
          <w:color w:val="000000" w:themeColor="text1"/>
          <w:sz w:val="24"/>
          <w:szCs w:val="24"/>
          <w14:textFill>
            <w14:solidFill>
              <w14:schemeClr w14:val="tx1"/>
            </w14:solidFill>
          </w14:textFill>
        </w:rPr>
        <w:t>Introduction</w:t>
      </w:r>
    </w:p>
    <w:p>
      <w:pPr>
        <w:spacing w:line="276" w:lineRule="auto"/>
        <w:rPr>
          <w:rFonts w:ascii="Times New Roman" w:hAnsi="Times New Roman" w:cs="Times New Roman"/>
          <w:bCs/>
          <w:color w:val="000000" w:themeColor="text1"/>
          <w:lang w:val="en-GB"/>
          <w14:textFill>
            <w14:solidFill>
              <w14:schemeClr w14:val="tx1"/>
            </w14:solidFill>
          </w14:textFill>
        </w:rPr>
      </w:pPr>
      <w:bookmarkStart w:id="2" w:name="_Ref129681832"/>
      <w:r>
        <w:rPr>
          <w:rFonts w:ascii="Times New Roman" w:hAnsi="Times New Roman" w:cs="Times New Roman"/>
          <w:color w:val="000000" w:themeColor="text1"/>
          <w:lang w:val="en-US"/>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 xml:space="preserve"> work item on enhancements on cell DTX/DRX mechanism for energy saving was </w:t>
      </w:r>
      <w:r>
        <w:rPr>
          <w:rFonts w:ascii="Times New Roman" w:hAnsi="Times New Roman" w:cs="Times New Roman"/>
          <w:color w:val="000000" w:themeColor="text1"/>
          <w:lang w:val="en-US"/>
          <w14:textFill>
            <w14:solidFill>
              <w14:schemeClr w14:val="tx1"/>
            </w14:solidFill>
          </w14:textFill>
        </w:rPr>
        <w:t xml:space="preserve">completed </w:t>
      </w:r>
      <w:r>
        <w:rPr>
          <w:rFonts w:ascii="Times New Roman" w:hAnsi="Times New Roman" w:cs="Times New Roman"/>
          <w:color w:val="000000" w:themeColor="text1"/>
          <w14:textFill>
            <w14:solidFill>
              <w14:schemeClr w14:val="tx1"/>
            </w14:solidFill>
          </w14:textFill>
        </w:rPr>
        <w:t xml:space="preserve">in </w:t>
      </w:r>
      <w:r>
        <w:rPr>
          <w:rFonts w:ascii="Times New Roman" w:hAnsi="Times New Roman" w:cs="Times New Roman"/>
          <w:bCs/>
          <w:color w:val="000000" w:themeColor="text1"/>
          <w:lang w:val="en-US"/>
          <w14:textFill>
            <w14:solidFill>
              <w14:schemeClr w14:val="tx1"/>
            </w14:solidFill>
          </w14:textFill>
        </w:rPr>
        <w:t xml:space="preserve">RAN1#114 [1], </w:t>
      </w:r>
      <w:r>
        <w:rPr>
          <w:rFonts w:ascii="Times New Roman" w:hAnsi="Times New Roman" w:cs="Times New Roman"/>
          <w:color w:val="000000" w:themeColor="text1"/>
          <w:lang w:val="en-US"/>
          <w14:textFill>
            <w14:solidFill>
              <w14:schemeClr w14:val="tx1"/>
            </w14:solidFill>
          </w14:textFill>
        </w:rPr>
        <w:t xml:space="preserve">and several agreements were made </w:t>
      </w:r>
      <w:r>
        <w:rPr>
          <w:rFonts w:ascii="Times New Roman" w:hAnsi="Times New Roman" w:cs="Times New Roman"/>
          <w:color w:val="000000" w:themeColor="text1"/>
          <w14:textFill>
            <w14:solidFill>
              <w14:schemeClr w14:val="tx1"/>
            </w14:solidFill>
          </w14:textFill>
        </w:rPr>
        <w:t xml:space="preserve">in </w:t>
      </w:r>
      <w:r>
        <w:rPr>
          <w:rFonts w:ascii="Times New Roman" w:hAnsi="Times New Roman" w:cs="Times New Roman"/>
          <w:color w:val="000000" w:themeColor="text1"/>
          <w:lang w:val="en-US"/>
          <w14:textFill>
            <w14:solidFill>
              <w14:schemeClr w14:val="tx1"/>
            </w14:solidFill>
          </w14:textFill>
        </w:rPr>
        <w:t xml:space="preserve">the work item </w:t>
      </w:r>
      <w:r>
        <w:rPr>
          <w:rFonts w:ascii="Times New Roman" w:hAnsi="Times New Roman" w:cs="Times New Roman"/>
          <w:color w:val="000000" w:themeColor="text1"/>
          <w14:textFill>
            <w14:solidFill>
              <w14:schemeClr w14:val="tx1"/>
            </w14:solidFill>
          </w14:textFill>
        </w:rPr>
        <w:t>meetings</w:t>
      </w:r>
      <w:r>
        <w:rPr>
          <w:rFonts w:ascii="Times New Roman" w:hAnsi="Times New Roman" w:cs="Times New Roman"/>
          <w:color w:val="000000" w:themeColor="text1"/>
          <w:lang w:val="en-US"/>
          <w14:textFill>
            <w14:solidFill>
              <w14:schemeClr w14:val="tx1"/>
            </w14:solidFill>
          </w14:textFill>
        </w:rPr>
        <w:t>.</w:t>
      </w:r>
      <w:r>
        <w:rPr>
          <w:rFonts w:ascii="Times New Roman" w:hAnsi="Times New Roman" w:cs="Times New Roman"/>
          <w:bCs/>
          <w:color w:val="000000" w:themeColor="text1"/>
          <w:lang w:val="en-US"/>
          <w14:textFill>
            <w14:solidFill>
              <w14:schemeClr w14:val="tx1"/>
            </w14:solidFill>
          </w14:textFill>
        </w:rPr>
        <w:t xml:space="preserve">. </w:t>
      </w:r>
      <w:r>
        <w:rPr>
          <w:rFonts w:ascii="Times New Roman" w:hAnsi="Times New Roman" w:eastAsia="Times New Roman" w:cs="Times New Roman"/>
          <w:color w:val="000000" w:themeColor="text1"/>
          <w:lang w:eastAsia="en-US"/>
          <w14:textFill>
            <w14:solidFill>
              <w14:schemeClr w14:val="tx1"/>
            </w14:solidFill>
          </w14:textFill>
        </w:rPr>
        <w:t xml:space="preserve">This contribution discusses </w:t>
      </w:r>
      <w:r>
        <w:rPr>
          <w:rFonts w:ascii="Times New Roman" w:hAnsi="Times New Roman" w:cs="Times New Roman"/>
          <w:color w:val="000000" w:themeColor="text1"/>
          <w:lang w:val="en-US"/>
          <w14:textFill>
            <w14:solidFill>
              <w14:schemeClr w14:val="tx1"/>
            </w14:solidFill>
          </w14:textFill>
        </w:rPr>
        <w:t xml:space="preserve">remaining </w:t>
      </w:r>
      <w:r>
        <w:rPr>
          <w:rFonts w:ascii="Times New Roman" w:hAnsi="Times New Roman" w:cs="Times New Roman"/>
          <w:color w:val="000000" w:themeColor="text1"/>
          <w14:textFill>
            <w14:solidFill>
              <w14:schemeClr w14:val="tx1"/>
            </w14:solidFill>
          </w14:textFill>
        </w:rPr>
        <w:t xml:space="preserve">aspects of cell DTX/DRX mechanism </w:t>
      </w:r>
      <w:r>
        <w:rPr>
          <w:rFonts w:ascii="Times New Roman" w:hAnsi="Times New Roman" w:cs="Times New Roman"/>
          <w:bCs/>
          <w:color w:val="000000" w:themeColor="text1"/>
          <w:lang w:val="en-GB"/>
          <w14:textFill>
            <w14:solidFill>
              <w14:schemeClr w14:val="tx1"/>
            </w14:solidFill>
          </w14:textFill>
        </w:rPr>
        <w:t>to improve network energy savings</w:t>
      </w:r>
      <w:r>
        <w:rPr>
          <w:rFonts w:ascii="Times New Roman" w:hAnsi="Times New Roman" w:cs="Times New Roman"/>
          <w:bCs/>
          <w:color w:val="000000" w:themeColor="text1"/>
          <w:lang w:val="en-US"/>
          <w14:textFill>
            <w14:solidFill>
              <w14:schemeClr w14:val="tx1"/>
            </w14:solidFill>
          </w14:textFill>
        </w:rPr>
        <w:t>.</w:t>
      </w:r>
    </w:p>
    <w:p>
      <w:pPr>
        <w:pStyle w:val="2"/>
        <w:numPr>
          <w:ilvl w:val="0"/>
          <w:numId w:val="2"/>
        </w:numPr>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Cell DTX/DRX mechanism for network energy saving</w:t>
      </w: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color w:val="000000" w:themeColor="text1"/>
          <w:lang w:val="en-US"/>
          <w14:textFill>
            <w14:solidFill>
              <w14:schemeClr w14:val="tx1"/>
            </w14:solidFill>
          </w14:textFill>
        </w:rPr>
        <w:t>A Cell DTX/DRX configuration when activated has impacts on the legacy transmissions and receptions both at the gNB and UE. The impact on some signals and channels and prioritization was done in Rel-18 work item phase.  E.g., transmission of CG and SR, and reception of SPS were deprioritized at UE when overlapped with non-active period of cell DTX/DRX pattern. However, there are some remaining issues identified in RAN1#112bis-e [</w:t>
      </w:r>
      <w:r>
        <w:rPr>
          <w:rFonts w:hint="default" w:ascii="Times New Roman" w:hAnsi="Times New Roman" w:eastAsia="Wingdings" w:cs="Times New Roman"/>
          <w:color w:val="000000" w:themeColor="text1"/>
          <w:lang w:val="en-US"/>
          <w14:textFill>
            <w14:solidFill>
              <w14:schemeClr w14:val="tx1"/>
            </w14:solidFill>
          </w14:textFill>
        </w:rPr>
        <w:t>3</w:t>
      </w:r>
      <w:r>
        <w:rPr>
          <w:rFonts w:ascii="Times New Roman" w:hAnsi="Times New Roman" w:eastAsia="Wingdings" w:cs="Times New Roman"/>
          <w:color w:val="000000" w:themeColor="text1"/>
          <w:lang w:val="en-US"/>
          <w14:textFill>
            <w14:solidFill>
              <w14:schemeClr w14:val="tx1"/>
            </w14:solidFill>
          </w14:textFill>
        </w:rPr>
        <w:t>], given below, which are still open.</w:t>
      </w:r>
    </w:p>
    <w:p>
      <w:pPr>
        <w:rPr>
          <w:b/>
          <w:bCs/>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adjustRightInd w:val="0"/>
              <w:contextualSpacing/>
              <w:rPr>
                <w:b/>
                <w:bCs/>
                <w:kern w:val="0"/>
              </w:rPr>
            </w:pPr>
            <w:r>
              <w:rPr>
                <w:b/>
                <w:bCs/>
                <w:kern w:val="0"/>
              </w:rPr>
              <w:t>Further study the following in RAN1 (RAN1#112bis-e):</w:t>
            </w:r>
          </w:p>
          <w:p>
            <w:pPr>
              <w:numPr>
                <w:ilvl w:val="0"/>
                <w:numId w:val="3"/>
              </w:numPr>
              <w:adjustRightInd w:val="0"/>
              <w:contextualSpacing/>
              <w:rPr>
                <w:strike/>
                <w:kern w:val="0"/>
              </w:rPr>
            </w:pPr>
            <w:r>
              <w:rPr>
                <w:kern w:val="0"/>
              </w:rPr>
              <w:t>Issue 1: Handling of HARQ-ACK codebook generation when configured with cell DTX/DRX</w:t>
            </w:r>
          </w:p>
          <w:p>
            <w:pPr>
              <w:numPr>
                <w:ilvl w:val="0"/>
                <w:numId w:val="3"/>
              </w:numPr>
              <w:adjustRightInd w:val="0"/>
              <w:contextualSpacing/>
              <w:rPr>
                <w:kern w:val="0"/>
              </w:rPr>
            </w:pPr>
            <w:r>
              <w:rPr>
                <w:kern w:val="0"/>
              </w:rPr>
              <w:t>Issue 2: Handling of PUCCH deferral operation during non-active periods of cell DRX</w:t>
            </w:r>
          </w:p>
          <w:p>
            <w:pPr>
              <w:numPr>
                <w:ilvl w:val="0"/>
                <w:numId w:val="3"/>
              </w:numPr>
              <w:adjustRightInd w:val="0"/>
              <w:contextualSpacing/>
              <w:rPr>
                <w:kern w:val="0"/>
              </w:rPr>
            </w:pPr>
            <w:r>
              <w:rPr>
                <w:kern w:val="0"/>
              </w:rPr>
              <w:t>Issue 3: Handling of overlapping channels where a least a channel overlaps with non-active periods of cell DTX/DRX</w:t>
            </w:r>
          </w:p>
          <w:p>
            <w:pPr>
              <w:numPr>
                <w:ilvl w:val="0"/>
                <w:numId w:val="3"/>
              </w:numPr>
              <w:adjustRightInd w:val="0"/>
              <w:contextualSpacing/>
              <w:rPr>
                <w:rFonts w:eastAsia="DengXian"/>
                <w:kern w:val="0"/>
              </w:rPr>
            </w:pPr>
            <w:r>
              <w:rPr>
                <w:kern w:val="0"/>
              </w:rPr>
              <w:t>Issue 4: Handling of signals/channels that can be received/transmitted repeatedly during non-active periods of cell DTX/DRX</w:t>
            </w:r>
          </w:p>
        </w:tc>
      </w:tr>
    </w:tbl>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Issue 1:</w:t>
      </w:r>
      <w:r>
        <w:rPr>
          <w:rFonts w:ascii="Times New Roman" w:hAnsi="Times New Roman" w:eastAsia="Wingdings" w:cs="Times New Roman"/>
          <w:color w:val="000000" w:themeColor="text1"/>
          <w:lang w:val="en-US"/>
          <w14:textFill>
            <w14:solidFill>
              <w14:schemeClr w14:val="tx1"/>
            </w14:solidFill>
          </w14:textFill>
        </w:rPr>
        <w:t xml:space="preserve"> As per RAN2 agreement in RAN2 #121-bis-e [</w:t>
      </w:r>
      <w:r>
        <w:rPr>
          <w:rFonts w:hint="default" w:ascii="Times New Roman" w:hAnsi="Times New Roman" w:eastAsia="Wingdings" w:cs="Times New Roman"/>
          <w:color w:val="000000" w:themeColor="text1"/>
          <w:lang w:val="en-US"/>
          <w14:textFill>
            <w14:solidFill>
              <w14:schemeClr w14:val="tx1"/>
            </w14:solidFill>
          </w14:textFill>
        </w:rPr>
        <w:t>2</w:t>
      </w:r>
      <w:bookmarkStart w:id="6" w:name="_GoBack"/>
      <w:bookmarkEnd w:id="6"/>
      <w:r>
        <w:rPr>
          <w:rFonts w:ascii="Times New Roman" w:hAnsi="Times New Roman" w:eastAsia="Wingdings" w:cs="Times New Roman"/>
          <w:color w:val="000000" w:themeColor="text1"/>
          <w:lang w:val="en-US"/>
          <w14:textFill>
            <w14:solidFill>
              <w14:schemeClr w14:val="tx1"/>
            </w14:solidFill>
          </w14:textFill>
        </w:rPr>
        <w:t xml:space="preserve">], a UE doesn’t monitor SPS occasions during Cell DTX non-active period. However, the SPS HARQ codebook generation part is not </w:t>
      </w:r>
      <w:r>
        <w:rPr>
          <w:rFonts w:hint="default" w:ascii="Times New Roman" w:hAnsi="Times New Roman" w:eastAsia="Wingdings" w:cs="Times New Roman"/>
          <w:color w:val="000000" w:themeColor="text1"/>
          <w:lang w:val="en-US"/>
          <w14:textFill>
            <w14:solidFill>
              <w14:schemeClr w14:val="tx1"/>
            </w14:solidFill>
          </w14:textFill>
        </w:rPr>
        <w:t>agreed</w:t>
      </w:r>
      <w:r>
        <w:rPr>
          <w:rFonts w:ascii="Times New Roman" w:hAnsi="Times New Roman" w:eastAsia="Wingdings" w:cs="Times New Roman"/>
          <w:color w:val="000000" w:themeColor="text1"/>
          <w:lang w:val="en-US"/>
          <w14:textFill>
            <w14:solidFill>
              <w14:schemeClr w14:val="tx1"/>
            </w14:solidFill>
          </w14:textFill>
        </w:rPr>
        <w:t>. If the legacy UE behavior is followed for SP</w:t>
      </w:r>
      <w:r>
        <w:rPr>
          <w:rFonts w:hint="default" w:ascii="Times New Roman" w:hAnsi="Times New Roman" w:eastAsia="Wingdings" w:cs="Times New Roman"/>
          <w:color w:val="000000" w:themeColor="text1"/>
          <w:lang w:val="en-US"/>
          <w14:textFill>
            <w14:solidFill>
              <w14:schemeClr w14:val="tx1"/>
            </w14:solidFill>
          </w14:textFill>
        </w:rPr>
        <w:t>S</w:t>
      </w:r>
      <w:r>
        <w:rPr>
          <w:rFonts w:ascii="Times New Roman" w:hAnsi="Times New Roman" w:eastAsia="Wingdings" w:cs="Times New Roman"/>
          <w:color w:val="000000" w:themeColor="text1"/>
          <w:lang w:val="en-US"/>
          <w14:textFill>
            <w14:solidFill>
              <w14:schemeClr w14:val="tx1"/>
            </w14:solidFill>
          </w14:textFill>
        </w:rPr>
        <w:t xml:space="preserve"> HARQ codebook generation, then the UE transmits NACK for an SPS-PDSCH falling in non-active period of cell DTX pattern, leading to unnecessary transmission at the UE and increase in UL payload. Further, it is suboptimal utilization of the signaling of DTX activation/deactivation, because the UE is transmitting the feedback even though it has information about parameters of cell DTX pattern and deprioritization of the SPS-PDSCH in the non-active period. Further, it creates unnecessary power and resource consumption at the UE. Therefore, skipping HARQ feedback for SPS PDSCH falling in non-active period of cell DTX pattern can reduce the HARQ codebook size and UL resource consumption. For example, UE may not allocate bits for the corresponding SPS HARQ-ACK in the HARQ-ACK codebook generation.</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Observation 1: </w:t>
      </w:r>
      <w:r>
        <w:rPr>
          <w:rFonts w:ascii="Times New Roman" w:hAnsi="Times New Roman" w:eastAsia="Wingdings" w:cs="Times New Roman"/>
          <w:color w:val="000000" w:themeColor="text1"/>
          <w:lang w:val="en-US" w:eastAsia="ko-KR"/>
          <w14:textFill>
            <w14:solidFill>
              <w14:schemeClr w14:val="tx1"/>
            </w14:solidFill>
          </w14:textFill>
        </w:rPr>
        <w:t xml:space="preserve">Transmitting </w:t>
      </w:r>
      <w:r>
        <w:rPr>
          <w:rFonts w:ascii="Times New Roman" w:hAnsi="Times New Roman" w:eastAsia="Wingdings" w:cs="Times New Roman"/>
          <w:color w:val="000000" w:themeColor="text1"/>
          <w:lang w:val="en-US"/>
          <w14:textFill>
            <w14:solidFill>
              <w14:schemeClr w14:val="tx1"/>
            </w14:solidFill>
          </w14:textFill>
        </w:rPr>
        <w:t xml:space="preserve">HARQ feedback for SPS-PDSCH scheduled in non-active period of cell DTX pattern is redundant and leads to unnecessary resource and power consumption. </w:t>
      </w: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1: Skipping HARQ feedback for the </w:t>
      </w:r>
      <w:r>
        <w:rPr>
          <w:rFonts w:ascii="Times New Roman" w:hAnsi="Times New Roman" w:eastAsia="Wingdings" w:cs="Times New Roman"/>
          <w:color w:val="000000" w:themeColor="text1"/>
          <w:lang w:val="en-US"/>
          <w14:textFill>
            <w14:solidFill>
              <w14:schemeClr w14:val="tx1"/>
            </w14:solidFill>
          </w14:textFill>
        </w:rPr>
        <w:t>SPS PDSCH, overlapping with non-active periods of cell DTX, in HARQ ACK codebook generation is supported.</w:t>
      </w:r>
    </w:p>
    <w:p>
      <w:pPr>
        <w:spacing w:line="276" w:lineRule="auto"/>
        <w:rPr>
          <w:rFonts w:ascii="Times New Roman" w:hAnsi="Times New Roman" w:eastAsia="Wingdings" w:cs="Times New Roman"/>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Issue 2:</w:t>
      </w:r>
      <w:r>
        <w:rPr>
          <w:rFonts w:ascii="Times New Roman" w:hAnsi="Times New Roman" w:eastAsia="Wingdings" w:cs="Times New Roman"/>
          <w:color w:val="000000" w:themeColor="text1"/>
          <w:lang w:val="en-US"/>
          <w14:textFill>
            <w14:solidFill>
              <w14:schemeClr w14:val="tx1"/>
            </w14:solidFill>
          </w14:textFill>
        </w:rPr>
        <w:t xml:space="preserve"> The UE behavior for PUCCH </w:t>
      </w:r>
      <w:r>
        <w:rPr>
          <w:rFonts w:hint="default" w:ascii="Times New Roman" w:hAnsi="Times New Roman" w:eastAsia="Wingdings" w:cs="Times New Roman"/>
          <w:color w:val="000000" w:themeColor="text1"/>
          <w:lang w:val="en-US"/>
          <w14:textFill>
            <w14:solidFill>
              <w14:schemeClr w14:val="tx1"/>
            </w14:solidFill>
          </w14:textFill>
        </w:rPr>
        <w:t xml:space="preserve">deferral </w:t>
      </w:r>
      <w:r>
        <w:rPr>
          <w:rFonts w:ascii="Times New Roman" w:hAnsi="Times New Roman" w:eastAsia="Wingdings" w:cs="Times New Roman"/>
          <w:color w:val="000000" w:themeColor="text1"/>
          <w:lang w:val="en-US"/>
          <w14:textFill>
            <w14:solidFill>
              <w14:schemeClr w14:val="tx1"/>
            </w14:solidFill>
          </w14:textFill>
        </w:rPr>
        <w:t>falling in non-active period of cell DRX is not discussed. The UE, having knowledge of parameters and activation of cell DRX, transmitting PUCCH during non-active period of cell DRX is redundant. Again, it is suboptimal utilization of signaling of parameters of cell DRX. In Rel-15, PUCCH deferral is supported</w:t>
      </w:r>
      <w:r>
        <w:rPr>
          <w:rFonts w:hint="default" w:ascii="Times New Roman" w:hAnsi="Times New Roman" w:eastAsia="Wingdings" w:cs="Times New Roman"/>
          <w:color w:val="000000" w:themeColor="text1"/>
          <w:lang w:val="en-US"/>
          <w14:textFill>
            <w14:solidFill>
              <w14:schemeClr w14:val="tx1"/>
            </w14:solidFill>
          </w14:textFill>
        </w:rPr>
        <w:t>,</w:t>
      </w:r>
      <w:r>
        <w:rPr>
          <w:rFonts w:ascii="Times New Roman" w:hAnsi="Times New Roman" w:eastAsia="Wingdings" w:cs="Times New Roman"/>
          <w:color w:val="000000" w:themeColor="text1"/>
          <w:lang w:val="en-US"/>
          <w14:textFill>
            <w14:solidFill>
              <w14:schemeClr w14:val="tx1"/>
            </w14:solidFill>
          </w14:textFill>
        </w:rPr>
        <w:t xml:space="preserve"> where a PUCCH repetition is performed only in valid UL symbols/slots, i.e., symbols that are not configured for reception of SSB, semi-statically configured as downlink symbols, etc. Further the deferral of SPS HARQ-ACK was </w:t>
      </w:r>
      <w:r>
        <w:rPr>
          <w:rFonts w:hint="default" w:ascii="Times New Roman" w:hAnsi="Times New Roman" w:eastAsia="Wingdings" w:cs="Times New Roman"/>
          <w:color w:val="000000" w:themeColor="text1"/>
          <w:lang w:val="en-US"/>
          <w14:textFill>
            <w14:solidFill>
              <w14:schemeClr w14:val="tx1"/>
            </w14:solidFill>
          </w14:textFill>
        </w:rPr>
        <w:t xml:space="preserve">also </w:t>
      </w:r>
      <w:r>
        <w:rPr>
          <w:rFonts w:ascii="Times New Roman" w:hAnsi="Times New Roman" w:eastAsia="Wingdings" w:cs="Times New Roman"/>
          <w:color w:val="000000" w:themeColor="text1"/>
          <w:lang w:val="en-US"/>
          <w14:textFill>
            <w14:solidFill>
              <w14:schemeClr w14:val="tx1"/>
            </w14:solidFill>
          </w14:textFill>
        </w:rPr>
        <w:t>introduced in Rel-17</w:t>
      </w:r>
      <w:r>
        <w:rPr>
          <w:rFonts w:hint="default" w:ascii="Times New Roman" w:hAnsi="Times New Roman" w:eastAsia="Wingdings" w:cs="Times New Roman"/>
          <w:color w:val="000000" w:themeColor="text1"/>
          <w:lang w:val="en-US"/>
          <w14:textFill>
            <w14:solidFill>
              <w14:schemeClr w14:val="tx1"/>
            </w14:solidFill>
          </w14:textFill>
        </w:rPr>
        <w:t>.</w:t>
      </w:r>
      <w:r>
        <w:rPr>
          <w:rFonts w:ascii="Times New Roman" w:hAnsi="Times New Roman" w:eastAsia="Wingdings" w:cs="Times New Roman"/>
          <w:color w:val="000000" w:themeColor="text1"/>
          <w:lang w:val="en-US"/>
          <w14:textFill>
            <w14:solidFill>
              <w14:schemeClr w14:val="tx1"/>
            </w14:solidFill>
          </w14:textFill>
        </w:rPr>
        <w:t xml:space="preserve"> Enhancement of the current deferral mechanism </w:t>
      </w:r>
      <w:r>
        <w:rPr>
          <w:rFonts w:hint="default" w:ascii="Times New Roman" w:hAnsi="Times New Roman" w:eastAsia="Wingdings" w:cs="Times New Roman"/>
          <w:color w:val="000000" w:themeColor="text1"/>
          <w:lang w:val="en-US"/>
          <w14:textFill>
            <w14:solidFill>
              <w14:schemeClr w14:val="tx1"/>
            </w14:solidFill>
          </w14:textFill>
        </w:rPr>
        <w:t xml:space="preserve">considering the </w:t>
      </w:r>
      <w:r>
        <w:rPr>
          <w:rFonts w:ascii="Times New Roman" w:hAnsi="Times New Roman" w:eastAsia="Wingdings" w:cs="Times New Roman"/>
          <w:color w:val="000000" w:themeColor="text1"/>
          <w:lang w:val="en-US"/>
          <w14:textFill>
            <w14:solidFill>
              <w14:schemeClr w14:val="tx1"/>
            </w14:solidFill>
          </w14:textFill>
        </w:rPr>
        <w:t xml:space="preserve">cell DRX operation is beneficial to minimize the dropping of PUCCH repetitions outside active time. Thus, a PUCCH repetition or a SPS HARQ-ACK (for Rel-17 SPS HARQ-ACK deferral) overlapping with the cell DRX non-active time can be deferred to a next valid UL resource (e.g., a next cell DRX on duration). This can be achieved considering a symbol falling in the non-active time of cell DRX as an invalid symbol for the PUCCH deferral operation. </w:t>
      </w:r>
    </w:p>
    <w:p>
      <w:pPr>
        <w:spacing w:line="276" w:lineRule="auto"/>
        <w:rPr>
          <w:rFonts w:ascii="Times New Roman" w:hAnsi="Times New Roman" w:eastAsia="Wingdings" w:cs="Times New Roman"/>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2: </w:t>
      </w:r>
      <w:r>
        <w:rPr>
          <w:rFonts w:ascii="Times New Roman" w:hAnsi="Times New Roman" w:eastAsia="Wingdings" w:cs="Times New Roman"/>
          <w:color w:val="000000" w:themeColor="text1"/>
          <w:lang w:val="en-US"/>
          <w14:textFill>
            <w14:solidFill>
              <w14:schemeClr w14:val="tx1"/>
            </w14:solidFill>
          </w14:textFill>
        </w:rPr>
        <w:t>If a PUCCH repetition or a SPS HARQ-ACK (when Rel-17 SPS HARQ-ACK deferral is configured) overlaps with a symbol in the non-active period of cell DRX, the PUCCH repetition or the SPS HARQ-ACK is deferred to a next valid UL symbols/slots.</w:t>
      </w:r>
    </w:p>
    <w:p>
      <w:pPr>
        <w:spacing w:line="276" w:lineRule="auto"/>
        <w:ind w:firstLine="408"/>
        <w:rPr>
          <w:rFonts w:ascii="Times New Roman" w:hAnsi="Times New Roman" w:eastAsia="Wingdings" w:cs="Times New Roman"/>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3: </w:t>
      </w:r>
      <w:r>
        <w:rPr>
          <w:rFonts w:ascii="Times New Roman" w:hAnsi="Times New Roman" w:eastAsia="Wingdings" w:cs="Times New Roman"/>
          <w:color w:val="000000" w:themeColor="text1"/>
          <w:lang w:val="en-US"/>
          <w14:textFill>
            <w14:solidFill>
              <w14:schemeClr w14:val="tx1"/>
            </w14:solidFill>
          </w14:textFill>
        </w:rPr>
        <w:t xml:space="preserve">When the cell DRX is configured, the </w:t>
      </w:r>
      <w:r>
        <w:rPr>
          <w:rFonts w:hint="default" w:ascii="Times New Roman" w:hAnsi="Times New Roman" w:eastAsia="Wingdings" w:cs="Times New Roman"/>
          <w:color w:val="000000" w:themeColor="text1"/>
          <w:lang w:val="en-US"/>
          <w14:textFill>
            <w14:solidFill>
              <w14:schemeClr w14:val="tx1"/>
            </w14:solidFill>
          </w14:textFill>
        </w:rPr>
        <w:t xml:space="preserve">next </w:t>
      </w:r>
      <w:r>
        <w:rPr>
          <w:rFonts w:ascii="Times New Roman" w:hAnsi="Times New Roman" w:eastAsia="Wingdings" w:cs="Times New Roman"/>
          <w:color w:val="000000" w:themeColor="text1"/>
          <w:lang w:val="en-US"/>
          <w14:textFill>
            <w14:solidFill>
              <w14:schemeClr w14:val="tx1"/>
            </w14:solidFill>
          </w14:textFill>
        </w:rPr>
        <w:t xml:space="preserve">valid UL symbols/slots for PUCCH deferral or a SPS HARQ-ACK deferral should be in the </w:t>
      </w:r>
      <w:r>
        <w:rPr>
          <w:rFonts w:hint="default" w:ascii="Times New Roman" w:hAnsi="Times New Roman" w:eastAsia="Wingdings" w:cs="Times New Roman"/>
          <w:color w:val="000000" w:themeColor="text1"/>
          <w:lang w:val="en-US"/>
          <w14:textFill>
            <w14:solidFill>
              <w14:schemeClr w14:val="tx1"/>
            </w14:solidFill>
          </w14:textFill>
        </w:rPr>
        <w:t xml:space="preserve">next </w:t>
      </w:r>
      <w:r>
        <w:rPr>
          <w:rFonts w:ascii="Times New Roman" w:hAnsi="Times New Roman" w:eastAsia="Wingdings" w:cs="Times New Roman"/>
          <w:color w:val="000000" w:themeColor="text1"/>
          <w:lang w:val="en-US"/>
          <w14:textFill>
            <w14:solidFill>
              <w14:schemeClr w14:val="tx1"/>
            </w14:solidFill>
          </w14:textFill>
        </w:rPr>
        <w:t>active period of cell DRX.</w:t>
      </w:r>
    </w:p>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 xml:space="preserve">For repetition of signals/channels (e.g., PDCCH/PDSCH/CSI-RS/PUSCH/SRS) overlapping with the non active period of Cell DTX/DRX, the transmission or reception may be skipped or deferred until the end of the </w:t>
      </w:r>
      <w:r>
        <w:rPr>
          <w:rFonts w:hint="default" w:ascii="Times New Roman" w:hAnsi="Times New Roman" w:eastAsia="Wingdings" w:cs="Times New Roman"/>
          <w:color w:val="000000" w:themeColor="text1"/>
          <w:lang w:val="en-US" w:eastAsia="ko-KR"/>
          <w14:textFill>
            <w14:solidFill>
              <w14:schemeClr w14:val="tx1"/>
            </w14:solidFill>
          </w14:textFill>
        </w:rPr>
        <w:t xml:space="preserve">non </w:t>
      </w:r>
      <w:r>
        <w:rPr>
          <w:rFonts w:ascii="Times New Roman" w:hAnsi="Times New Roman" w:eastAsia="Wingdings" w:cs="Times New Roman"/>
          <w:color w:val="000000" w:themeColor="text1"/>
          <w:lang w:val="en-US" w:eastAsia="ko-KR"/>
          <w14:textFill>
            <w14:solidFill>
              <w14:schemeClr w14:val="tx1"/>
            </w14:solidFill>
          </w14:textFill>
        </w:rPr>
        <w:t xml:space="preserve">active period. However, skipping the signals/channels during cell DTX/DRX non active period results in delay and performance loss at UE. Further, entirely reconfiguring the skipped signals/channels results in additional signaling and redundancy. Therefore, mechanisms for deferring the skipped signals/channels after the non-active period of cell DTX/DRX pattern should be considered. For e.g., instead of rescheduling the deprioritized operation with all configurations, the the skipped operations will be performed after the </w:t>
      </w:r>
      <w:r>
        <w:rPr>
          <w:rFonts w:hint="default" w:ascii="Times New Roman" w:hAnsi="Times New Roman" w:eastAsia="Wingdings" w:cs="Times New Roman"/>
          <w:color w:val="000000" w:themeColor="text1"/>
          <w:lang w:val="en-US" w:eastAsia="ko-KR"/>
          <w14:textFill>
            <w14:solidFill>
              <w14:schemeClr w14:val="tx1"/>
            </w14:solidFill>
          </w14:textFill>
        </w:rPr>
        <w:t>non-active period</w:t>
      </w:r>
      <w:r>
        <w:rPr>
          <w:rFonts w:ascii="Times New Roman" w:hAnsi="Times New Roman" w:eastAsia="Wingdings" w:cs="Times New Roman"/>
          <w:color w:val="000000" w:themeColor="text1"/>
          <w:lang w:val="en-US" w:eastAsia="ko-KR"/>
          <w14:textFill>
            <w14:solidFill>
              <w14:schemeClr w14:val="tx1"/>
            </w14:solidFill>
          </w14:textFill>
        </w:rPr>
        <w:t>.</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Observation 2:</w:t>
      </w:r>
      <w:r>
        <w:rPr>
          <w:rFonts w:ascii="Times New Roman" w:hAnsi="Times New Roman" w:eastAsia="Wingdings" w:cs="Times New Roman"/>
          <w:color w:val="000000" w:themeColor="text1"/>
          <w:lang w:val="en-US" w:eastAsia="ko-KR"/>
          <w14:textFill>
            <w14:solidFill>
              <w14:schemeClr w14:val="tx1"/>
            </w14:solidFill>
          </w14:textFill>
        </w:rPr>
        <w:t xml:space="preserve"> Following observation is made about skipping signals and channels during cell DTX/DRX non active period</w:t>
      </w:r>
    </w:p>
    <w:p>
      <w:pPr>
        <w:spacing w:line="276" w:lineRule="auto"/>
        <w:ind w:firstLine="408"/>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Skipping results in delay and performance loss at UE</w:t>
      </w:r>
    </w:p>
    <w:p>
      <w:pPr>
        <w:spacing w:line="276" w:lineRule="auto"/>
        <w:ind w:firstLine="408"/>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Rescheduling the entire set of skipped signals/channels after cell DTX/DRX pattern results in additional signaling and redundancy</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Proposal </w:t>
      </w:r>
      <w:r>
        <w:rPr>
          <w:rFonts w:hint="default" w:ascii="Times New Roman" w:hAnsi="Times New Roman" w:eastAsia="Wingdings" w:cs="Times New Roman"/>
          <w:b/>
          <w:bCs/>
          <w:color w:val="000000" w:themeColor="text1"/>
          <w:lang w:val="en-US" w:eastAsia="ko-KR"/>
          <w14:textFill>
            <w14:solidFill>
              <w14:schemeClr w14:val="tx1"/>
            </w14:solidFill>
          </w14:textFill>
        </w:rPr>
        <w:t>4</w:t>
      </w:r>
      <w:r>
        <w:rPr>
          <w:rFonts w:ascii="Times New Roman" w:hAnsi="Times New Roman" w:eastAsia="Wingdings" w:cs="Times New Roman"/>
          <w:b/>
          <w:bCs/>
          <w:color w:val="000000" w:themeColor="text1"/>
          <w:lang w:val="en-US" w:eastAsia="ko-KR"/>
          <w14:textFill>
            <w14:solidFill>
              <w14:schemeClr w14:val="tx1"/>
            </w14:solidFill>
          </w14:textFill>
        </w:rPr>
        <w:t>:</w:t>
      </w:r>
      <w:r>
        <w:rPr>
          <w:rFonts w:ascii="Times New Roman" w:hAnsi="Times New Roman" w:eastAsia="Wingdings" w:cs="Times New Roman"/>
          <w:color w:val="000000" w:themeColor="text1"/>
          <w:lang w:val="en-US" w:eastAsia="ko-KR"/>
          <w14:textFill>
            <w14:solidFill>
              <w14:schemeClr w14:val="tx1"/>
            </w14:solidFill>
          </w14:textFill>
        </w:rPr>
        <w:t xml:space="preserve"> For signals/channels configured with repeated transmission (e.g., PDCCH/PDSCH/CSI-RS/PUSCH/SRS) when overlapped with the Cell DTX/DRX non active period, defer the transmission or reception until the end of the </w:t>
      </w:r>
      <w:r>
        <w:rPr>
          <w:rFonts w:hint="default" w:ascii="Times New Roman" w:hAnsi="Times New Roman" w:eastAsia="Wingdings" w:cs="Times New Roman"/>
          <w:color w:val="000000" w:themeColor="text1"/>
          <w:lang w:val="en-US" w:eastAsia="ko-KR"/>
          <w14:textFill>
            <w14:solidFill>
              <w14:schemeClr w14:val="tx1"/>
            </w14:solidFill>
          </w14:textFill>
        </w:rPr>
        <w:t xml:space="preserve">non </w:t>
      </w:r>
      <w:r>
        <w:rPr>
          <w:rFonts w:ascii="Times New Roman" w:hAnsi="Times New Roman" w:eastAsia="Wingdings" w:cs="Times New Roman"/>
          <w:color w:val="000000" w:themeColor="text1"/>
          <w:lang w:val="en-US" w:eastAsia="ko-KR"/>
          <w14:textFill>
            <w14:solidFill>
              <w14:schemeClr w14:val="tx1"/>
            </w14:solidFill>
          </w14:textFill>
        </w:rPr>
        <w:t>active period.</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 xml:space="preserve">A cell DTX/DRX pattern has a certain parameters such as start offset, ON duration, and periodicity, provided to the UE, via dedicated RRC signaling. During activation, a command to use the pattern is indicated in DCI. In order to improve network energy saving gain as well as address different traffic requirements in a more flexible manner, dynamic control of ON duration of the cell DTX/DRX pattern can be considered. For example, </w:t>
      </w:r>
      <w:r>
        <w:rPr>
          <w:rFonts w:ascii="Times New Roman" w:hAnsi="Times New Roman" w:eastAsia="Wingdings" w:cs="Times New Roman"/>
          <w:color w:val="000000" w:themeColor="text1"/>
          <w:lang w:val="en-GB"/>
          <w14:textFill>
            <w14:solidFill>
              <w14:schemeClr w14:val="tx1"/>
            </w14:solidFill>
          </w14:textFill>
        </w:rPr>
        <w:t>in case of high UE arrival rate, the gNB has to switch on and monitor for UL signal</w:t>
      </w:r>
      <w:r>
        <w:rPr>
          <w:rFonts w:ascii="Times New Roman" w:hAnsi="Times New Roman" w:eastAsia="Wingdings" w:cs="Times New Roman"/>
          <w:color w:val="000000" w:themeColor="text1"/>
          <w:lang w:val="en-US"/>
          <w14:textFill>
            <w14:solidFill>
              <w14:schemeClr w14:val="tx1"/>
            </w14:solidFill>
          </w14:textFill>
        </w:rPr>
        <w:t xml:space="preserve"> frequently</w:t>
      </w:r>
      <w:r>
        <w:rPr>
          <w:rFonts w:ascii="Times New Roman" w:hAnsi="Times New Roman" w:eastAsia="Wingdings" w:cs="Times New Roman"/>
          <w:color w:val="000000" w:themeColor="text1"/>
          <w:lang w:val="en-GB"/>
          <w14:textFill>
            <w14:solidFill>
              <w14:schemeClr w14:val="tx1"/>
            </w14:solidFill>
          </w14:textFill>
        </w:rPr>
        <w:t xml:space="preserve">. Hence, for such scenario, the ON duration of </w:t>
      </w:r>
      <w:r>
        <w:rPr>
          <w:rFonts w:ascii="Times New Roman" w:hAnsi="Times New Roman" w:eastAsia="Wingdings" w:cs="Times New Roman"/>
          <w:color w:val="000000" w:themeColor="text1"/>
          <w:lang w:val="en-US"/>
          <w14:textFill>
            <w14:solidFill>
              <w14:schemeClr w14:val="tx1"/>
            </w14:solidFill>
          </w14:textFill>
        </w:rPr>
        <w:t xml:space="preserve">cell </w:t>
      </w:r>
      <w:r>
        <w:rPr>
          <w:rFonts w:ascii="Times New Roman" w:hAnsi="Times New Roman" w:eastAsia="Wingdings" w:cs="Times New Roman"/>
          <w:color w:val="000000" w:themeColor="text1"/>
          <w:lang w:val="en-GB"/>
          <w14:textFill>
            <w14:solidFill>
              <w14:schemeClr w14:val="tx1"/>
            </w14:solidFill>
          </w14:textFill>
        </w:rPr>
        <w:t>DTX/DRX should be large. In contrast, the ON duration can be small in case of lower UE arrival rate.</w:t>
      </w:r>
      <w:r>
        <w:rPr>
          <w:rFonts w:ascii="Times New Roman" w:hAnsi="Times New Roman" w:eastAsia="Wingdings" w:cs="Times New Roman"/>
          <w:color w:val="000000" w:themeColor="text1"/>
          <w:lang w:val="en-US" w:eastAsia="ko-KR"/>
          <w14:textFill>
            <w14:solidFill>
              <w14:schemeClr w14:val="tx1"/>
            </w14:solidFill>
          </w14:textFill>
        </w:rPr>
        <w:t>. Hence to achieve further energy saving gains, DCI based indication can be considered to indicate UEs whether to follow the configured ON duration of cell DTX/DRX or to adjust the ON duration after receiving the DCI based indication.</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GB"/>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Observation 3:</w:t>
      </w:r>
      <w:r>
        <w:rPr>
          <w:rFonts w:ascii="Times New Roman" w:hAnsi="Times New Roman" w:eastAsia="Wingdings" w:cs="Times New Roman"/>
          <w:color w:val="000000" w:themeColor="text1"/>
          <w:lang w:val="en-US"/>
          <w14:textFill>
            <w14:solidFill>
              <w14:schemeClr w14:val="tx1"/>
            </w14:solidFill>
          </w14:textFill>
        </w:rPr>
        <w:t xml:space="preserve">  </w:t>
      </w:r>
      <w:r>
        <w:rPr>
          <w:rFonts w:ascii="Times New Roman" w:hAnsi="Times New Roman" w:eastAsia="Wingdings" w:cs="Times New Roman"/>
          <w:color w:val="000000" w:themeColor="text1"/>
          <w:lang w:val="en-GB"/>
          <w14:textFill>
            <w14:solidFill>
              <w14:schemeClr w14:val="tx1"/>
            </w14:solidFill>
          </w14:textFill>
        </w:rPr>
        <w:t xml:space="preserve">The energy saving at gNB can be improved if the </w:t>
      </w:r>
      <w:r>
        <w:rPr>
          <w:rFonts w:ascii="Times New Roman" w:hAnsi="Times New Roman" w:eastAsia="Wingdings" w:cs="Times New Roman"/>
          <w:color w:val="000000" w:themeColor="text1"/>
          <w:lang w:val="en-US"/>
          <w14:textFill>
            <w14:solidFill>
              <w14:schemeClr w14:val="tx1"/>
            </w14:solidFill>
          </w14:textFill>
        </w:rPr>
        <w:t xml:space="preserve">cell </w:t>
      </w:r>
      <w:r>
        <w:rPr>
          <w:rFonts w:ascii="Times New Roman" w:hAnsi="Times New Roman" w:eastAsia="Wingdings" w:cs="Times New Roman"/>
          <w:color w:val="000000" w:themeColor="text1"/>
          <w:lang w:val="en-GB"/>
          <w14:textFill>
            <w14:solidFill>
              <w14:schemeClr w14:val="tx1"/>
            </w14:solidFill>
          </w14:textFill>
        </w:rPr>
        <w:t xml:space="preserve">DTX/DRX </w:t>
      </w:r>
      <w:r>
        <w:rPr>
          <w:rFonts w:ascii="Times New Roman" w:hAnsi="Times New Roman" w:eastAsia="Wingdings" w:cs="Times New Roman"/>
          <w:color w:val="000000" w:themeColor="text1"/>
          <w:lang w:val="en-US"/>
          <w14:textFill>
            <w14:solidFill>
              <w14:schemeClr w14:val="tx1"/>
            </w14:solidFill>
          </w14:textFill>
        </w:rPr>
        <w:t xml:space="preserve">pattern </w:t>
      </w:r>
      <w:r>
        <w:rPr>
          <w:rFonts w:ascii="Times New Roman" w:hAnsi="Times New Roman" w:eastAsia="Wingdings" w:cs="Times New Roman"/>
          <w:color w:val="000000" w:themeColor="text1"/>
          <w:lang w:val="en-GB"/>
          <w14:textFill>
            <w14:solidFill>
              <w14:schemeClr w14:val="tx1"/>
            </w14:solidFill>
          </w14:textFill>
        </w:rPr>
        <w:t>can adapt to the network conditions.</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Proposal </w:t>
      </w:r>
      <w:r>
        <w:rPr>
          <w:rFonts w:hint="default" w:ascii="Times New Roman" w:hAnsi="Times New Roman" w:eastAsia="Wingdings" w:cs="Times New Roman"/>
          <w:b/>
          <w:bCs/>
          <w:color w:val="000000" w:themeColor="text1"/>
          <w:lang w:val="en-US" w:eastAsia="ko-KR"/>
          <w14:textFill>
            <w14:solidFill>
              <w14:schemeClr w14:val="tx1"/>
            </w14:solidFill>
          </w14:textFill>
        </w:rPr>
        <w:t>5</w:t>
      </w:r>
      <w:r>
        <w:rPr>
          <w:rFonts w:ascii="Times New Roman" w:hAnsi="Times New Roman" w:eastAsia="Wingdings" w:cs="Times New Roman"/>
          <w:b/>
          <w:bCs/>
          <w:color w:val="000000" w:themeColor="text1"/>
          <w:lang w:val="en-US" w:eastAsia="ko-KR"/>
          <w14:textFill>
            <w14:solidFill>
              <w14:schemeClr w14:val="tx1"/>
            </w14:solidFill>
          </w14:textFill>
        </w:rPr>
        <w:t>:</w:t>
      </w:r>
      <w:r>
        <w:rPr>
          <w:rFonts w:ascii="Times New Roman" w:hAnsi="Times New Roman" w:eastAsia="Wingdings" w:cs="Times New Roman"/>
          <w:color w:val="000000" w:themeColor="text1"/>
          <w:lang w:val="en-US" w:eastAsia="ko-KR"/>
          <w14:textFill>
            <w14:solidFill>
              <w14:schemeClr w14:val="tx1"/>
            </w14:solidFill>
          </w14:textFill>
        </w:rPr>
        <w:t xml:space="preserve"> Dynamic adaptation of ON duration of the cell DTX/DRX pattern using DCI </w:t>
      </w:r>
      <w:r>
        <w:rPr>
          <w:rFonts w:ascii="Times New Roman" w:hAnsi="Times New Roman" w:eastAsia="Wingdings" w:cs="Times New Roman"/>
          <w:color w:val="000000" w:themeColor="text1"/>
          <w:lang w:val="en-GB" w:eastAsia="ko-KR"/>
          <w14:textFill>
            <w14:solidFill>
              <w14:schemeClr w14:val="tx1"/>
            </w14:solidFill>
          </w14:textFill>
        </w:rPr>
        <w:t xml:space="preserve">format </w:t>
      </w:r>
      <w:r>
        <w:rPr>
          <w:rFonts w:ascii="Times New Roman" w:hAnsi="Times New Roman" w:eastAsia="Wingdings" w:cs="Times New Roman"/>
          <w:color w:val="000000" w:themeColor="text1"/>
          <w:lang w:val="en-GB"/>
          <w14:textFill>
            <w14:solidFill>
              <w14:schemeClr w14:val="tx1"/>
            </w14:solidFill>
          </w14:textFill>
        </w:rPr>
        <w:t xml:space="preserve">for cell DTX/DRX activation and deactivation </w:t>
      </w:r>
      <w:r>
        <w:rPr>
          <w:rFonts w:ascii="Times New Roman" w:hAnsi="Times New Roman" w:eastAsia="Wingdings" w:cs="Times New Roman"/>
          <w:color w:val="000000" w:themeColor="text1"/>
          <w:lang w:val="en-US" w:eastAsia="ko-KR"/>
          <w14:textFill>
            <w14:solidFill>
              <w14:schemeClr w14:val="tx1"/>
            </w14:solidFill>
          </w14:textFill>
        </w:rPr>
        <w:t>is supported.</w:t>
      </w:r>
    </w:p>
    <w:p>
      <w:pPr>
        <w:spacing w:before="171" w:after="291" w:line="276" w:lineRule="auto"/>
        <w:rPr>
          <w:rFonts w:ascii="Times New Roman" w:hAnsi="Times New Roman" w:cs="Times New Roman"/>
          <w:color w:val="000000" w:themeColor="text1"/>
          <w:lang w:val="en-US"/>
          <w14:textFill>
            <w14:solidFill>
              <w14:schemeClr w14:val="tx1"/>
            </w14:solidFill>
          </w14:textFill>
        </w:rPr>
      </w:pPr>
    </w:p>
    <w:p>
      <w:pPr>
        <w:pStyle w:val="2"/>
        <w:numPr>
          <w:ilvl w:val="0"/>
          <w:numId w:val="2"/>
        </w:numPr>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Wingdings" w:cs="Times New Roman"/>
          <w:color w:val="000000" w:themeColor="text1"/>
          <w:sz w:val="24"/>
          <w:szCs w:val="24"/>
          <w14:textFill>
            <w14:solidFill>
              <w14:schemeClr w14:val="tx1"/>
            </w14:solidFill>
          </w14:textFill>
        </w:rPr>
        <w:t>Conclusion</w:t>
      </w:r>
    </w:p>
    <w:p>
      <w:pPr>
        <w:spacing w:line="276" w:lineRule="auto"/>
        <w:rPr>
          <w:rFonts w:ascii="Times New Roman" w:hAnsi="Times New Roman" w:eastAsia="Wingdings" w:cs="Times New Roman"/>
          <w:color w:val="000000" w:themeColor="text1"/>
          <w:lang w:val="en-GB"/>
          <w14:textFill>
            <w14:solidFill>
              <w14:schemeClr w14:val="tx1"/>
            </w14:solidFill>
          </w14:textFill>
        </w:rPr>
      </w:pPr>
      <w:r>
        <w:rPr>
          <w:rFonts w:ascii="Times New Roman" w:hAnsi="Times New Roman" w:eastAsia="Wingdings" w:cs="Times New Roman"/>
          <w:color w:val="000000" w:themeColor="text1"/>
          <w:lang w:val="en-GB"/>
          <w14:textFill>
            <w14:solidFill>
              <w14:schemeClr w14:val="tx1"/>
            </w14:solidFill>
          </w14:textFill>
        </w:rPr>
        <w:t xml:space="preserve">In this contribution, we discussed the cell DTX/DRX technique required in time domain for NES. According to the technical analysis, the following proposals are made, </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Observation 1: </w:t>
      </w:r>
      <w:r>
        <w:rPr>
          <w:rFonts w:ascii="Times New Roman" w:hAnsi="Times New Roman" w:eastAsia="Wingdings" w:cs="Times New Roman"/>
          <w:color w:val="000000" w:themeColor="text1"/>
          <w:lang w:val="en-US" w:eastAsia="ko-KR"/>
          <w14:textFill>
            <w14:solidFill>
              <w14:schemeClr w14:val="tx1"/>
            </w14:solidFill>
          </w14:textFill>
        </w:rPr>
        <w:t xml:space="preserve">Transmitting </w:t>
      </w:r>
      <w:r>
        <w:rPr>
          <w:rFonts w:ascii="Times New Roman" w:hAnsi="Times New Roman" w:eastAsia="Wingdings" w:cs="Times New Roman"/>
          <w:color w:val="000000" w:themeColor="text1"/>
          <w:lang w:val="en-US"/>
          <w14:textFill>
            <w14:solidFill>
              <w14:schemeClr w14:val="tx1"/>
            </w14:solidFill>
          </w14:textFill>
        </w:rPr>
        <w:t xml:space="preserve">HARQ feedback for SPS-PDSCH scheduled in non-active period of cell DTX pattern is redundant and leads to unnecessary resource and power consumption. </w:t>
      </w: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1: Skipping HARQ feedback for the </w:t>
      </w:r>
      <w:r>
        <w:rPr>
          <w:rFonts w:ascii="Times New Roman" w:hAnsi="Times New Roman" w:eastAsia="Wingdings" w:cs="Times New Roman"/>
          <w:color w:val="000000" w:themeColor="text1"/>
          <w:lang w:val="en-US"/>
          <w14:textFill>
            <w14:solidFill>
              <w14:schemeClr w14:val="tx1"/>
            </w14:solidFill>
          </w14:textFill>
        </w:rPr>
        <w:t>SPS PDSCH, overlapping with non-active periods of cell DTX, in HARQ ACK codebook generation is supported.</w:t>
      </w: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2: </w:t>
      </w:r>
      <w:r>
        <w:rPr>
          <w:rFonts w:ascii="Times New Roman" w:hAnsi="Times New Roman" w:eastAsia="Wingdings" w:cs="Times New Roman"/>
          <w:color w:val="000000" w:themeColor="text1"/>
          <w:lang w:val="en-US"/>
          <w14:textFill>
            <w14:solidFill>
              <w14:schemeClr w14:val="tx1"/>
            </w14:solidFill>
          </w14:textFill>
        </w:rPr>
        <w:t>If a PUCCH repetition or a SPS HARQ-ACK (when Rel-17 SPS HARQ-ACK deferral is configured) overlaps with a symbol in the non-active period of cell DRX, the PUCCH repetition or the SPS HARQ-ACK is deferred to a next valid UL symbols/slots.</w:t>
      </w: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US"/>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 xml:space="preserve">Proposal 3: </w:t>
      </w:r>
      <w:r>
        <w:rPr>
          <w:rFonts w:ascii="Times New Roman" w:hAnsi="Times New Roman" w:eastAsia="Wingdings" w:cs="Times New Roman"/>
          <w:color w:val="000000" w:themeColor="text1"/>
          <w:lang w:val="en-US"/>
          <w14:textFill>
            <w14:solidFill>
              <w14:schemeClr w14:val="tx1"/>
            </w14:solidFill>
          </w14:textFill>
        </w:rPr>
        <w:t xml:space="preserve">When the cell DRX is configured, the </w:t>
      </w:r>
      <w:r>
        <w:rPr>
          <w:rFonts w:hint="default" w:ascii="Times New Roman" w:hAnsi="Times New Roman" w:eastAsia="Wingdings" w:cs="Times New Roman"/>
          <w:color w:val="000000" w:themeColor="text1"/>
          <w:lang w:val="en-US"/>
          <w14:textFill>
            <w14:solidFill>
              <w14:schemeClr w14:val="tx1"/>
            </w14:solidFill>
          </w14:textFill>
        </w:rPr>
        <w:t xml:space="preserve">next </w:t>
      </w:r>
      <w:r>
        <w:rPr>
          <w:rFonts w:ascii="Times New Roman" w:hAnsi="Times New Roman" w:eastAsia="Wingdings" w:cs="Times New Roman"/>
          <w:color w:val="000000" w:themeColor="text1"/>
          <w:lang w:val="en-US"/>
          <w14:textFill>
            <w14:solidFill>
              <w14:schemeClr w14:val="tx1"/>
            </w14:solidFill>
          </w14:textFill>
        </w:rPr>
        <w:t xml:space="preserve">valid UL symbols/slots for PUCCH deferral or a SPS HARQ-ACK deferral should be in the </w:t>
      </w:r>
      <w:r>
        <w:rPr>
          <w:rFonts w:hint="default" w:ascii="Times New Roman" w:hAnsi="Times New Roman" w:eastAsia="Wingdings" w:cs="Times New Roman"/>
          <w:color w:val="000000" w:themeColor="text1"/>
          <w:lang w:val="en-US"/>
          <w14:textFill>
            <w14:solidFill>
              <w14:schemeClr w14:val="tx1"/>
            </w14:solidFill>
          </w14:textFill>
        </w:rPr>
        <w:t xml:space="preserve">next </w:t>
      </w:r>
      <w:r>
        <w:rPr>
          <w:rFonts w:ascii="Times New Roman" w:hAnsi="Times New Roman" w:eastAsia="Wingdings" w:cs="Times New Roman"/>
          <w:color w:val="000000" w:themeColor="text1"/>
          <w:lang w:val="en-US"/>
          <w14:textFill>
            <w14:solidFill>
              <w14:schemeClr w14:val="tx1"/>
            </w14:solidFill>
          </w14:textFill>
        </w:rPr>
        <w:t>active period of cell DRX.</w:t>
      </w:r>
    </w:p>
    <w:p>
      <w:pPr>
        <w:spacing w:line="276" w:lineRule="auto"/>
        <w:rPr>
          <w:rFonts w:ascii="Times New Roman" w:hAnsi="Times New Roman" w:eastAsia="Wingdings" w:cs="Times New Roman"/>
          <w:b/>
          <w:bCs/>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Observation 2:</w:t>
      </w:r>
      <w:r>
        <w:rPr>
          <w:rFonts w:ascii="Times New Roman" w:hAnsi="Times New Roman" w:eastAsia="Wingdings" w:cs="Times New Roman"/>
          <w:color w:val="000000" w:themeColor="text1"/>
          <w:lang w:val="en-US" w:eastAsia="ko-KR"/>
          <w14:textFill>
            <w14:solidFill>
              <w14:schemeClr w14:val="tx1"/>
            </w14:solidFill>
          </w14:textFill>
        </w:rPr>
        <w:t xml:space="preserve"> Following observation is made about skipping signals and channels during cell DTX/DRX non active period</w:t>
      </w:r>
    </w:p>
    <w:p>
      <w:pPr>
        <w:spacing w:line="276" w:lineRule="auto"/>
        <w:ind w:firstLine="408"/>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Skipping results in delay and performance loss at UE</w:t>
      </w:r>
    </w:p>
    <w:p>
      <w:pPr>
        <w:spacing w:line="276" w:lineRule="auto"/>
        <w:ind w:firstLine="408"/>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color w:val="000000" w:themeColor="text1"/>
          <w:lang w:val="en-US" w:eastAsia="ko-KR"/>
          <w14:textFill>
            <w14:solidFill>
              <w14:schemeClr w14:val="tx1"/>
            </w14:solidFill>
          </w14:textFill>
        </w:rPr>
        <w:t>Rescheduling the entire set of skipped signals/channels after cell DTX/DRX pattern results in additional signaling and redundancy</w:t>
      </w:r>
    </w:p>
    <w:p>
      <w:pPr>
        <w:spacing w:line="276" w:lineRule="auto"/>
        <w:rPr>
          <w:rFonts w:ascii="Times New Roman" w:hAnsi="Times New Roman" w:eastAsia="Wingdings" w:cs="Times New Roman"/>
          <w:b/>
          <w:bCs/>
          <w:color w:val="000000" w:themeColor="text1"/>
          <w:lang w:val="en-US" w:eastAsia="ko-KR"/>
          <w14:textFill>
            <w14:solidFill>
              <w14:schemeClr w14:val="tx1"/>
            </w14:solidFill>
          </w14:textFill>
        </w:rPr>
      </w:pPr>
    </w:p>
    <w:p>
      <w:pPr>
        <w:spacing w:line="276" w:lineRule="auto"/>
        <w:rPr>
          <w:rFonts w:ascii="Times New Roman" w:hAnsi="Times New Roman" w:eastAsia="Malgun Gothic"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Proposal </w:t>
      </w:r>
      <w:r>
        <w:rPr>
          <w:rFonts w:hint="default" w:ascii="Times New Roman" w:hAnsi="Times New Roman" w:eastAsia="Wingdings" w:cs="Times New Roman"/>
          <w:b/>
          <w:bCs/>
          <w:color w:val="000000" w:themeColor="text1"/>
          <w:lang w:val="en-US" w:eastAsia="ko-KR"/>
          <w14:textFill>
            <w14:solidFill>
              <w14:schemeClr w14:val="tx1"/>
            </w14:solidFill>
          </w14:textFill>
        </w:rPr>
        <w:t>4</w:t>
      </w:r>
      <w:r>
        <w:rPr>
          <w:rFonts w:ascii="Times New Roman" w:hAnsi="Times New Roman" w:eastAsia="Wingdings" w:cs="Times New Roman"/>
          <w:b/>
          <w:bCs/>
          <w:color w:val="000000" w:themeColor="text1"/>
          <w:lang w:val="en-US" w:eastAsia="ko-KR"/>
          <w14:textFill>
            <w14:solidFill>
              <w14:schemeClr w14:val="tx1"/>
            </w14:solidFill>
          </w14:textFill>
        </w:rPr>
        <w:t>:</w:t>
      </w:r>
      <w:r>
        <w:rPr>
          <w:rFonts w:ascii="Times New Roman" w:hAnsi="Times New Roman" w:eastAsia="Wingdings" w:cs="Times New Roman"/>
          <w:color w:val="000000" w:themeColor="text1"/>
          <w:lang w:val="en-US" w:eastAsia="ko-KR"/>
          <w14:textFill>
            <w14:solidFill>
              <w14:schemeClr w14:val="tx1"/>
            </w14:solidFill>
          </w14:textFill>
        </w:rPr>
        <w:t xml:space="preserve"> For signals/channels configured with repeated transmission (e.g., PDCCH/PDSCH/CSI-RS/PUSCH/SRS) when overlapped with the Cell DTX/DRX non active period, defer the transmission or reception until the end of the </w:t>
      </w:r>
      <w:r>
        <w:rPr>
          <w:rFonts w:hint="default" w:ascii="Times New Roman" w:hAnsi="Times New Roman" w:eastAsia="Wingdings" w:cs="Times New Roman"/>
          <w:color w:val="000000" w:themeColor="text1"/>
          <w:lang w:val="en-US" w:eastAsia="ko-KR"/>
          <w14:textFill>
            <w14:solidFill>
              <w14:schemeClr w14:val="tx1"/>
            </w14:solidFill>
          </w14:textFill>
        </w:rPr>
        <w:t xml:space="preserve">non </w:t>
      </w:r>
      <w:r>
        <w:rPr>
          <w:rFonts w:ascii="Times New Roman" w:hAnsi="Times New Roman" w:eastAsia="Wingdings" w:cs="Times New Roman"/>
          <w:color w:val="000000" w:themeColor="text1"/>
          <w:lang w:val="en-US" w:eastAsia="ko-KR"/>
          <w14:textFill>
            <w14:solidFill>
              <w14:schemeClr w14:val="tx1"/>
            </w14:solidFill>
          </w14:textFill>
        </w:rPr>
        <w:t>active period.</w:t>
      </w:r>
    </w:p>
    <w:p>
      <w:pPr>
        <w:spacing w:line="276" w:lineRule="auto"/>
        <w:rPr>
          <w:rFonts w:ascii="Times New Roman" w:hAnsi="Times New Roman" w:eastAsia="Wingdings" w:cs="Times New Roman"/>
          <w:b/>
          <w:bCs/>
          <w:color w:val="000000" w:themeColor="text1"/>
          <w:lang w:val="en-US"/>
          <w14:textFill>
            <w14:solidFill>
              <w14:schemeClr w14:val="tx1"/>
            </w14:solidFill>
          </w14:textFill>
        </w:rPr>
      </w:pPr>
    </w:p>
    <w:p>
      <w:pPr>
        <w:spacing w:line="276" w:lineRule="auto"/>
        <w:rPr>
          <w:rFonts w:ascii="Times New Roman" w:hAnsi="Times New Roman" w:eastAsia="Wingdings" w:cs="Times New Roman"/>
          <w:color w:val="000000" w:themeColor="text1"/>
          <w:lang w:val="en-GB"/>
          <w14:textFill>
            <w14:solidFill>
              <w14:schemeClr w14:val="tx1"/>
            </w14:solidFill>
          </w14:textFill>
        </w:rPr>
      </w:pPr>
      <w:r>
        <w:rPr>
          <w:rFonts w:ascii="Times New Roman" w:hAnsi="Times New Roman" w:eastAsia="Wingdings" w:cs="Times New Roman"/>
          <w:b/>
          <w:bCs/>
          <w:color w:val="000000" w:themeColor="text1"/>
          <w:lang w:val="en-US"/>
          <w14:textFill>
            <w14:solidFill>
              <w14:schemeClr w14:val="tx1"/>
            </w14:solidFill>
          </w14:textFill>
        </w:rPr>
        <w:t>Observation 3:</w:t>
      </w:r>
      <w:r>
        <w:rPr>
          <w:rFonts w:ascii="Times New Roman" w:hAnsi="Times New Roman" w:eastAsia="Wingdings" w:cs="Times New Roman"/>
          <w:color w:val="000000" w:themeColor="text1"/>
          <w:lang w:val="en-US"/>
          <w14:textFill>
            <w14:solidFill>
              <w14:schemeClr w14:val="tx1"/>
            </w14:solidFill>
          </w14:textFill>
        </w:rPr>
        <w:t xml:space="preserve">  </w:t>
      </w:r>
      <w:r>
        <w:rPr>
          <w:rFonts w:ascii="Times New Roman" w:hAnsi="Times New Roman" w:eastAsia="Wingdings" w:cs="Times New Roman"/>
          <w:color w:val="000000" w:themeColor="text1"/>
          <w:lang w:val="en-GB"/>
          <w14:textFill>
            <w14:solidFill>
              <w14:schemeClr w14:val="tx1"/>
            </w14:solidFill>
          </w14:textFill>
        </w:rPr>
        <w:t xml:space="preserve">The energy saving at gNB can be improved if the </w:t>
      </w:r>
      <w:r>
        <w:rPr>
          <w:rFonts w:ascii="Times New Roman" w:hAnsi="Times New Roman" w:eastAsia="Wingdings" w:cs="Times New Roman"/>
          <w:color w:val="000000" w:themeColor="text1"/>
          <w:lang w:val="en-US"/>
          <w14:textFill>
            <w14:solidFill>
              <w14:schemeClr w14:val="tx1"/>
            </w14:solidFill>
          </w14:textFill>
        </w:rPr>
        <w:t xml:space="preserve">cell </w:t>
      </w:r>
      <w:r>
        <w:rPr>
          <w:rFonts w:ascii="Times New Roman" w:hAnsi="Times New Roman" w:eastAsia="Wingdings" w:cs="Times New Roman"/>
          <w:color w:val="000000" w:themeColor="text1"/>
          <w:lang w:val="en-GB"/>
          <w14:textFill>
            <w14:solidFill>
              <w14:schemeClr w14:val="tx1"/>
            </w14:solidFill>
          </w14:textFill>
        </w:rPr>
        <w:t xml:space="preserve">DTX/DRX </w:t>
      </w:r>
      <w:r>
        <w:rPr>
          <w:rFonts w:ascii="Times New Roman" w:hAnsi="Times New Roman" w:eastAsia="Wingdings" w:cs="Times New Roman"/>
          <w:color w:val="000000" w:themeColor="text1"/>
          <w:lang w:val="en-US"/>
          <w14:textFill>
            <w14:solidFill>
              <w14:schemeClr w14:val="tx1"/>
            </w14:solidFill>
          </w14:textFill>
        </w:rPr>
        <w:t xml:space="preserve">pattern </w:t>
      </w:r>
      <w:r>
        <w:rPr>
          <w:rFonts w:ascii="Times New Roman" w:hAnsi="Times New Roman" w:eastAsia="Wingdings" w:cs="Times New Roman"/>
          <w:color w:val="000000" w:themeColor="text1"/>
          <w:lang w:val="en-GB"/>
          <w14:textFill>
            <w14:solidFill>
              <w14:schemeClr w14:val="tx1"/>
            </w14:solidFill>
          </w14:textFill>
        </w:rPr>
        <w:t>can adapt to the network conditions.</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r>
        <w:rPr>
          <w:rFonts w:ascii="Times New Roman" w:hAnsi="Times New Roman" w:eastAsia="Wingdings" w:cs="Times New Roman"/>
          <w:b/>
          <w:bCs/>
          <w:color w:val="000000" w:themeColor="text1"/>
          <w:lang w:val="en-US" w:eastAsia="ko-KR"/>
          <w14:textFill>
            <w14:solidFill>
              <w14:schemeClr w14:val="tx1"/>
            </w14:solidFill>
          </w14:textFill>
        </w:rPr>
        <w:t xml:space="preserve">Proposal </w:t>
      </w:r>
      <w:r>
        <w:rPr>
          <w:rFonts w:hint="default" w:ascii="Times New Roman" w:hAnsi="Times New Roman" w:eastAsia="Wingdings" w:cs="Times New Roman"/>
          <w:b/>
          <w:bCs/>
          <w:color w:val="000000" w:themeColor="text1"/>
          <w:lang w:val="en-US" w:eastAsia="ko-KR"/>
          <w14:textFill>
            <w14:solidFill>
              <w14:schemeClr w14:val="tx1"/>
            </w14:solidFill>
          </w14:textFill>
        </w:rPr>
        <w:t>5</w:t>
      </w:r>
      <w:r>
        <w:rPr>
          <w:rFonts w:ascii="Times New Roman" w:hAnsi="Times New Roman" w:eastAsia="Wingdings" w:cs="Times New Roman"/>
          <w:b/>
          <w:bCs/>
          <w:color w:val="000000" w:themeColor="text1"/>
          <w:lang w:val="en-US" w:eastAsia="ko-KR"/>
          <w14:textFill>
            <w14:solidFill>
              <w14:schemeClr w14:val="tx1"/>
            </w14:solidFill>
          </w14:textFill>
        </w:rPr>
        <w:t>:</w:t>
      </w:r>
      <w:r>
        <w:rPr>
          <w:rFonts w:ascii="Times New Roman" w:hAnsi="Times New Roman" w:eastAsia="Wingdings" w:cs="Times New Roman"/>
          <w:color w:val="000000" w:themeColor="text1"/>
          <w:lang w:val="en-US" w:eastAsia="ko-KR"/>
          <w14:textFill>
            <w14:solidFill>
              <w14:schemeClr w14:val="tx1"/>
            </w14:solidFill>
          </w14:textFill>
        </w:rPr>
        <w:t xml:space="preserve"> Dynamic adaptation of ON duration of the cell DTX/DRX pattern using DCI </w:t>
      </w:r>
      <w:r>
        <w:rPr>
          <w:rFonts w:ascii="Times New Roman" w:hAnsi="Times New Roman" w:eastAsia="Wingdings" w:cs="Times New Roman"/>
          <w:color w:val="000000" w:themeColor="text1"/>
          <w:lang w:val="en-GB" w:eastAsia="ko-KR"/>
          <w14:textFill>
            <w14:solidFill>
              <w14:schemeClr w14:val="tx1"/>
            </w14:solidFill>
          </w14:textFill>
        </w:rPr>
        <w:t xml:space="preserve">format </w:t>
      </w:r>
      <w:r>
        <w:rPr>
          <w:rFonts w:ascii="Times New Roman" w:hAnsi="Times New Roman" w:eastAsia="Wingdings" w:cs="Times New Roman"/>
          <w:color w:val="000000" w:themeColor="text1"/>
          <w:lang w:val="en-GB"/>
          <w14:textFill>
            <w14:solidFill>
              <w14:schemeClr w14:val="tx1"/>
            </w14:solidFill>
          </w14:textFill>
        </w:rPr>
        <w:t xml:space="preserve">for cell DTX/DRX activation and deactivation </w:t>
      </w:r>
      <w:r>
        <w:rPr>
          <w:rFonts w:ascii="Times New Roman" w:hAnsi="Times New Roman" w:eastAsia="Wingdings" w:cs="Times New Roman"/>
          <w:color w:val="000000" w:themeColor="text1"/>
          <w:lang w:val="en-US" w:eastAsia="ko-KR"/>
          <w14:textFill>
            <w14:solidFill>
              <w14:schemeClr w14:val="tx1"/>
            </w14:solidFill>
          </w14:textFill>
        </w:rPr>
        <w:t>is supported.</w:t>
      </w:r>
    </w:p>
    <w:p>
      <w:pPr>
        <w:spacing w:line="276" w:lineRule="auto"/>
        <w:rPr>
          <w:rFonts w:ascii="Times New Roman" w:hAnsi="Times New Roman" w:eastAsia="Wingdings" w:cs="Times New Roman"/>
          <w:color w:val="000000" w:themeColor="text1"/>
          <w:lang w:val="en-US" w:eastAsia="ko-KR"/>
          <w14:textFill>
            <w14:solidFill>
              <w14:schemeClr w14:val="tx1"/>
            </w14:solidFill>
          </w14:textFill>
        </w:rPr>
      </w:pPr>
    </w:p>
    <w:p>
      <w:pPr>
        <w:pStyle w:val="2"/>
        <w:numPr>
          <w:ilvl w:val="0"/>
          <w:numId w:val="2"/>
        </w:numPr>
        <w:spacing w:line="276" w:lineRule="auto"/>
        <w:rPr>
          <w:rFonts w:ascii="Times New Roman" w:hAnsi="Times New Roman" w:cs="Times New Roman"/>
          <w:color w:val="000000" w:themeColor="text1"/>
          <w:sz w:val="24"/>
          <w:szCs w:val="24"/>
          <w14:textFill>
            <w14:solidFill>
              <w14:schemeClr w14:val="tx1"/>
            </w14:solidFill>
          </w14:textFill>
        </w:rPr>
      </w:pPr>
      <w:bookmarkStart w:id="3" w:name="_Ref71620620"/>
      <w:bookmarkEnd w:id="3"/>
      <w:bookmarkStart w:id="4" w:name="_Ref124671424"/>
      <w:bookmarkEnd w:id="4"/>
      <w:bookmarkStart w:id="5" w:name="_Ref124589665"/>
      <w:bookmarkEnd w:id="5"/>
      <w:r>
        <w:rPr>
          <w:rFonts w:ascii="Times New Roman" w:hAnsi="Times New Roman" w:eastAsia="Wingdings" w:cs="Times New Roman"/>
          <w:color w:val="000000" w:themeColor="text1"/>
          <w:sz w:val="24"/>
          <w:szCs w:val="24"/>
          <w14:textFill>
            <w14:solidFill>
              <w14:schemeClr w14:val="tx1"/>
            </w14:solidFill>
          </w14:textFill>
        </w:rPr>
        <w:t>References</w:t>
      </w:r>
      <w:bookmarkEnd w:id="2"/>
    </w:p>
    <w:p>
      <w:pPr>
        <w:pStyle w:val="34"/>
        <w:numPr>
          <w:ilvl w:val="0"/>
          <w:numId w:val="4"/>
        </w:numPr>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“Chairman’s notes RAN1 #11</w:t>
      </w:r>
      <w:r>
        <w:rPr>
          <w:rFonts w:ascii="Times New Roman" w:hAnsi="Times New Roman" w:cs="Times New Roman"/>
          <w:color w:val="000000" w:themeColor="text1"/>
          <w:sz w:val="24"/>
          <w:szCs w:val="24"/>
          <w:lang w:val="en-US"/>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 xml:space="preserve">August </w:t>
      </w:r>
      <w:r>
        <w:rPr>
          <w:rFonts w:ascii="Times New Roman" w:hAnsi="Times New Roman" w:cs="Times New Roman"/>
          <w:color w:val="000000" w:themeColor="text1"/>
          <w:sz w:val="24"/>
          <w:szCs w:val="24"/>
          <w14:textFill>
            <w14:solidFill>
              <w14:schemeClr w14:val="tx1"/>
            </w14:solidFill>
          </w14:textFill>
        </w:rPr>
        <w:t>2023.</w:t>
      </w:r>
    </w:p>
    <w:p>
      <w:pPr>
        <w:pStyle w:val="34"/>
        <w:numPr>
          <w:ilvl w:val="0"/>
          <w:numId w:val="4"/>
        </w:numPr>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“Chairman’s notes RAN</w:t>
      </w:r>
      <w:r>
        <w:rPr>
          <w:rFonts w:ascii="Times New Roman" w:hAnsi="Times New Roman" w:cs="Times New Roman"/>
          <w:color w:val="000000" w:themeColor="text1"/>
          <w:sz w:val="24"/>
          <w:szCs w:val="24"/>
          <w:lang w:val="en-US"/>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 xml:space="preserve"> #1</w:t>
      </w:r>
      <w:r>
        <w:rPr>
          <w:rFonts w:ascii="Times New Roman" w:hAnsi="Times New Roman" w:cs="Times New Roman"/>
          <w:color w:val="000000" w:themeColor="text1"/>
          <w:sz w:val="24"/>
          <w:szCs w:val="24"/>
          <w:lang w:val="en-US"/>
          <w14:textFill>
            <w14:solidFill>
              <w14:schemeClr w14:val="tx1"/>
            </w14:solidFill>
          </w14:textFill>
        </w:rPr>
        <w:t>21-bis-e</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 xml:space="preserve">April </w:t>
      </w:r>
      <w:r>
        <w:rPr>
          <w:rFonts w:ascii="Times New Roman" w:hAnsi="Times New Roman" w:cs="Times New Roman"/>
          <w:color w:val="000000" w:themeColor="text1"/>
          <w:sz w:val="24"/>
          <w:szCs w:val="24"/>
          <w14:textFill>
            <w14:solidFill>
              <w14:schemeClr w14:val="tx1"/>
            </w14:solidFill>
          </w14:textFill>
        </w:rPr>
        <w:t>2023.</w:t>
      </w:r>
    </w:p>
    <w:p>
      <w:pPr>
        <w:pStyle w:val="34"/>
        <w:numPr>
          <w:ilvl w:val="0"/>
          <w:numId w:val="4"/>
        </w:numPr>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“Chairman’s notes RAN</w:t>
      </w:r>
      <w:r>
        <w:rPr>
          <w:rFonts w:ascii="Times New Roman" w:hAnsi="Times New Roman" w:cs="Times New Roman"/>
          <w:color w:val="000000" w:themeColor="text1"/>
          <w:sz w:val="24"/>
          <w:szCs w:val="24"/>
          <w:lang w:val="en-US"/>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 xml:space="preserve"> #1</w:t>
      </w:r>
      <w:r>
        <w:rPr>
          <w:rFonts w:ascii="Times New Roman" w:hAnsi="Times New Roman" w:cs="Times New Roman"/>
          <w:color w:val="000000" w:themeColor="text1"/>
          <w:sz w:val="24"/>
          <w:szCs w:val="24"/>
          <w:lang w:val="en-US"/>
          <w14:textFill>
            <w14:solidFill>
              <w14:schemeClr w14:val="tx1"/>
            </w14:solidFill>
          </w14:textFill>
        </w:rPr>
        <w:t>12-bis-e</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 xml:space="preserve">April </w:t>
      </w:r>
      <w:r>
        <w:rPr>
          <w:rFonts w:ascii="Times New Roman" w:hAnsi="Times New Roman" w:cs="Times New Roman"/>
          <w:color w:val="000000" w:themeColor="text1"/>
          <w:sz w:val="24"/>
          <w:szCs w:val="24"/>
          <w14:textFill>
            <w14:solidFill>
              <w14:schemeClr w14:val="tx1"/>
            </w14:solidFill>
          </w14:textFill>
        </w:rPr>
        <w:t>2023.</w:t>
      </w:r>
    </w:p>
    <w:p>
      <w:pPr>
        <w:pStyle w:val="34"/>
        <w:spacing w:line="276" w:lineRule="auto"/>
        <w:rPr>
          <w:rFonts w:ascii="Times New Roman" w:hAnsi="Times New Roman" w:cs="Times New Roman"/>
          <w:color w:val="000000" w:themeColor="text1"/>
          <w:sz w:val="24"/>
          <w:szCs w:val="24"/>
          <w14:textFill>
            <w14:solidFill>
              <w14:schemeClr w14:val="tx1"/>
            </w14:solidFill>
          </w14:textFill>
        </w:rPr>
      </w:pPr>
    </w:p>
    <w:p>
      <w:pPr>
        <w:pStyle w:val="34"/>
        <w:numPr>
          <w:ilvl w:val="255"/>
          <w:numId w:val="0"/>
        </w:numPr>
        <w:spacing w:line="276" w:lineRule="auto"/>
        <w:ind w:left="360"/>
        <w:rPr>
          <w:rFonts w:ascii="Times New Roman" w:hAnsi="Times New Roman" w:cs="Times New Roman"/>
          <w:color w:val="000000" w:themeColor="text1"/>
          <w:sz w:val="24"/>
          <w:szCs w:val="24"/>
          <w14:textFill>
            <w14:solidFill>
              <w14:schemeClr w14:val="tx1"/>
            </w14:solidFill>
          </w14:textFill>
        </w:rPr>
      </w:pPr>
    </w:p>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0"/>
    <w:family w:val="auto"/>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lgun Gothic">
    <w:altName w:val="Droid Sans Fallback"/>
    <w:panose1 w:val="020B0503020000020004"/>
    <w:charset w:val="81"/>
    <w:family w:val="swiss"/>
    <w:pitch w:val="default"/>
    <w:sig w:usb0="00000000" w:usb1="00000000" w:usb2="00000012" w:usb3="00000000" w:csb0="0008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Wingdings">
    <w:altName w:val="OpenSymbol"/>
    <w:panose1 w:val="05000000000000000000"/>
    <w:charset w:val="02"/>
    <w:family w:val="auto"/>
    <w:pitch w:val="default"/>
    <w:sig w:usb0="00000000" w:usb1="00000000" w:usb2="00000000" w:usb3="00000000" w:csb0="80000000" w:csb1="00000000"/>
  </w:font>
  <w:font w:name="Liberation Sans">
    <w:panose1 w:val="020B0604020202020204"/>
    <w:charset w:val="01"/>
    <w:family w:val="roman"/>
    <w:pitch w:val="default"/>
    <w:sig w:usb0="A00002AF" w:usb1="500078FB" w:usb2="00000000" w:usb3="00000000" w:csb0="6000009F" w:csb1="DFD70000"/>
  </w:font>
  <w:font w:name="Noto Sans CJK SC">
    <w:panose1 w:val="020B0500000000000000"/>
    <w:charset w:val="86"/>
    <w:family w:val="auto"/>
    <w:pitch w:val="default"/>
    <w:sig w:usb0="30000083" w:usb1="2BDF3C10" w:usb2="00000016" w:usb3="00000000" w:csb0="602E0107"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DengXian">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E6B1B"/>
    <w:multiLevelType w:val="multilevel"/>
    <w:tmpl w:val="AFCE6B1B"/>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FCEF3E2D"/>
    <w:multiLevelType w:val="multilevel"/>
    <w:tmpl w:val="FCEF3E2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2">
    <w:nsid w:val="5FFFBCDC"/>
    <w:multiLevelType w:val="multilevel"/>
    <w:tmpl w:val="5FFFBCDC"/>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3">
    <w:nsid w:val="65460B06"/>
    <w:multiLevelType w:val="multilevel"/>
    <w:tmpl w:val="65460B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408"/>
  <w:autoHyphenation/>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4A"/>
    <w:rsid w:val="00007053"/>
    <w:rsid w:val="000312BD"/>
    <w:rsid w:val="0005296C"/>
    <w:rsid w:val="00080307"/>
    <w:rsid w:val="00080B39"/>
    <w:rsid w:val="00155114"/>
    <w:rsid w:val="001E7C68"/>
    <w:rsid w:val="001F7466"/>
    <w:rsid w:val="00203DA5"/>
    <w:rsid w:val="00242D2E"/>
    <w:rsid w:val="00251877"/>
    <w:rsid w:val="002614EE"/>
    <w:rsid w:val="002A069B"/>
    <w:rsid w:val="002F0A36"/>
    <w:rsid w:val="00343CCB"/>
    <w:rsid w:val="00355A58"/>
    <w:rsid w:val="003D609E"/>
    <w:rsid w:val="003E0777"/>
    <w:rsid w:val="004653B3"/>
    <w:rsid w:val="00467A41"/>
    <w:rsid w:val="00521455"/>
    <w:rsid w:val="00534737"/>
    <w:rsid w:val="00587576"/>
    <w:rsid w:val="00592067"/>
    <w:rsid w:val="005B59CB"/>
    <w:rsid w:val="005C3858"/>
    <w:rsid w:val="005D474A"/>
    <w:rsid w:val="006D0536"/>
    <w:rsid w:val="006D12DC"/>
    <w:rsid w:val="00794817"/>
    <w:rsid w:val="00961724"/>
    <w:rsid w:val="009E2700"/>
    <w:rsid w:val="00A158B3"/>
    <w:rsid w:val="00A37CA6"/>
    <w:rsid w:val="00A621A4"/>
    <w:rsid w:val="00A85C94"/>
    <w:rsid w:val="00B347E9"/>
    <w:rsid w:val="00C2184C"/>
    <w:rsid w:val="00D0521A"/>
    <w:rsid w:val="00D73F17"/>
    <w:rsid w:val="00DD0A26"/>
    <w:rsid w:val="00E01B84"/>
    <w:rsid w:val="00E0669B"/>
    <w:rsid w:val="00E818A5"/>
    <w:rsid w:val="00E97B83"/>
    <w:rsid w:val="00FD71AB"/>
    <w:rsid w:val="0F6EF404"/>
    <w:rsid w:val="0FBB3A9C"/>
    <w:rsid w:val="13DF0B5B"/>
    <w:rsid w:val="152EC78E"/>
    <w:rsid w:val="17569014"/>
    <w:rsid w:val="17EE6D05"/>
    <w:rsid w:val="1D4F1976"/>
    <w:rsid w:val="1DCC84C7"/>
    <w:rsid w:val="1DFDE463"/>
    <w:rsid w:val="1DFFA7F5"/>
    <w:rsid w:val="1E7F9D6D"/>
    <w:rsid w:val="1ECF49B7"/>
    <w:rsid w:val="1EDBB6A0"/>
    <w:rsid w:val="1EDD77C6"/>
    <w:rsid w:val="1EDE39EE"/>
    <w:rsid w:val="1FBB2152"/>
    <w:rsid w:val="1FD804A1"/>
    <w:rsid w:val="1FEDBDB7"/>
    <w:rsid w:val="20D1D59E"/>
    <w:rsid w:val="2B7F45AA"/>
    <w:rsid w:val="2CCD2A2D"/>
    <w:rsid w:val="2CEF28E3"/>
    <w:rsid w:val="2DCA17ED"/>
    <w:rsid w:val="2DEDC447"/>
    <w:rsid w:val="2DF7C3BA"/>
    <w:rsid w:val="2DFAD341"/>
    <w:rsid w:val="2EFDF3B7"/>
    <w:rsid w:val="2FFA675F"/>
    <w:rsid w:val="2FFF2231"/>
    <w:rsid w:val="32EB0820"/>
    <w:rsid w:val="334FF447"/>
    <w:rsid w:val="33BA26EA"/>
    <w:rsid w:val="346FBCCF"/>
    <w:rsid w:val="36F99568"/>
    <w:rsid w:val="379DE608"/>
    <w:rsid w:val="37BFC61E"/>
    <w:rsid w:val="37FB27FF"/>
    <w:rsid w:val="38BDB98F"/>
    <w:rsid w:val="38FA4CCD"/>
    <w:rsid w:val="39FEBDF6"/>
    <w:rsid w:val="39FF033A"/>
    <w:rsid w:val="3A77D29D"/>
    <w:rsid w:val="3A7F1B5C"/>
    <w:rsid w:val="3A7F2311"/>
    <w:rsid w:val="3ABF2A27"/>
    <w:rsid w:val="3AED31D6"/>
    <w:rsid w:val="3AF71B10"/>
    <w:rsid w:val="3B7F9285"/>
    <w:rsid w:val="3B9E7D2E"/>
    <w:rsid w:val="3BCFCEB9"/>
    <w:rsid w:val="3BF3C0A9"/>
    <w:rsid w:val="3BFC50E4"/>
    <w:rsid w:val="3BFF67FC"/>
    <w:rsid w:val="3C4E1361"/>
    <w:rsid w:val="3C9B9AFF"/>
    <w:rsid w:val="3CEB0605"/>
    <w:rsid w:val="3CF44B28"/>
    <w:rsid w:val="3D13EA85"/>
    <w:rsid w:val="3D3F7641"/>
    <w:rsid w:val="3DD99217"/>
    <w:rsid w:val="3DDA3D64"/>
    <w:rsid w:val="3DFF72EA"/>
    <w:rsid w:val="3E9DB6C3"/>
    <w:rsid w:val="3EFD5406"/>
    <w:rsid w:val="3EFF3AB9"/>
    <w:rsid w:val="3F199AF1"/>
    <w:rsid w:val="3F5D10AC"/>
    <w:rsid w:val="3F6FDAB1"/>
    <w:rsid w:val="3F7E66E8"/>
    <w:rsid w:val="3F9F4D58"/>
    <w:rsid w:val="3FB7B86C"/>
    <w:rsid w:val="3FBBDA3E"/>
    <w:rsid w:val="3FDF9AB6"/>
    <w:rsid w:val="3FEFBF9F"/>
    <w:rsid w:val="3FEFEC87"/>
    <w:rsid w:val="3FF6372A"/>
    <w:rsid w:val="3FF7987C"/>
    <w:rsid w:val="3FFBEA6F"/>
    <w:rsid w:val="3FFBF4EC"/>
    <w:rsid w:val="3FFC2313"/>
    <w:rsid w:val="3FFEB794"/>
    <w:rsid w:val="3FFF40DD"/>
    <w:rsid w:val="3FFFB677"/>
    <w:rsid w:val="427EA981"/>
    <w:rsid w:val="45ECB249"/>
    <w:rsid w:val="45FF65B3"/>
    <w:rsid w:val="46D6DF4F"/>
    <w:rsid w:val="476F1964"/>
    <w:rsid w:val="47FF04C3"/>
    <w:rsid w:val="499E3A45"/>
    <w:rsid w:val="4B7B14E1"/>
    <w:rsid w:val="4BDF8183"/>
    <w:rsid w:val="4BE9DAA1"/>
    <w:rsid w:val="4BF7A165"/>
    <w:rsid w:val="4D9F6A53"/>
    <w:rsid w:val="4EB7517C"/>
    <w:rsid w:val="4EDFBB0C"/>
    <w:rsid w:val="4FC78ED9"/>
    <w:rsid w:val="4FF9094A"/>
    <w:rsid w:val="539AA607"/>
    <w:rsid w:val="53EF5910"/>
    <w:rsid w:val="5497CCF1"/>
    <w:rsid w:val="55CFD62F"/>
    <w:rsid w:val="55DF242A"/>
    <w:rsid w:val="55F3CD9E"/>
    <w:rsid w:val="55FF0822"/>
    <w:rsid w:val="569BE614"/>
    <w:rsid w:val="56AF466B"/>
    <w:rsid w:val="56B7B473"/>
    <w:rsid w:val="56FEA65B"/>
    <w:rsid w:val="56FEF4DB"/>
    <w:rsid w:val="57959A67"/>
    <w:rsid w:val="579F94F1"/>
    <w:rsid w:val="57C66E5A"/>
    <w:rsid w:val="57C7A085"/>
    <w:rsid w:val="57C8F524"/>
    <w:rsid w:val="57FF5ABD"/>
    <w:rsid w:val="57FFD30A"/>
    <w:rsid w:val="587F6F9C"/>
    <w:rsid w:val="59FF558E"/>
    <w:rsid w:val="5B8FAABE"/>
    <w:rsid w:val="5BB67BC2"/>
    <w:rsid w:val="5BFEAB71"/>
    <w:rsid w:val="5C77DE50"/>
    <w:rsid w:val="5CB35C9E"/>
    <w:rsid w:val="5D7E4DD6"/>
    <w:rsid w:val="5D8FB75C"/>
    <w:rsid w:val="5DE79199"/>
    <w:rsid w:val="5E7EAD3A"/>
    <w:rsid w:val="5EA29693"/>
    <w:rsid w:val="5EDF8D30"/>
    <w:rsid w:val="5EE7753E"/>
    <w:rsid w:val="5EF62678"/>
    <w:rsid w:val="5F0CF722"/>
    <w:rsid w:val="5F3EEAFA"/>
    <w:rsid w:val="5F8B9874"/>
    <w:rsid w:val="5FCFBCB5"/>
    <w:rsid w:val="5FDE7FB3"/>
    <w:rsid w:val="5FF93F83"/>
    <w:rsid w:val="5FFD9312"/>
    <w:rsid w:val="63F67A1E"/>
    <w:rsid w:val="65A39CFF"/>
    <w:rsid w:val="65FF0C67"/>
    <w:rsid w:val="66783A29"/>
    <w:rsid w:val="673B9833"/>
    <w:rsid w:val="67EF5AE1"/>
    <w:rsid w:val="69C6BE91"/>
    <w:rsid w:val="69DB1126"/>
    <w:rsid w:val="69F72C30"/>
    <w:rsid w:val="69F79186"/>
    <w:rsid w:val="69FEAC92"/>
    <w:rsid w:val="69FF5FF8"/>
    <w:rsid w:val="6A3EF4C6"/>
    <w:rsid w:val="6AEF9E99"/>
    <w:rsid w:val="6BDF9058"/>
    <w:rsid w:val="6BEFB839"/>
    <w:rsid w:val="6BFB4EE5"/>
    <w:rsid w:val="6BFC0E52"/>
    <w:rsid w:val="6D76E7F5"/>
    <w:rsid w:val="6D7F491D"/>
    <w:rsid w:val="6DBF17A3"/>
    <w:rsid w:val="6DD5FFB5"/>
    <w:rsid w:val="6DDF5E30"/>
    <w:rsid w:val="6DE50716"/>
    <w:rsid w:val="6DF67115"/>
    <w:rsid w:val="6DF8F22A"/>
    <w:rsid w:val="6DFFD7BD"/>
    <w:rsid w:val="6EBBA67D"/>
    <w:rsid w:val="6EF94B53"/>
    <w:rsid w:val="6EFFB03A"/>
    <w:rsid w:val="6F1F3775"/>
    <w:rsid w:val="6F378C0D"/>
    <w:rsid w:val="6F3FF737"/>
    <w:rsid w:val="6F5F189B"/>
    <w:rsid w:val="6F6F4BE7"/>
    <w:rsid w:val="6F6F79F0"/>
    <w:rsid w:val="6F77B332"/>
    <w:rsid w:val="6F7B1E08"/>
    <w:rsid w:val="6F7EEC99"/>
    <w:rsid w:val="6FA713BA"/>
    <w:rsid w:val="6FB6F6CC"/>
    <w:rsid w:val="6FB83725"/>
    <w:rsid w:val="6FC138B1"/>
    <w:rsid w:val="6FCD2612"/>
    <w:rsid w:val="6FCF5418"/>
    <w:rsid w:val="6FD3C298"/>
    <w:rsid w:val="6FDD51DC"/>
    <w:rsid w:val="6FF662B6"/>
    <w:rsid w:val="6FF70874"/>
    <w:rsid w:val="6FF77D30"/>
    <w:rsid w:val="6FF9F83F"/>
    <w:rsid w:val="71FF94D1"/>
    <w:rsid w:val="727E2B6D"/>
    <w:rsid w:val="72B1170B"/>
    <w:rsid w:val="73EBC2BE"/>
    <w:rsid w:val="744C14BE"/>
    <w:rsid w:val="74F4A038"/>
    <w:rsid w:val="757E2DBD"/>
    <w:rsid w:val="75EABD89"/>
    <w:rsid w:val="75F7A3A1"/>
    <w:rsid w:val="75FB5F62"/>
    <w:rsid w:val="767F00E5"/>
    <w:rsid w:val="767FE5CB"/>
    <w:rsid w:val="771B5EFE"/>
    <w:rsid w:val="777BAA37"/>
    <w:rsid w:val="77B65D39"/>
    <w:rsid w:val="77BF7398"/>
    <w:rsid w:val="77C52F58"/>
    <w:rsid w:val="77C78D69"/>
    <w:rsid w:val="77CD1E4F"/>
    <w:rsid w:val="77CFD1D2"/>
    <w:rsid w:val="77DAC23F"/>
    <w:rsid w:val="77DF4176"/>
    <w:rsid w:val="77E7C818"/>
    <w:rsid w:val="77F39639"/>
    <w:rsid w:val="77FE52AC"/>
    <w:rsid w:val="77FF6764"/>
    <w:rsid w:val="77FF837E"/>
    <w:rsid w:val="77FF8C22"/>
    <w:rsid w:val="77FF8F8A"/>
    <w:rsid w:val="77FFBE91"/>
    <w:rsid w:val="78DFA542"/>
    <w:rsid w:val="78FF2FE1"/>
    <w:rsid w:val="795A7B26"/>
    <w:rsid w:val="797F958C"/>
    <w:rsid w:val="79BD68DB"/>
    <w:rsid w:val="79FD60D6"/>
    <w:rsid w:val="7A3FEDE1"/>
    <w:rsid w:val="7B22C95C"/>
    <w:rsid w:val="7B7DA5C6"/>
    <w:rsid w:val="7BD9C9DF"/>
    <w:rsid w:val="7BE30A07"/>
    <w:rsid w:val="7BEA2471"/>
    <w:rsid w:val="7BED857B"/>
    <w:rsid w:val="7BF70431"/>
    <w:rsid w:val="7BF93F10"/>
    <w:rsid w:val="7BFB58D0"/>
    <w:rsid w:val="7BFE93DA"/>
    <w:rsid w:val="7BFF66A8"/>
    <w:rsid w:val="7BFFE94B"/>
    <w:rsid w:val="7C393781"/>
    <w:rsid w:val="7C6F2673"/>
    <w:rsid w:val="7CBE9702"/>
    <w:rsid w:val="7CDFAE89"/>
    <w:rsid w:val="7CF75D6B"/>
    <w:rsid w:val="7CFB62AD"/>
    <w:rsid w:val="7D3EEAF4"/>
    <w:rsid w:val="7D3F4FF4"/>
    <w:rsid w:val="7DB64797"/>
    <w:rsid w:val="7DB75E54"/>
    <w:rsid w:val="7DB7EEAD"/>
    <w:rsid w:val="7DBFE727"/>
    <w:rsid w:val="7DD70CD7"/>
    <w:rsid w:val="7DEE583B"/>
    <w:rsid w:val="7DF47FE1"/>
    <w:rsid w:val="7DF5E3C9"/>
    <w:rsid w:val="7DFB5EB6"/>
    <w:rsid w:val="7DFD96EA"/>
    <w:rsid w:val="7DFE7D0E"/>
    <w:rsid w:val="7DFF311F"/>
    <w:rsid w:val="7E0FA1B2"/>
    <w:rsid w:val="7E2FCF23"/>
    <w:rsid w:val="7E3D0463"/>
    <w:rsid w:val="7E4E34EA"/>
    <w:rsid w:val="7E55D2DA"/>
    <w:rsid w:val="7E934F28"/>
    <w:rsid w:val="7EAF352C"/>
    <w:rsid w:val="7EBD1B11"/>
    <w:rsid w:val="7EBD398E"/>
    <w:rsid w:val="7EBDD8F2"/>
    <w:rsid w:val="7EEF1637"/>
    <w:rsid w:val="7EF7DB85"/>
    <w:rsid w:val="7EF7FD1E"/>
    <w:rsid w:val="7EFD2CD1"/>
    <w:rsid w:val="7EFF6D92"/>
    <w:rsid w:val="7F2F9922"/>
    <w:rsid w:val="7F5B1E00"/>
    <w:rsid w:val="7F653754"/>
    <w:rsid w:val="7F6BEECB"/>
    <w:rsid w:val="7F6F70DF"/>
    <w:rsid w:val="7F6FE172"/>
    <w:rsid w:val="7F7744A8"/>
    <w:rsid w:val="7F7F1903"/>
    <w:rsid w:val="7F7F3CA4"/>
    <w:rsid w:val="7F7F9DEC"/>
    <w:rsid w:val="7F7FE9FF"/>
    <w:rsid w:val="7F7FF79A"/>
    <w:rsid w:val="7F89CEAE"/>
    <w:rsid w:val="7F9C7185"/>
    <w:rsid w:val="7FA76302"/>
    <w:rsid w:val="7FAE90D3"/>
    <w:rsid w:val="7FBFDD38"/>
    <w:rsid w:val="7FC0B3B3"/>
    <w:rsid w:val="7FCE269E"/>
    <w:rsid w:val="7FD7D67E"/>
    <w:rsid w:val="7FDD0A35"/>
    <w:rsid w:val="7FDFBDA3"/>
    <w:rsid w:val="7FE69D46"/>
    <w:rsid w:val="7FEB21F9"/>
    <w:rsid w:val="7FEB7D41"/>
    <w:rsid w:val="7FEE6E53"/>
    <w:rsid w:val="7FEF4C37"/>
    <w:rsid w:val="7FEF88A1"/>
    <w:rsid w:val="7FF5D9D8"/>
    <w:rsid w:val="7FF76A36"/>
    <w:rsid w:val="7FF77EAE"/>
    <w:rsid w:val="7FFAF1B0"/>
    <w:rsid w:val="7FFB13BB"/>
    <w:rsid w:val="7FFBFF53"/>
    <w:rsid w:val="7FFD3CC2"/>
    <w:rsid w:val="7FFED525"/>
    <w:rsid w:val="7FFF013F"/>
    <w:rsid w:val="7FFF1F4A"/>
    <w:rsid w:val="7FFF247E"/>
    <w:rsid w:val="7FFF5795"/>
    <w:rsid w:val="7FFF9F34"/>
    <w:rsid w:val="7FFFFCE9"/>
    <w:rsid w:val="86FF8660"/>
    <w:rsid w:val="876DC27D"/>
    <w:rsid w:val="8AF78BDC"/>
    <w:rsid w:val="8FDF34A9"/>
    <w:rsid w:val="8FF519A4"/>
    <w:rsid w:val="8FFE2897"/>
    <w:rsid w:val="93B70C43"/>
    <w:rsid w:val="949D2106"/>
    <w:rsid w:val="9B3D489C"/>
    <w:rsid w:val="9C388399"/>
    <w:rsid w:val="9D7F1F9F"/>
    <w:rsid w:val="9EDB3E04"/>
    <w:rsid w:val="9F3F83C5"/>
    <w:rsid w:val="9F4A09D1"/>
    <w:rsid w:val="9FFEEC7A"/>
    <w:rsid w:val="9FFF18A3"/>
    <w:rsid w:val="A6BE5F95"/>
    <w:rsid w:val="A747FBF5"/>
    <w:rsid w:val="A75BEE28"/>
    <w:rsid w:val="A8F533CD"/>
    <w:rsid w:val="AA3FA50D"/>
    <w:rsid w:val="ABFA7464"/>
    <w:rsid w:val="ABFEACF8"/>
    <w:rsid w:val="ADD7924B"/>
    <w:rsid w:val="AEBF0BE2"/>
    <w:rsid w:val="AEEE98D1"/>
    <w:rsid w:val="AEF365A7"/>
    <w:rsid w:val="AFBF0030"/>
    <w:rsid w:val="B2FF4474"/>
    <w:rsid w:val="B4DF2A7B"/>
    <w:rsid w:val="B4F7EEC9"/>
    <w:rsid w:val="B5ED19F1"/>
    <w:rsid w:val="B79E78BA"/>
    <w:rsid w:val="B7FFB03F"/>
    <w:rsid w:val="B89F21F3"/>
    <w:rsid w:val="B9DF3957"/>
    <w:rsid w:val="B9FF4C6F"/>
    <w:rsid w:val="B9FF9945"/>
    <w:rsid w:val="BA6FB014"/>
    <w:rsid w:val="BAE3215E"/>
    <w:rsid w:val="BAFBEFD4"/>
    <w:rsid w:val="BB6D36C7"/>
    <w:rsid w:val="BB6DDBA1"/>
    <w:rsid w:val="BBCFA4C8"/>
    <w:rsid w:val="BBFDF7DD"/>
    <w:rsid w:val="BBFF3108"/>
    <w:rsid w:val="BC7BF0FB"/>
    <w:rsid w:val="BDDDBD2B"/>
    <w:rsid w:val="BDDF23F9"/>
    <w:rsid w:val="BDEB3653"/>
    <w:rsid w:val="BDF753A0"/>
    <w:rsid w:val="BDFF4249"/>
    <w:rsid w:val="BF57F51D"/>
    <w:rsid w:val="BF5B0600"/>
    <w:rsid w:val="BF9D9C01"/>
    <w:rsid w:val="BFA572A2"/>
    <w:rsid w:val="BFB37BDB"/>
    <w:rsid w:val="BFBE97D0"/>
    <w:rsid w:val="BFCFB5F4"/>
    <w:rsid w:val="BFDEAF52"/>
    <w:rsid w:val="BFEC02F8"/>
    <w:rsid w:val="BFEDADF8"/>
    <w:rsid w:val="BFEFFF17"/>
    <w:rsid w:val="BFF44602"/>
    <w:rsid w:val="BFF5372C"/>
    <w:rsid w:val="BFF6E4B3"/>
    <w:rsid w:val="BFF719B8"/>
    <w:rsid w:val="BFF781C6"/>
    <w:rsid w:val="BFFCAD49"/>
    <w:rsid w:val="BFFE502A"/>
    <w:rsid w:val="C3F79315"/>
    <w:rsid w:val="C3FB7016"/>
    <w:rsid w:val="C3FEF378"/>
    <w:rsid w:val="C5D641AF"/>
    <w:rsid w:val="C6BF161E"/>
    <w:rsid w:val="C9BFC728"/>
    <w:rsid w:val="CAA3D336"/>
    <w:rsid w:val="CBA34E5B"/>
    <w:rsid w:val="CC37D210"/>
    <w:rsid w:val="CCF83404"/>
    <w:rsid w:val="CDFED601"/>
    <w:rsid w:val="CE8F4943"/>
    <w:rsid w:val="CEE2CE05"/>
    <w:rsid w:val="CEFF5543"/>
    <w:rsid w:val="CFE47019"/>
    <w:rsid w:val="CFFF605A"/>
    <w:rsid w:val="CFFF9F2D"/>
    <w:rsid w:val="D1DF3AB2"/>
    <w:rsid w:val="D27A3113"/>
    <w:rsid w:val="D2DB742D"/>
    <w:rsid w:val="D3EFB34F"/>
    <w:rsid w:val="D56FBBCB"/>
    <w:rsid w:val="D5F3DAE0"/>
    <w:rsid w:val="D5FE360A"/>
    <w:rsid w:val="D6991104"/>
    <w:rsid w:val="D6DD25A8"/>
    <w:rsid w:val="D6DF533F"/>
    <w:rsid w:val="D7D7530E"/>
    <w:rsid w:val="D7DE500D"/>
    <w:rsid w:val="D7F731C9"/>
    <w:rsid w:val="D7F9F728"/>
    <w:rsid w:val="D9F44F40"/>
    <w:rsid w:val="DAEFAB26"/>
    <w:rsid w:val="DB34A01C"/>
    <w:rsid w:val="DBA699E3"/>
    <w:rsid w:val="DBAC290C"/>
    <w:rsid w:val="DBEB8D8A"/>
    <w:rsid w:val="DBFCBCED"/>
    <w:rsid w:val="DD3F823D"/>
    <w:rsid w:val="DD756553"/>
    <w:rsid w:val="DDBF2BB2"/>
    <w:rsid w:val="DDBFC932"/>
    <w:rsid w:val="DE3E1A35"/>
    <w:rsid w:val="DE47FE75"/>
    <w:rsid w:val="DE5FD6C2"/>
    <w:rsid w:val="DE7D7BB2"/>
    <w:rsid w:val="DE94D574"/>
    <w:rsid w:val="DEEF4913"/>
    <w:rsid w:val="DEFF4B3B"/>
    <w:rsid w:val="DEFF6C6B"/>
    <w:rsid w:val="DF6FCBF9"/>
    <w:rsid w:val="DF7B7E44"/>
    <w:rsid w:val="DF7BBBBA"/>
    <w:rsid w:val="DF8EE7B1"/>
    <w:rsid w:val="DFBB627F"/>
    <w:rsid w:val="DFD3C9D7"/>
    <w:rsid w:val="DFDEEC5A"/>
    <w:rsid w:val="DFF904BD"/>
    <w:rsid w:val="DFFF3D57"/>
    <w:rsid w:val="E1DEC6A2"/>
    <w:rsid w:val="E3DC027C"/>
    <w:rsid w:val="E5CB28E2"/>
    <w:rsid w:val="E5FCEF36"/>
    <w:rsid w:val="E6FFFF18"/>
    <w:rsid w:val="E7E65C56"/>
    <w:rsid w:val="E7F3578B"/>
    <w:rsid w:val="E7FF658A"/>
    <w:rsid w:val="E97862B9"/>
    <w:rsid w:val="E9DD4C56"/>
    <w:rsid w:val="EAFFE3C5"/>
    <w:rsid w:val="EBC7B276"/>
    <w:rsid w:val="EBD7D218"/>
    <w:rsid w:val="EBDDCB65"/>
    <w:rsid w:val="EBF92697"/>
    <w:rsid w:val="ECCE0867"/>
    <w:rsid w:val="EDBF0DAC"/>
    <w:rsid w:val="EDEEC152"/>
    <w:rsid w:val="EDEFD455"/>
    <w:rsid w:val="EDFEFF17"/>
    <w:rsid w:val="EDFF86DE"/>
    <w:rsid w:val="EE3B7199"/>
    <w:rsid w:val="EE4B0294"/>
    <w:rsid w:val="EE77263F"/>
    <w:rsid w:val="EE7DB735"/>
    <w:rsid w:val="EE97DA7F"/>
    <w:rsid w:val="EEDF4449"/>
    <w:rsid w:val="EF1FA7A8"/>
    <w:rsid w:val="EF5DC1E5"/>
    <w:rsid w:val="EF5F8071"/>
    <w:rsid w:val="EF698C6D"/>
    <w:rsid w:val="EF7AD43B"/>
    <w:rsid w:val="EF7B27E3"/>
    <w:rsid w:val="EFBE31AC"/>
    <w:rsid w:val="EFCF37BD"/>
    <w:rsid w:val="EFFC347A"/>
    <w:rsid w:val="EFFCF937"/>
    <w:rsid w:val="EFFF69FA"/>
    <w:rsid w:val="EFFFCDC5"/>
    <w:rsid w:val="F17D2B29"/>
    <w:rsid w:val="F1E622C6"/>
    <w:rsid w:val="F1FD20DE"/>
    <w:rsid w:val="F2B986FA"/>
    <w:rsid w:val="F3AFF604"/>
    <w:rsid w:val="F3BD373E"/>
    <w:rsid w:val="F3CFC668"/>
    <w:rsid w:val="F3EE2CF2"/>
    <w:rsid w:val="F54FB1BD"/>
    <w:rsid w:val="F5A2AC77"/>
    <w:rsid w:val="F5B5B657"/>
    <w:rsid w:val="F5E5543D"/>
    <w:rsid w:val="F5FB61E5"/>
    <w:rsid w:val="F5FFBCFF"/>
    <w:rsid w:val="F615DF46"/>
    <w:rsid w:val="F61BEFC1"/>
    <w:rsid w:val="F61DB3F9"/>
    <w:rsid w:val="F6FB922E"/>
    <w:rsid w:val="F6FD8CF4"/>
    <w:rsid w:val="F78FAEF0"/>
    <w:rsid w:val="F79FFEB4"/>
    <w:rsid w:val="F7DF4EAA"/>
    <w:rsid w:val="F7E65AB8"/>
    <w:rsid w:val="F7EBC0F5"/>
    <w:rsid w:val="F7F7ADE8"/>
    <w:rsid w:val="F7F922F6"/>
    <w:rsid w:val="F7FB2DB3"/>
    <w:rsid w:val="F7FC74D7"/>
    <w:rsid w:val="F7FF8EED"/>
    <w:rsid w:val="F7FFE2A3"/>
    <w:rsid w:val="F8BECB40"/>
    <w:rsid w:val="F8BFFE9D"/>
    <w:rsid w:val="F8FD5AB1"/>
    <w:rsid w:val="F8FF1A08"/>
    <w:rsid w:val="F9A8753F"/>
    <w:rsid w:val="FA4D14C7"/>
    <w:rsid w:val="FA5ADDAD"/>
    <w:rsid w:val="FAD9FE4C"/>
    <w:rsid w:val="FB678B88"/>
    <w:rsid w:val="FB6F1482"/>
    <w:rsid w:val="FB779FD3"/>
    <w:rsid w:val="FB7ED387"/>
    <w:rsid w:val="FB7F8EAC"/>
    <w:rsid w:val="FB9DDFB7"/>
    <w:rsid w:val="FBABFD4E"/>
    <w:rsid w:val="FBBEAA93"/>
    <w:rsid w:val="FBBF14C7"/>
    <w:rsid w:val="FBC514DA"/>
    <w:rsid w:val="FBDF35DE"/>
    <w:rsid w:val="FBEF10B2"/>
    <w:rsid w:val="FBFB1AD1"/>
    <w:rsid w:val="FBFC858F"/>
    <w:rsid w:val="FBFDDE47"/>
    <w:rsid w:val="FBFEE274"/>
    <w:rsid w:val="FC3D4A59"/>
    <w:rsid w:val="FCEFFF7B"/>
    <w:rsid w:val="FCFF0217"/>
    <w:rsid w:val="FCFF0463"/>
    <w:rsid w:val="FCFF3968"/>
    <w:rsid w:val="FCFF7B50"/>
    <w:rsid w:val="FD34EAD6"/>
    <w:rsid w:val="FD3782E6"/>
    <w:rsid w:val="FD7F5D3D"/>
    <w:rsid w:val="FDBA35D9"/>
    <w:rsid w:val="FDBD23A8"/>
    <w:rsid w:val="FDBFB40D"/>
    <w:rsid w:val="FDD92368"/>
    <w:rsid w:val="FDEF77CC"/>
    <w:rsid w:val="FDF3EAFA"/>
    <w:rsid w:val="FDF45206"/>
    <w:rsid w:val="FDF529FA"/>
    <w:rsid w:val="FDFA8F04"/>
    <w:rsid w:val="FDFE7B3E"/>
    <w:rsid w:val="FDFFC41A"/>
    <w:rsid w:val="FE372F9A"/>
    <w:rsid w:val="FE392075"/>
    <w:rsid w:val="FE3FF662"/>
    <w:rsid w:val="FE7E29DB"/>
    <w:rsid w:val="FE7F935D"/>
    <w:rsid w:val="FE8F7664"/>
    <w:rsid w:val="FEA1628E"/>
    <w:rsid w:val="FEB7B4FB"/>
    <w:rsid w:val="FEBAF664"/>
    <w:rsid w:val="FEDA36AA"/>
    <w:rsid w:val="FEDD0D47"/>
    <w:rsid w:val="FEEDA6BC"/>
    <w:rsid w:val="FEF5864C"/>
    <w:rsid w:val="FEFB6F61"/>
    <w:rsid w:val="FEFD094A"/>
    <w:rsid w:val="FEFDBDD0"/>
    <w:rsid w:val="FEFEDFAB"/>
    <w:rsid w:val="FEFFA79D"/>
    <w:rsid w:val="FF47FA9D"/>
    <w:rsid w:val="FF5FAD11"/>
    <w:rsid w:val="FF6F65F0"/>
    <w:rsid w:val="FF72606B"/>
    <w:rsid w:val="FF72E4FC"/>
    <w:rsid w:val="FF7A0125"/>
    <w:rsid w:val="FF7DFE0C"/>
    <w:rsid w:val="FF7E2176"/>
    <w:rsid w:val="FF7F51C5"/>
    <w:rsid w:val="FF7F8F8F"/>
    <w:rsid w:val="FF7F94BB"/>
    <w:rsid w:val="FF87B859"/>
    <w:rsid w:val="FF93D622"/>
    <w:rsid w:val="FFB3A18E"/>
    <w:rsid w:val="FFB8C7AD"/>
    <w:rsid w:val="FFBD49B1"/>
    <w:rsid w:val="FFBEDF40"/>
    <w:rsid w:val="FFBF6312"/>
    <w:rsid w:val="FFDD0AAC"/>
    <w:rsid w:val="FFED289F"/>
    <w:rsid w:val="FFEF9273"/>
    <w:rsid w:val="FFEFC1FF"/>
    <w:rsid w:val="FFF32A59"/>
    <w:rsid w:val="FFF4B49F"/>
    <w:rsid w:val="FFF7571C"/>
    <w:rsid w:val="FFF79628"/>
    <w:rsid w:val="FFFAA72E"/>
    <w:rsid w:val="FFFAEA4B"/>
    <w:rsid w:val="FFFB1CFF"/>
    <w:rsid w:val="FFFB1F48"/>
    <w:rsid w:val="FFFB9160"/>
    <w:rsid w:val="FFFD1449"/>
    <w:rsid w:val="FFFEA974"/>
    <w:rsid w:val="FFFF67AD"/>
    <w:rsid w:val="FFFF7FDC"/>
    <w:rsid w:val="FFFFAC19"/>
    <w:rsid w:val="FFFFD465"/>
    <w:rsid w:val="FFFFD4D2"/>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jc w:val="both"/>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1"/>
    <w:next w:val="1"/>
    <w:qFormat/>
    <w:uiPriority w:val="0"/>
    <w:pPr>
      <w:keepNext/>
      <w:numPr>
        <w:ilvl w:val="1"/>
        <w:numId w:val="1"/>
      </w:numPr>
      <w:spacing w:before="120" w:after="120"/>
      <w:outlineLvl w:val="1"/>
    </w:pPr>
    <w:rPr>
      <w:b/>
      <w:bC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40" w:line="276" w:lineRule="auto"/>
    </w:pPr>
  </w:style>
  <w:style w:type="paragraph" w:styleId="7">
    <w:name w:val="caption"/>
    <w:basedOn w:val="1"/>
    <w:next w:val="1"/>
    <w:qFormat/>
    <w:uiPriority w:val="0"/>
    <w:pPr>
      <w:spacing w:after="200"/>
    </w:pPr>
    <w:rPr>
      <w:rFonts w:eastAsia="Malgun Gothic"/>
      <w:i/>
      <w:iCs/>
      <w:color w:val="1F497D" w:themeColor="text2"/>
      <w:sz w:val="18"/>
      <w:szCs w:val="18"/>
      <w:lang w:val="en-GB" w:eastAsia="en-US"/>
      <w14:textFill>
        <w14:solidFill>
          <w14:schemeClr w14:val="tx2"/>
        </w14:solidFill>
      </w14:textFill>
    </w:rPr>
  </w:style>
  <w:style w:type="character" w:styleId="8">
    <w:name w:val="annotation reference"/>
    <w:qFormat/>
    <w:uiPriority w:val="0"/>
    <w:rPr>
      <w:sz w:val="16"/>
      <w:szCs w:val="16"/>
    </w:rPr>
  </w:style>
  <w:style w:type="paragraph" w:styleId="9">
    <w:name w:val="annotation text"/>
    <w:basedOn w:val="1"/>
    <w:link w:val="24"/>
    <w:qFormat/>
    <w:uiPriority w:val="0"/>
    <w:rPr>
      <w:rFonts w:cs="Mangal"/>
      <w:sz w:val="20"/>
      <w:szCs w:val="18"/>
    </w:rPr>
  </w:style>
  <w:style w:type="paragraph" w:styleId="10">
    <w:name w:val="annotation subject"/>
    <w:basedOn w:val="9"/>
    <w:next w:val="9"/>
    <w:link w:val="25"/>
    <w:qFormat/>
    <w:uiPriority w:val="0"/>
    <w:rPr>
      <w:b/>
      <w:bCs/>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tabs>
        <w:tab w:val="center" w:pos="4153"/>
        <w:tab w:val="right" w:pos="8306"/>
      </w:tabs>
      <w:snapToGrid w:val="0"/>
    </w:pPr>
    <w:rPr>
      <w:sz w:val="18"/>
      <w:szCs w:val="18"/>
    </w:rPr>
  </w:style>
  <w:style w:type="character" w:styleId="13">
    <w:name w:val="Hyperlink"/>
    <w:qFormat/>
    <w:uiPriority w:val="99"/>
    <w:rPr>
      <w:color w:val="0000FF"/>
      <w:u w:val="single"/>
    </w:rPr>
  </w:style>
  <w:style w:type="character" w:styleId="14">
    <w:name w:val="line number"/>
    <w:qFormat/>
    <w:uiPriority w:val="0"/>
  </w:style>
  <w:style w:type="paragraph" w:styleId="15">
    <w:name w:val="List"/>
    <w:basedOn w:val="6"/>
    <w:qFormat/>
    <w:uiPriority w:val="0"/>
  </w:style>
  <w:style w:type="table" w:styleId="1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Numbering Symbols"/>
    <w:qFormat/>
    <w:uiPriority w:val="0"/>
  </w:style>
  <w:style w:type="character" w:customStyle="1" w:styleId="18">
    <w:name w:val="WW8Num9z0"/>
    <w:qFormat/>
    <w:uiPriority w:val="0"/>
    <w:rPr>
      <w:rFonts w:ascii="Symbol" w:hAnsi="Symbol" w:cs="Symbol"/>
      <w:lang w:val="en-US" w:eastAsia="zh-CN"/>
    </w:rPr>
  </w:style>
  <w:style w:type="character" w:customStyle="1" w:styleId="19">
    <w:name w:val="WW8Num9z1"/>
    <w:qFormat/>
    <w:uiPriority w:val="0"/>
    <w:rPr>
      <w:rFonts w:ascii="Courier New" w:hAnsi="Courier New" w:cs="Courier New"/>
    </w:rPr>
  </w:style>
  <w:style w:type="character" w:customStyle="1" w:styleId="20">
    <w:name w:val="WW8Num9z2"/>
    <w:qFormat/>
    <w:uiPriority w:val="0"/>
    <w:rPr>
      <w:rFonts w:ascii="Wingdings" w:hAnsi="Wingdings" w:cs="Wingdings"/>
    </w:rPr>
  </w:style>
  <w:style w:type="character" w:customStyle="1" w:styleId="21">
    <w:name w:val="WW8Num8z0"/>
    <w:qFormat/>
    <w:uiPriority w:val="0"/>
    <w:rPr>
      <w:bCs/>
      <w:lang w:eastAsia="zh-CN"/>
    </w:rPr>
  </w:style>
  <w:style w:type="character" w:customStyle="1" w:styleId="22">
    <w:name w:val="WW8Num8z1"/>
    <w:qFormat/>
    <w:uiPriority w:val="0"/>
    <w:rPr>
      <w:rFonts w:ascii="Wingdings" w:hAnsi="Wingdings" w:cs="Wingdings"/>
    </w:rPr>
  </w:style>
  <w:style w:type="character" w:customStyle="1" w:styleId="23">
    <w:name w:val="Bullets"/>
    <w:qFormat/>
    <w:uiPriority w:val="0"/>
    <w:rPr>
      <w:rFonts w:ascii="OpenSymbol" w:hAnsi="OpenSymbol" w:eastAsia="OpenSymbol" w:cs="OpenSymbol"/>
    </w:rPr>
  </w:style>
  <w:style w:type="character" w:customStyle="1" w:styleId="24">
    <w:name w:val="Comment Text Char"/>
    <w:basedOn w:val="4"/>
    <w:link w:val="9"/>
    <w:qFormat/>
    <w:uiPriority w:val="0"/>
    <w:rPr>
      <w:rFonts w:ascii="Liberation Serif" w:hAnsi="Liberation Serif" w:eastAsia="Noto Serif CJK SC" w:cs="Mangal"/>
      <w:kern w:val="2"/>
      <w:szCs w:val="18"/>
    </w:rPr>
  </w:style>
  <w:style w:type="character" w:customStyle="1" w:styleId="25">
    <w:name w:val="Comment Subject Char"/>
    <w:basedOn w:val="24"/>
    <w:link w:val="10"/>
    <w:qFormat/>
    <w:uiPriority w:val="0"/>
    <w:rPr>
      <w:rFonts w:ascii="Liberation Serif" w:hAnsi="Liberation Serif" w:eastAsia="Noto Serif CJK SC" w:cs="Mangal"/>
      <w:b/>
      <w:bCs/>
      <w:kern w:val="2"/>
      <w:szCs w:val="18"/>
    </w:rPr>
  </w:style>
  <w:style w:type="paragraph" w:customStyle="1" w:styleId="26">
    <w:name w:val="Heading"/>
    <w:basedOn w:val="1"/>
    <w:next w:val="6"/>
    <w:qFormat/>
    <w:uiPriority w:val="0"/>
    <w:pPr>
      <w:keepNext/>
      <w:spacing w:before="240" w:after="120"/>
    </w:pPr>
    <w:rPr>
      <w:rFonts w:ascii="Liberation Sans" w:hAnsi="Liberation Sans" w:eastAsia="Noto Sans CJK SC"/>
      <w:sz w:val="28"/>
      <w:szCs w:val="28"/>
    </w:rPr>
  </w:style>
  <w:style w:type="paragraph" w:customStyle="1" w:styleId="27">
    <w:name w:val="Index"/>
    <w:basedOn w:val="1"/>
    <w:qFormat/>
    <w:uiPriority w:val="0"/>
    <w:pPr>
      <w:suppressLineNumbers/>
    </w:pPr>
  </w:style>
  <w:style w:type="paragraph" w:customStyle="1" w:styleId="28">
    <w:name w:val="Header and Footer"/>
    <w:basedOn w:val="1"/>
    <w:qFormat/>
    <w:uiPriority w:val="0"/>
  </w:style>
  <w:style w:type="paragraph" w:styleId="29">
    <w:name w:val="List Paragraph"/>
    <w:basedOn w:val="1"/>
    <w:link w:val="41"/>
    <w:qFormat/>
    <w:uiPriority w:val="34"/>
    <w:rPr>
      <w:rFonts w:eastAsiaTheme="minorEastAsia"/>
      <w:lang w:eastAsia="ko-KR"/>
    </w:rPr>
  </w:style>
  <w:style w:type="paragraph" w:customStyle="1" w:styleId="30">
    <w:name w:val="Table Contents"/>
    <w:basedOn w:val="1"/>
    <w:qFormat/>
    <w:uiPriority w:val="0"/>
    <w:pPr>
      <w:suppressLineNumbers/>
    </w:pPr>
  </w:style>
  <w:style w:type="paragraph" w:customStyle="1" w:styleId="31">
    <w:name w:val="Table Heading"/>
    <w:basedOn w:val="30"/>
    <w:qFormat/>
    <w:uiPriority w:val="0"/>
    <w:pPr>
      <w:jc w:val="center"/>
    </w:pPr>
    <w:rPr>
      <w:b/>
      <w:bCs/>
    </w:rPr>
  </w:style>
  <w:style w:type="paragraph" w:customStyle="1" w:styleId="32">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33">
    <w:name w:val="Preformatted Text"/>
    <w:basedOn w:val="1"/>
    <w:qFormat/>
    <w:uiPriority w:val="0"/>
  </w:style>
  <w:style w:type="paragraph" w:customStyle="1" w:styleId="34">
    <w:name w:val="References"/>
    <w:basedOn w:val="1"/>
    <w:qFormat/>
    <w:uiPriority w:val="0"/>
    <w:pPr>
      <w:spacing w:after="60"/>
    </w:pPr>
    <w:rPr>
      <w:sz w:val="20"/>
      <w:szCs w:val="16"/>
    </w:rPr>
  </w:style>
  <w:style w:type="paragraph" w:customStyle="1" w:styleId="35">
    <w:name w:val="TAL"/>
    <w:basedOn w:val="1"/>
    <w:qFormat/>
    <w:uiPriority w:val="0"/>
    <w:pPr>
      <w:keepNext/>
      <w:keepLines/>
      <w:spacing w:before="50"/>
    </w:pPr>
    <w:rPr>
      <w:rFonts w:ascii="Arial" w:hAnsi="Arial"/>
      <w:sz w:val="18"/>
    </w:rPr>
  </w:style>
  <w:style w:type="paragraph" w:customStyle="1" w:styleId="36">
    <w:name w:val="TAC"/>
    <w:basedOn w:val="35"/>
    <w:qFormat/>
    <w:uiPriority w:val="0"/>
    <w:pPr>
      <w:jc w:val="center"/>
    </w:pPr>
  </w:style>
  <w:style w:type="paragraph" w:customStyle="1" w:styleId="37">
    <w:name w:val="Revision1"/>
    <w:semiHidden/>
    <w:qFormat/>
    <w:uiPriority w:val="99"/>
    <w:rPr>
      <w:rFonts w:ascii="Liberation Serif" w:hAnsi="Liberation Serif" w:eastAsia="Noto Serif CJK SC" w:cs="Mangal"/>
      <w:kern w:val="2"/>
      <w:sz w:val="24"/>
      <w:szCs w:val="21"/>
      <w:lang w:val="en-IN" w:eastAsia="zh-CN" w:bidi="hi-IN"/>
    </w:rPr>
  </w:style>
  <w:style w:type="paragraph" w:customStyle="1" w:styleId="38">
    <w:name w:val="Revision2"/>
    <w:semiHidden/>
    <w:qFormat/>
    <w:uiPriority w:val="99"/>
    <w:rPr>
      <w:rFonts w:ascii="Liberation Serif" w:hAnsi="Liberation Serif" w:eastAsia="Noto Serif CJK SC" w:cs="Mangal"/>
      <w:kern w:val="2"/>
      <w:sz w:val="24"/>
      <w:szCs w:val="21"/>
      <w:lang w:val="en-IN" w:eastAsia="zh-CN" w:bidi="hi-IN"/>
    </w:rPr>
  </w:style>
  <w:style w:type="paragraph" w:customStyle="1" w:styleId="39">
    <w:name w:val="Revision3"/>
    <w:hidden/>
    <w:semiHidden/>
    <w:qFormat/>
    <w:uiPriority w:val="99"/>
    <w:rPr>
      <w:rFonts w:ascii="Liberation Serif" w:hAnsi="Liberation Serif" w:eastAsia="Noto Serif CJK SC" w:cs="Mangal"/>
      <w:kern w:val="2"/>
      <w:sz w:val="24"/>
      <w:szCs w:val="21"/>
      <w:lang w:val="en-IN" w:eastAsia="zh-CN" w:bidi="hi-IN"/>
    </w:rPr>
  </w:style>
  <w:style w:type="paragraph" w:customStyle="1" w:styleId="40">
    <w:name w:val="Revision4"/>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41">
    <w:name w:val="List Paragraph Char"/>
    <w:link w:val="29"/>
    <w:qFormat/>
    <w:uiPriority w:val="34"/>
    <w:rPr>
      <w:rFonts w:ascii="Liberation Serif" w:hAnsi="Liberation Serif" w:cs="Lohit Devanagari" w:eastAsiaTheme="minorEastAsia"/>
      <w:kern w:val="2"/>
      <w:sz w:val="24"/>
      <w:szCs w:val="24"/>
      <w:lang w:eastAsia="ko-KR" w:bidi="hi-IN"/>
    </w:rPr>
  </w:style>
  <w:style w:type="paragraph" w:customStyle="1" w:styleId="42">
    <w:name w:val="Revision5"/>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43">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1431</Words>
  <Characters>8158</Characters>
  <Lines>67</Lines>
  <Paragraphs>19</Paragraphs>
  <TotalTime>6</TotalTime>
  <ScaleCrop>false</ScaleCrop>
  <LinksUpToDate>false</LinksUpToDate>
  <CharactersWithSpaces>9570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2023-08-12T22:24:00Z</dcterms:created>
  <dc:creator>deepak</dc:creator>
  <cp:lastModifiedBy>deepak</cp:lastModifiedBy>
  <dcterms:modified xsi:type="dcterms:W3CDTF">2023-11-03T17:56:41Z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