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DengXian"/>
          <w:i/>
          <w:iCs/>
          <w:sz w:val="20"/>
          <w:szCs w:val="16"/>
          <w:lang w:eastAsia="zh-CN"/>
        </w:rPr>
      </w:pPr>
      <w:r w:rsidRPr="00503AEC">
        <w:rPr>
          <w:i/>
          <w:iCs/>
          <w:sz w:val="20"/>
          <w:szCs w:val="16"/>
          <w:lang w:eastAsia="zh-CN"/>
        </w:rPr>
        <w:lastRenderedPageBreak/>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Heading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r w:rsidR="00FD7530" w:rsidRPr="00FD7530">
        <w:rPr>
          <w:color w:val="FF0000"/>
          <w:sz w:val="20"/>
          <w:szCs w:val="20"/>
          <w:lang w:eastAsia="zh-CN"/>
        </w:rPr>
        <w:t>Spreadtrum</w:t>
      </w:r>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DengXian"/>
          <w:color w:val="FF0000"/>
          <w:sz w:val="20"/>
          <w:szCs w:val="16"/>
          <w:lang w:eastAsia="zh-CN"/>
        </w:rPr>
        <w:t>Ericsson</w:t>
      </w:r>
      <w:r w:rsidR="00593D8E">
        <w:rPr>
          <w:rFonts w:eastAsia="DengXian"/>
          <w:color w:val="FF0000"/>
          <w:sz w:val="20"/>
          <w:szCs w:val="16"/>
          <w:lang w:eastAsia="zh-CN"/>
        </w:rPr>
        <w:t>, Qualcomm</w:t>
      </w:r>
      <w:r w:rsidR="005F0DF0">
        <w:rPr>
          <w:rFonts w:eastAsia="DengXian"/>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DengXian"/>
          <w:sz w:val="20"/>
          <w:szCs w:val="20"/>
        </w:rPr>
      </w:pPr>
      <w:r>
        <w:rPr>
          <w:rFonts w:eastAsia="DengXian"/>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DengXian"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ListParagraph"/>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ListParagraph"/>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ListParagraph"/>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“HARQ-ACK resource offset” field for eMTC, “HARQ-ACK resource” field for NBIoT</w:t>
      </w:r>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eMTC and state of “1111” for NBIoT</w:t>
      </w:r>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ListParagraph"/>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indication of HARQ feedback disabled and state A are state of “00” for eMTC</w:t>
      </w:r>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w:t>
      </w:r>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B7F1FF2" w14:textId="297071A6" w:rsidR="007B5E2F" w:rsidRPr="002E277B" w:rsidRDefault="007B5E2F">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TableGrid"/>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one common state is used for all U</w:t>
            </w:r>
            <w:r w:rsidR="00734BD0" w:rsidRPr="00584CCA">
              <w:rPr>
                <w:sz w:val="20"/>
                <w:szCs w:val="20"/>
                <w:lang w:eastAsia="zh-CN"/>
              </w:rPr>
              <w:t>e</w:t>
            </w:r>
            <w:r w:rsidRPr="00584CCA">
              <w:rPr>
                <w:sz w:val="20"/>
                <w:szCs w:val="20"/>
                <w:lang w:eastAsia="zh-CN"/>
              </w:rPr>
              <w:t>s</w:t>
            </w:r>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Supported by: Spreadtrum</w:t>
            </w:r>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“11” for eMTC and state of “1111” for NBIoT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DengXian"/>
                <w:color w:val="FF0000"/>
                <w:sz w:val="20"/>
                <w:szCs w:val="20"/>
                <w:lang w:eastAsia="zh-CN"/>
              </w:rPr>
              <w:t>Ericsson</w:t>
            </w:r>
            <w:r w:rsidR="005319F1" w:rsidRPr="00584CCA">
              <w:rPr>
                <w:rFonts w:eastAsia="DengXian"/>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eNB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state A are state of “00” for eMTC, state of “0010” for NBIoT with NPUSCH 15kHz and state of “0000” for NBIoT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5pt;height:16.15pt;mso-width-percent:0;mso-height-percent:0;mso-width-percent:0;mso-height-percent:0" o:ole="">
                  <v:imagedata r:id="rId9" o:title=""/>
                </v:shape>
                <o:OLEObject Type="Embed" ProgID="Equation.3" ShapeID="_x0000_i1025" DrawAspect="Content" ObjectID="_1754125323"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“00” for eMTC and state of “0000” for NBIoT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“01” for eMTC and state of “0000” for NBIoT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DengXian"/>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r w:rsidR="0058497C">
        <w:rPr>
          <w:rFonts w:eastAsia="DengXian" w:hint="eastAsia"/>
          <w:i/>
          <w:iCs/>
          <w:sz w:val="20"/>
          <w:szCs w:val="16"/>
          <w:lang w:eastAsia="zh-CN"/>
        </w:rPr>
        <w:t xml:space="preserve"> </w:t>
      </w:r>
      <w:r w:rsidR="006B1FA8" w:rsidRPr="008B67B7">
        <w:rPr>
          <w:rFonts w:eastAsia="DengXian"/>
          <w:sz w:val="20"/>
          <w:szCs w:val="16"/>
          <w:lang w:eastAsia="zh-CN"/>
        </w:rPr>
        <w:t xml:space="preserve">Regarding the </w:t>
      </w:r>
      <w:r w:rsidR="002E277B">
        <w:rPr>
          <w:rFonts w:eastAsia="DengXian"/>
          <w:sz w:val="20"/>
          <w:szCs w:val="16"/>
          <w:lang w:eastAsia="zh-CN"/>
        </w:rPr>
        <w:t xml:space="preserve">detail </w:t>
      </w:r>
      <w:r w:rsidR="006B1FA8" w:rsidRPr="008B67B7">
        <w:rPr>
          <w:rFonts w:eastAsia="DengXian"/>
          <w:sz w:val="20"/>
          <w:szCs w:val="16"/>
          <w:lang w:eastAsia="zh-CN"/>
        </w:rPr>
        <w:t>indication</w:t>
      </w:r>
      <w:r w:rsidR="002E277B">
        <w:rPr>
          <w:rFonts w:eastAsia="DengXian"/>
          <w:sz w:val="20"/>
          <w:szCs w:val="16"/>
          <w:lang w:eastAsia="zh-CN"/>
        </w:rPr>
        <w:t xml:space="preserve"> in corresponding DCI</w:t>
      </w:r>
      <w:r w:rsidR="006B1FA8" w:rsidRPr="008B67B7">
        <w:rPr>
          <w:rFonts w:eastAsia="DengXian"/>
          <w:sz w:val="20"/>
          <w:szCs w:val="16"/>
          <w:lang w:eastAsia="zh-CN"/>
        </w:rPr>
        <w:t>,</w:t>
      </w:r>
      <w:r w:rsidR="0058497C">
        <w:rPr>
          <w:rFonts w:eastAsia="DengXian"/>
          <w:sz w:val="20"/>
          <w:szCs w:val="16"/>
          <w:lang w:eastAsia="zh-CN"/>
        </w:rPr>
        <w:t xml:space="preserve"> as proposed by [</w:t>
      </w:r>
      <w:r w:rsidR="0058497C" w:rsidRPr="00375A4A">
        <w:rPr>
          <w:rFonts w:eastAsia="DengXian"/>
          <w:color w:val="FF0000"/>
          <w:sz w:val="20"/>
          <w:szCs w:val="16"/>
          <w:lang w:eastAsia="zh-CN"/>
        </w:rPr>
        <w:t>Huawei,</w:t>
      </w:r>
      <w:r w:rsidR="00B622F3">
        <w:rPr>
          <w:rFonts w:eastAsia="DengXian"/>
          <w:color w:val="FF0000"/>
          <w:sz w:val="20"/>
          <w:szCs w:val="16"/>
          <w:lang w:eastAsia="zh-CN"/>
        </w:rPr>
        <w:t xml:space="preserve"> ZTE,</w:t>
      </w:r>
      <w:r w:rsidR="0058497C" w:rsidRPr="00375A4A">
        <w:rPr>
          <w:rFonts w:eastAsia="DengXian"/>
          <w:color w:val="FF0000"/>
          <w:sz w:val="20"/>
          <w:szCs w:val="16"/>
          <w:lang w:eastAsia="zh-CN"/>
        </w:rPr>
        <w:t xml:space="preserve"> </w:t>
      </w:r>
      <w:r w:rsidR="00A35EA1">
        <w:rPr>
          <w:rFonts w:eastAsia="DengXian"/>
          <w:color w:val="FF0000"/>
          <w:sz w:val="20"/>
          <w:szCs w:val="16"/>
          <w:lang w:eastAsia="zh-CN"/>
        </w:rPr>
        <w:t xml:space="preserve">Nokia, </w:t>
      </w:r>
      <w:r w:rsidR="00F76090">
        <w:rPr>
          <w:rFonts w:eastAsia="DengXian"/>
          <w:color w:val="FF0000"/>
          <w:sz w:val="20"/>
          <w:szCs w:val="16"/>
          <w:lang w:eastAsia="zh-CN"/>
        </w:rPr>
        <w:t xml:space="preserve">CMCC, </w:t>
      </w:r>
      <w:r w:rsidR="00CE42FF">
        <w:rPr>
          <w:rFonts w:eastAsia="DengXian"/>
          <w:color w:val="FF0000"/>
          <w:sz w:val="20"/>
          <w:szCs w:val="16"/>
          <w:lang w:eastAsia="zh-CN"/>
        </w:rPr>
        <w:t xml:space="preserve">OPPO, </w:t>
      </w:r>
      <w:r w:rsidR="0058497C" w:rsidRPr="00375A4A">
        <w:rPr>
          <w:rFonts w:eastAsia="DengXian"/>
          <w:color w:val="FF0000"/>
          <w:sz w:val="20"/>
          <w:szCs w:val="16"/>
          <w:lang w:eastAsia="zh-CN"/>
        </w:rPr>
        <w:t>Lenovo</w:t>
      </w:r>
      <w:r w:rsidR="00E750BC">
        <w:rPr>
          <w:rFonts w:eastAsia="DengXian"/>
          <w:color w:val="FF0000"/>
          <w:sz w:val="20"/>
          <w:szCs w:val="16"/>
          <w:lang w:eastAsia="zh-CN"/>
        </w:rPr>
        <w:t>, Ericsson</w:t>
      </w:r>
      <w:r w:rsidR="0067100D">
        <w:rPr>
          <w:rFonts w:eastAsia="DengXian"/>
          <w:color w:val="FF0000"/>
          <w:sz w:val="20"/>
          <w:szCs w:val="16"/>
          <w:lang w:eastAsia="zh-CN"/>
        </w:rPr>
        <w:t>, Nordic</w:t>
      </w:r>
      <w:r w:rsidR="0058497C">
        <w:rPr>
          <w:rFonts w:eastAsia="DengXian"/>
          <w:sz w:val="20"/>
          <w:szCs w:val="16"/>
          <w:lang w:eastAsia="zh-CN"/>
        </w:rPr>
        <w:t xml:space="preserve">], </w:t>
      </w:r>
      <w:r w:rsidR="00796F8B">
        <w:rPr>
          <w:rFonts w:eastAsia="DengXian"/>
          <w:sz w:val="20"/>
          <w:szCs w:val="16"/>
          <w:lang w:eastAsia="zh-CN"/>
        </w:rPr>
        <w:t xml:space="preserve">it is preferred to </w:t>
      </w:r>
      <w:r w:rsidR="00B01536" w:rsidRPr="0058497C">
        <w:rPr>
          <w:rFonts w:eastAsia="DengXian"/>
          <w:sz w:val="20"/>
          <w:szCs w:val="16"/>
          <w:lang w:eastAsia="zh-CN"/>
        </w:rPr>
        <w:t>reuse/reinterpret the HARQ-ACK related field</w:t>
      </w:r>
      <w:r w:rsidR="009B1473" w:rsidRPr="0058497C">
        <w:rPr>
          <w:rFonts w:eastAsia="DengXian"/>
          <w:sz w:val="20"/>
          <w:szCs w:val="16"/>
          <w:lang w:eastAsia="zh-CN"/>
        </w:rPr>
        <w:t xml:space="preserve"> in corresponding DCI</w:t>
      </w:r>
      <w:r w:rsidR="00B01536" w:rsidRPr="0058497C">
        <w:rPr>
          <w:rFonts w:eastAsia="DengXian"/>
          <w:sz w:val="20"/>
          <w:szCs w:val="16"/>
          <w:lang w:eastAsia="zh-CN"/>
        </w:rPr>
        <w:t xml:space="preserve"> for indication of HARQ feedback enabled/disabled</w:t>
      </w:r>
      <w:r w:rsidR="00905E3A" w:rsidRPr="0058497C">
        <w:rPr>
          <w:rFonts w:eastAsia="DengXian"/>
          <w:sz w:val="20"/>
          <w:szCs w:val="16"/>
          <w:lang w:eastAsia="zh-CN"/>
        </w:rPr>
        <w:t>.</w:t>
      </w:r>
    </w:p>
    <w:p w14:paraId="52A9C7E1" w14:textId="5665E891" w:rsidR="00FB708C" w:rsidRDefault="00FB708C">
      <w:pPr>
        <w:spacing w:after="0"/>
        <w:rPr>
          <w:rFonts w:eastAsia="DengXian"/>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DengXian"/>
          <w:sz w:val="20"/>
          <w:szCs w:val="16"/>
          <w:lang w:eastAsia="zh-CN"/>
        </w:rPr>
        <w:t xml:space="preserve">reuse/reinterpret the HARQ-ACK related field </w:t>
      </w:r>
      <w:r w:rsidR="00D23428" w:rsidRPr="00D23428">
        <w:rPr>
          <w:rFonts w:eastAsia="DengXian"/>
          <w:sz w:val="20"/>
          <w:szCs w:val="16"/>
          <w:lang w:eastAsia="zh-CN"/>
        </w:rPr>
        <w:t xml:space="preserve">in corresponding DCI </w:t>
      </w:r>
      <w:r w:rsidR="00B90460" w:rsidRPr="008B67B7">
        <w:rPr>
          <w:rFonts w:eastAsia="DengXian"/>
          <w:sz w:val="20"/>
          <w:szCs w:val="16"/>
          <w:lang w:eastAsia="zh-CN"/>
        </w:rPr>
        <w:t>for indication of HARQ feedback enabled/disabled.</w:t>
      </w:r>
    </w:p>
    <w:p w14:paraId="2663F9E4" w14:textId="3577C5E0" w:rsidR="00676F7E" w:rsidRPr="00511DD8" w:rsidRDefault="00676F7E" w:rsidP="00774538">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DengXian"/>
          <w:sz w:val="20"/>
          <w:szCs w:val="16"/>
          <w:lang w:eastAsia="zh-CN"/>
        </w:rPr>
        <w:t xml:space="preserve">several </w:t>
      </w:r>
      <w:r w:rsidR="00C472C9">
        <w:rPr>
          <w:rFonts w:eastAsia="DengXian"/>
          <w:sz w:val="20"/>
          <w:szCs w:val="16"/>
          <w:lang w:eastAsia="zh-CN"/>
        </w:rPr>
        <w:t xml:space="preserve">indication </w:t>
      </w:r>
      <w:r w:rsidR="00B94FB0" w:rsidRPr="008B67B7">
        <w:rPr>
          <w:rFonts w:eastAsia="DengXian"/>
          <w:sz w:val="20"/>
          <w:szCs w:val="16"/>
          <w:lang w:eastAsia="zh-CN"/>
        </w:rPr>
        <w:t>solutions</w:t>
      </w:r>
      <w:r w:rsidR="00E22813">
        <w:rPr>
          <w:rFonts w:eastAsia="DengXian"/>
          <w:sz w:val="20"/>
          <w:szCs w:val="16"/>
          <w:lang w:eastAsia="zh-CN"/>
        </w:rPr>
        <w:t>/considerations</w:t>
      </w:r>
      <w:r w:rsidR="00B94FB0" w:rsidRPr="008B67B7">
        <w:rPr>
          <w:rFonts w:eastAsia="DengXian"/>
          <w:sz w:val="20"/>
          <w:szCs w:val="16"/>
          <w:lang w:eastAsia="zh-CN"/>
        </w:rPr>
        <w:t xml:space="preserve"> are discussed in contributions:</w:t>
      </w:r>
    </w:p>
    <w:p w14:paraId="167CA88C" w14:textId="5C6C7467" w:rsidR="007673BE" w:rsidRDefault="007673BE">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sidR="002F5191">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59E6A1A4" w14:textId="6C42DFBF" w:rsidR="00DA0179" w:rsidRPr="00850F3C" w:rsidRDefault="00DA0179">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DengXian"/>
          <w:color w:val="FF0000"/>
          <w:sz w:val="20"/>
          <w:szCs w:val="16"/>
          <w:lang w:eastAsia="zh-CN"/>
        </w:rPr>
      </w:pPr>
      <w:r w:rsidRPr="00850F3C">
        <w:rPr>
          <w:rFonts w:eastAsia="DengXian"/>
          <w:color w:val="FF0000"/>
          <w:sz w:val="20"/>
          <w:szCs w:val="16"/>
          <w:lang w:eastAsia="zh-CN"/>
        </w:rPr>
        <w:t xml:space="preserve">Supported by: </w:t>
      </w:r>
      <w:r w:rsidR="00403031" w:rsidRPr="00850F3C">
        <w:rPr>
          <w:rFonts w:eastAsia="DengXian"/>
          <w:color w:val="FF0000"/>
          <w:sz w:val="20"/>
          <w:szCs w:val="16"/>
          <w:lang w:eastAsia="zh-CN"/>
        </w:rPr>
        <w:t>Huawei</w:t>
      </w:r>
      <w:r w:rsidR="00403031">
        <w:rPr>
          <w:rFonts w:eastAsia="DengXian"/>
          <w:color w:val="FF0000"/>
          <w:sz w:val="20"/>
          <w:szCs w:val="16"/>
          <w:lang w:eastAsia="zh-CN"/>
        </w:rPr>
        <w:t xml:space="preserve">, </w:t>
      </w:r>
      <w:r w:rsidR="008E17FE">
        <w:rPr>
          <w:rFonts w:eastAsia="DengXian"/>
          <w:color w:val="FF0000"/>
          <w:sz w:val="20"/>
          <w:szCs w:val="16"/>
          <w:lang w:eastAsia="zh-CN"/>
        </w:rPr>
        <w:t xml:space="preserve">ZTE, </w:t>
      </w:r>
      <w:r w:rsidR="0065607B">
        <w:rPr>
          <w:rFonts w:eastAsia="DengXian"/>
          <w:color w:val="FF0000"/>
          <w:sz w:val="20"/>
          <w:szCs w:val="16"/>
          <w:lang w:eastAsia="zh-CN"/>
        </w:rPr>
        <w:t xml:space="preserve">CMCC, </w:t>
      </w:r>
      <w:r w:rsidR="0033580D">
        <w:rPr>
          <w:rFonts w:eastAsia="DengXian"/>
          <w:color w:val="FF0000"/>
          <w:sz w:val="20"/>
          <w:szCs w:val="16"/>
          <w:lang w:eastAsia="zh-CN"/>
        </w:rPr>
        <w:t xml:space="preserve">OPPO, </w:t>
      </w:r>
      <w:r w:rsidRPr="00850F3C">
        <w:rPr>
          <w:rFonts w:eastAsia="DengXian"/>
          <w:color w:val="FF0000"/>
          <w:sz w:val="20"/>
          <w:szCs w:val="16"/>
          <w:lang w:eastAsia="zh-CN"/>
        </w:rPr>
        <w:t>Lenovo,</w:t>
      </w:r>
      <w:r w:rsidR="00D86DDC">
        <w:rPr>
          <w:rFonts w:eastAsia="DengXian"/>
          <w:color w:val="FF0000"/>
          <w:sz w:val="20"/>
          <w:szCs w:val="16"/>
          <w:lang w:eastAsia="zh-CN"/>
        </w:rPr>
        <w:t xml:space="preserve"> Samsung</w:t>
      </w:r>
      <w:r w:rsidR="005B059A">
        <w:rPr>
          <w:rFonts w:eastAsia="DengXian"/>
          <w:color w:val="FF0000"/>
          <w:sz w:val="20"/>
          <w:szCs w:val="16"/>
          <w:lang w:eastAsia="zh-CN"/>
        </w:rPr>
        <w:t>, Ericsson</w:t>
      </w:r>
      <w:r w:rsidR="00C37F09">
        <w:rPr>
          <w:rFonts w:eastAsia="DengXian"/>
          <w:color w:val="FF0000"/>
          <w:sz w:val="20"/>
          <w:szCs w:val="16"/>
          <w:lang w:eastAsia="zh-CN"/>
        </w:rPr>
        <w:t>, Nordic</w:t>
      </w:r>
    </w:p>
    <w:p w14:paraId="47BA8755" w14:textId="5D31D7C7" w:rsidR="00DA0179" w:rsidRPr="008B67B7" w:rsidRDefault="009E7041">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ption 2: the DCI overridden indication is not supported for multiple TB</w:t>
      </w:r>
      <w:r w:rsidR="00A22127">
        <w:rPr>
          <w:rFonts w:ascii="Times New Roman" w:eastAsia="DengXian" w:hAnsi="Times New Roman"/>
          <w:sz w:val="20"/>
          <w:szCs w:val="16"/>
          <w:lang w:eastAsia="zh-CN"/>
        </w:rPr>
        <w:t>s</w:t>
      </w:r>
      <w:r>
        <w:rPr>
          <w:rFonts w:ascii="Times New Roman" w:eastAsia="DengXian" w:hAnsi="Times New Roman"/>
          <w:sz w:val="20"/>
          <w:szCs w:val="16"/>
          <w:lang w:eastAsia="zh-CN"/>
        </w:rPr>
        <w:t xml:space="preserve"> case</w:t>
      </w:r>
      <w:r w:rsidR="00A22127">
        <w:rPr>
          <w:rFonts w:ascii="Times New Roman" w:eastAsia="DengXian" w:hAnsi="Times New Roman"/>
          <w:sz w:val="20"/>
          <w:szCs w:val="16"/>
          <w:lang w:eastAsia="zh-CN"/>
        </w:rPr>
        <w:t>.</w:t>
      </w:r>
    </w:p>
    <w:p w14:paraId="6CE6BB46" w14:textId="43EE1380" w:rsidR="00E117FE" w:rsidRDefault="00E117FE" w:rsidP="00850F3C">
      <w:pPr>
        <w:spacing w:after="0"/>
        <w:rPr>
          <w:rFonts w:eastAsia="DengXian"/>
          <w:color w:val="FF0000"/>
          <w:sz w:val="20"/>
          <w:szCs w:val="16"/>
          <w:lang w:eastAsia="zh-CN"/>
        </w:rPr>
      </w:pPr>
      <w:r w:rsidRPr="00E117FE">
        <w:rPr>
          <w:rFonts w:eastAsia="DengXian"/>
          <w:color w:val="FF0000"/>
          <w:sz w:val="20"/>
          <w:szCs w:val="16"/>
          <w:lang w:eastAsia="zh-CN"/>
        </w:rPr>
        <w:t>Supported by:</w:t>
      </w:r>
      <w:r>
        <w:rPr>
          <w:rFonts w:eastAsia="DengXian"/>
          <w:color w:val="FF0000"/>
          <w:sz w:val="20"/>
          <w:szCs w:val="16"/>
          <w:lang w:eastAsia="zh-CN"/>
        </w:rPr>
        <w:t xml:space="preserve"> </w:t>
      </w:r>
      <w:r w:rsidR="00850F3C">
        <w:rPr>
          <w:rFonts w:eastAsia="DengXian"/>
          <w:color w:val="FF0000"/>
          <w:sz w:val="20"/>
          <w:szCs w:val="16"/>
          <w:lang w:eastAsia="zh-CN"/>
        </w:rPr>
        <w:t>Qualcomm</w:t>
      </w:r>
    </w:p>
    <w:p w14:paraId="1F6EEE11" w14:textId="7DAFD079" w:rsidR="006F202E" w:rsidRDefault="006F202E" w:rsidP="00850F3C">
      <w:pPr>
        <w:spacing w:after="0"/>
        <w:rPr>
          <w:rFonts w:eastAsia="DengXian"/>
          <w:color w:val="FF0000"/>
          <w:sz w:val="20"/>
          <w:szCs w:val="16"/>
          <w:lang w:eastAsia="zh-CN"/>
        </w:rPr>
      </w:pPr>
    </w:p>
    <w:p w14:paraId="5CDDAB0A" w14:textId="3A33F8CD" w:rsidR="006F202E" w:rsidRPr="006F202E" w:rsidRDefault="006F202E" w:rsidP="00850F3C">
      <w:pPr>
        <w:spacing w:after="0"/>
        <w:rPr>
          <w:rFonts w:eastAsia="DengXian"/>
          <w:i/>
          <w:iCs/>
          <w:color w:val="FF0000"/>
          <w:sz w:val="16"/>
          <w:szCs w:val="13"/>
          <w:lang w:eastAsia="zh-CN"/>
        </w:rPr>
      </w:pPr>
      <w:r w:rsidRPr="006F202E">
        <w:rPr>
          <w:sz w:val="20"/>
          <w:szCs w:val="20"/>
          <w:lang w:eastAsia="zh-CN"/>
        </w:rPr>
        <w:t>Especially as proposed by [</w:t>
      </w:r>
      <w:r w:rsidRPr="006F202E">
        <w:rPr>
          <w:rFonts w:eastAsia="DengXian"/>
          <w:color w:val="FF0000"/>
          <w:sz w:val="20"/>
          <w:szCs w:val="16"/>
          <w:lang w:eastAsia="zh-CN"/>
        </w:rPr>
        <w:t>Spreadtrum</w:t>
      </w:r>
      <w:r w:rsidRPr="006F202E">
        <w:rPr>
          <w:rFonts w:eastAsia="DengXian"/>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is to reverse the HARQ-ACK feedback state configured through by per-HARQ process bitmap signaling of all TBs.</w:t>
      </w:r>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21562AF3" w14:textId="737A788D" w:rsidR="00E5382D" w:rsidRPr="00850F3C" w:rsidRDefault="00E5382D">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 xml:space="preserve">ption 2: the DCI </w:t>
      </w:r>
      <w:r w:rsidR="00B96949">
        <w:rPr>
          <w:rFonts w:ascii="Times New Roman" w:eastAsia="DengXian" w:hAnsi="Times New Roman"/>
          <w:sz w:val="20"/>
          <w:szCs w:val="16"/>
          <w:lang w:eastAsia="zh-CN"/>
        </w:rPr>
        <w:t xml:space="preserve">based </w:t>
      </w:r>
      <w:r>
        <w:rPr>
          <w:rFonts w:ascii="Times New Roman" w:eastAsia="DengXian" w:hAnsi="Times New Roman"/>
          <w:sz w:val="20"/>
          <w:szCs w:val="16"/>
          <w:lang w:eastAsia="zh-CN"/>
        </w:rPr>
        <w:t>overridden indication is not supported for multiple TB</w:t>
      </w:r>
      <w:r w:rsidR="00A957F3">
        <w:rPr>
          <w:rFonts w:ascii="Times New Roman" w:eastAsia="DengXian" w:hAnsi="Times New Roman"/>
          <w:sz w:val="20"/>
          <w:szCs w:val="16"/>
          <w:lang w:eastAsia="zh-CN"/>
        </w:rPr>
        <w:t>s</w:t>
      </w:r>
      <w:r>
        <w:rPr>
          <w:rFonts w:ascii="Times New Roman" w:eastAsia="DengXian" w:hAnsi="Times New Roman"/>
          <w:sz w:val="20"/>
          <w:szCs w:val="16"/>
          <w:lang w:eastAsia="zh-CN"/>
        </w:rPr>
        <w:t xml:space="preserve"> case</w:t>
      </w:r>
      <w:r w:rsidR="00924E2F">
        <w:rPr>
          <w:rFonts w:ascii="Times New Roman" w:eastAsia="DengXian"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Heading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DengXian"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ListParagraph"/>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ListParagraph"/>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7269544C" w14:textId="77777777" w:rsidR="000A51E4" w:rsidRPr="002E277B" w:rsidRDefault="000A51E4" w:rsidP="000A51E4">
      <w:pPr>
        <w:pStyle w:val="ListParagraph"/>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545734FB" w14:textId="77777777" w:rsidR="000A51E4" w:rsidRPr="00F768B0"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309875C6" w14:textId="7D5E65B3" w:rsidR="000A51E4" w:rsidRPr="002E277B"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DengXian"/>
          <w:sz w:val="20"/>
          <w:szCs w:val="16"/>
          <w:lang w:eastAsia="zh-CN"/>
        </w:rPr>
        <w:t xml:space="preserve">reuse/reinterpret the HARQ-ACK related field </w:t>
      </w:r>
      <w:r w:rsidRPr="00D23428">
        <w:rPr>
          <w:rFonts w:eastAsia="DengXian"/>
          <w:sz w:val="20"/>
          <w:szCs w:val="16"/>
          <w:lang w:eastAsia="zh-CN"/>
        </w:rPr>
        <w:t xml:space="preserve">in corresponding DCI </w:t>
      </w:r>
      <w:r w:rsidRPr="008B67B7">
        <w:rPr>
          <w:rFonts w:eastAsia="DengXian"/>
          <w:sz w:val="20"/>
          <w:szCs w:val="16"/>
          <w:lang w:eastAsia="zh-CN"/>
        </w:rPr>
        <w:t>for indication of HARQ feedback enabled/disabled.</w:t>
      </w:r>
    </w:p>
    <w:p w14:paraId="68FE0BFC" w14:textId="77777777" w:rsidR="00A80EB3" w:rsidRPr="00511DD8" w:rsidRDefault="00A80EB3" w:rsidP="00A80EB3">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6F770079" w14:textId="77777777" w:rsidR="00430AF7" w:rsidRPr="00850F3C" w:rsidRDefault="00430AF7" w:rsidP="00430AF7">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ListParagraph"/>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ListParagraph"/>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ListParagraph"/>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ListParagraph"/>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6F6A96F5" w14:textId="77777777" w:rsidR="00F514A6" w:rsidRPr="00850F3C" w:rsidRDefault="00F514A6" w:rsidP="00F514A6">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ListParagraph"/>
              <w:rPr>
                <w:sz w:val="20"/>
                <w:szCs w:val="20"/>
              </w:rPr>
            </w:pPr>
            <w:r>
              <w:rPr>
                <w:sz w:val="20"/>
                <w:szCs w:val="20"/>
              </w:rPr>
              <w:t xml:space="preserve">The above </w:t>
            </w:r>
            <w:r w:rsidR="004B6CF9">
              <w:rPr>
                <w:sz w:val="20"/>
                <w:szCs w:val="20"/>
              </w:rPr>
              <w:t xml:space="preserve">functionality </w:t>
            </w:r>
            <w:r>
              <w:rPr>
                <w:sz w:val="20"/>
                <w:szCs w:val="20"/>
              </w:rPr>
              <w:t>infers that the indication is applied to all TBs.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r>
              <w:rPr>
                <w:rFonts w:hint="eastAsia"/>
                <w:sz w:val="20"/>
                <w:szCs w:val="20"/>
                <w:lang w:eastAsia="zh-CN"/>
              </w:rPr>
              <w:t>S</w:t>
            </w:r>
            <w:r>
              <w:rPr>
                <w:sz w:val="20"/>
                <w:szCs w:val="20"/>
                <w:lang w:eastAsia="zh-CN"/>
              </w:rPr>
              <w:t>preadtrum</w:t>
            </w:r>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rFonts w:hint="eastAsia"/>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1-2a: Agree (it would be good to downselect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bl>
    <w:p w14:paraId="18A1FF6E" w14:textId="77777777" w:rsidR="0009151D" w:rsidRDefault="0009151D">
      <w:pPr>
        <w:spacing w:after="0"/>
        <w:rPr>
          <w:rFonts w:eastAsia="DengXian"/>
          <w:sz w:val="20"/>
          <w:szCs w:val="16"/>
          <w:lang w:eastAsia="zh-CN"/>
        </w:rPr>
      </w:pPr>
    </w:p>
    <w:p w14:paraId="19D0EF10" w14:textId="77777777" w:rsidR="0009151D" w:rsidRDefault="0009151D">
      <w:pPr>
        <w:spacing w:after="0"/>
        <w:rPr>
          <w:rFonts w:eastAsia="DengXian"/>
          <w:sz w:val="20"/>
          <w:szCs w:val="16"/>
          <w:lang w:eastAsia="zh-CN"/>
        </w:rPr>
      </w:pPr>
    </w:p>
    <w:p w14:paraId="7F6FF2F4" w14:textId="77777777" w:rsidR="0009151D" w:rsidRPr="008C4E27" w:rsidRDefault="00B05ACA">
      <w:pPr>
        <w:pStyle w:val="Heading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Heading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r>
        <w:rPr>
          <w:rFonts w:eastAsiaTheme="minorEastAsia"/>
          <w:sz w:val="20"/>
          <w:szCs w:val="20"/>
          <w:lang w:eastAsia="zh-CN"/>
        </w:rPr>
        <w:t xml:space="preserve">eMTC/NBIoT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lastRenderedPageBreak/>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gNB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NBIoT</w:t>
      </w:r>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Direction 1: mixed HARQ feedback enabling/disabling is not supported (e.g., by eNB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ListParagraph"/>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Pr="007900D4">
        <w:rPr>
          <w:color w:val="FF0000"/>
          <w:sz w:val="20"/>
          <w:szCs w:val="20"/>
          <w:lang w:eastAsia="zh-CN"/>
        </w:rPr>
        <w:t xml:space="preserve">Spreadtrum,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Especially for NBIoT,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or the case of mixed enable/disable HARQ-ACK feedback, the HARQ-ACK timing needs to be modified for eMTC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lastRenderedPageBreak/>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DengXian"/>
          <w:sz w:val="20"/>
          <w:szCs w:val="20"/>
        </w:rPr>
      </w:pPr>
      <w:r>
        <w:rPr>
          <w:rFonts w:eastAsia="DengXian"/>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NBIoT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ListParagraph"/>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ListParagraph"/>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ListParagraph"/>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ListParagraph"/>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r w:rsidR="00B05ACA">
        <w:rPr>
          <w:rFonts w:ascii="Times New Roman" w:hAnsi="Times New Roman" w:hint="eastAsia"/>
          <w:sz w:val="20"/>
          <w:szCs w:val="20"/>
          <w:lang w:eastAsia="zh-CN"/>
        </w:rPr>
        <w:t>eMTC</w:t>
      </w:r>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Heading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ListParagraph"/>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ListParagraph"/>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ListParagraph"/>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ListParagraph"/>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lastRenderedPageBreak/>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ListParagraph"/>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ListParagraph"/>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ListParagraph"/>
              <w:rPr>
                <w:bCs/>
                <w:sz w:val="20"/>
                <w:szCs w:val="20"/>
                <w:lang w:eastAsia="zh-CN"/>
              </w:rPr>
            </w:pPr>
          </w:p>
          <w:p w14:paraId="12EC97B6" w14:textId="1C1778ED" w:rsidR="00635145" w:rsidRDefault="00635145" w:rsidP="003C102B">
            <w:pPr>
              <w:pStyle w:val="ListParagraph"/>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ListParagraph"/>
              <w:ind w:left="1440"/>
              <w:rPr>
                <w:bCs/>
                <w:sz w:val="20"/>
                <w:szCs w:val="20"/>
                <w:lang w:eastAsia="zh-CN"/>
              </w:rPr>
            </w:pPr>
          </w:p>
          <w:p w14:paraId="381D01A5" w14:textId="6C1BA44E" w:rsidR="003C102B" w:rsidRDefault="003C102B" w:rsidP="003C102B">
            <w:pPr>
              <w:pStyle w:val="ListParagraph"/>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ListParagraph"/>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ListParagraph"/>
              <w:ind w:left="1440"/>
              <w:rPr>
                <w:bCs/>
                <w:sz w:val="20"/>
                <w:szCs w:val="20"/>
                <w:lang w:eastAsia="zh-CN"/>
              </w:rPr>
            </w:pPr>
          </w:p>
          <w:p w14:paraId="3E069A67" w14:textId="77777777" w:rsidR="00635145" w:rsidRPr="00635145" w:rsidRDefault="00635145" w:rsidP="00635145">
            <w:pPr>
              <w:pStyle w:val="ListParagraph"/>
              <w:rPr>
                <w:bCs/>
                <w:sz w:val="20"/>
                <w:szCs w:val="20"/>
                <w:lang w:eastAsia="zh-CN"/>
              </w:rPr>
            </w:pPr>
          </w:p>
          <w:p w14:paraId="2CD9AA8A" w14:textId="7EA33D53" w:rsidR="008E50EE" w:rsidRPr="008E50EE" w:rsidRDefault="008E50EE" w:rsidP="008E50EE">
            <w:pPr>
              <w:pStyle w:val="ListParagraph"/>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ListParagraph"/>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ListParagraph"/>
              <w:rPr>
                <w:bCs/>
                <w:sz w:val="20"/>
                <w:szCs w:val="20"/>
                <w:lang w:eastAsia="zh-CN"/>
              </w:rPr>
            </w:pPr>
          </w:p>
          <w:p w14:paraId="2526CCB1" w14:textId="05A8E70C" w:rsidR="00EF4E1D" w:rsidRPr="00EF4E1D" w:rsidRDefault="00EF4E1D" w:rsidP="00EF4E1D">
            <w:pPr>
              <w:pStyle w:val="ListParagraph"/>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ListParagraph"/>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ListParagraph"/>
              <w:rPr>
                <w:b/>
                <w:sz w:val="20"/>
                <w:szCs w:val="20"/>
                <w:lang w:eastAsia="zh-CN"/>
              </w:rPr>
            </w:pPr>
          </w:p>
          <w:p w14:paraId="3360B408" w14:textId="4C2994A0" w:rsidR="00635145" w:rsidRPr="00EF4E1D" w:rsidRDefault="00EF4E1D" w:rsidP="00635145">
            <w:pPr>
              <w:pStyle w:val="ListParagraph"/>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ListParagraph"/>
              <w:rPr>
                <w:b/>
                <w:sz w:val="20"/>
                <w:szCs w:val="20"/>
                <w:lang w:eastAsia="zh-CN"/>
              </w:rPr>
            </w:pPr>
            <w:r>
              <w:rPr>
                <w:bCs/>
                <w:sz w:val="20"/>
                <w:szCs w:val="20"/>
                <w:lang w:eastAsia="zh-CN"/>
              </w:rPr>
              <w:lastRenderedPageBreak/>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rFonts w:hint="eastAsia"/>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bl>
    <w:p w14:paraId="18CCF30E" w14:textId="77777777" w:rsidR="0009151D" w:rsidRDefault="0009151D">
      <w:pPr>
        <w:rPr>
          <w:lang w:eastAsia="zh-CN"/>
        </w:rPr>
      </w:pPr>
    </w:p>
    <w:p w14:paraId="09951B82" w14:textId="28E0DA39" w:rsidR="0009151D" w:rsidRDefault="00B05ACA">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Heading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w:t>
      </w:r>
      <w:r w:rsidRPr="00223862">
        <w:rPr>
          <w:sz w:val="20"/>
          <w:szCs w:val="20"/>
          <w:lang w:eastAsia="zh-CN"/>
        </w:rPr>
        <w:lastRenderedPageBreak/>
        <w:t>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Heading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ListParagraph"/>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ListParagraph"/>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777777" w:rsidR="004610C8" w:rsidRPr="004610C8" w:rsidRDefault="004610C8">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11"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12"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13"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14"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lastRenderedPageBreak/>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000000">
            <w:pPr>
              <w:ind w:left="360"/>
              <w:rPr>
                <w:sz w:val="20"/>
                <w:szCs w:val="20"/>
                <w:lang w:eastAsia="zh-CN"/>
              </w:rPr>
            </w:pPr>
            <w:hyperlink r:id="rId15" w:history="1">
              <w:r w:rsidR="00B05ACA">
                <w:rPr>
                  <w:rStyle w:val="Hyperlink"/>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16"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17"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18"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19"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20"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21"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22"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23"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24"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25"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26"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27"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28"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29"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30"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Hyperlink"/>
                <w:sz w:val="20"/>
                <w:szCs w:val="20"/>
              </w:rPr>
            </w:pPr>
            <w:hyperlink r:id="rId31"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Hyperlink"/>
                <w:sz w:val="20"/>
                <w:szCs w:val="20"/>
              </w:rPr>
            </w:pPr>
            <w:hyperlink r:id="rId32"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33"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9D0D" w14:textId="77777777" w:rsidR="009B7F2D" w:rsidRDefault="009B7F2D">
      <w:pPr>
        <w:spacing w:after="0"/>
      </w:pPr>
      <w:r>
        <w:separator/>
      </w:r>
    </w:p>
  </w:endnote>
  <w:endnote w:type="continuationSeparator" w:id="0">
    <w:p w14:paraId="13BEFB05" w14:textId="77777777" w:rsidR="009B7F2D" w:rsidRDefault="009B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FB4F" w14:textId="77777777" w:rsidR="009B7F2D" w:rsidRDefault="009B7F2D">
      <w:pPr>
        <w:spacing w:after="0"/>
      </w:pPr>
      <w:r>
        <w:separator/>
      </w:r>
    </w:p>
  </w:footnote>
  <w:footnote w:type="continuationSeparator" w:id="0">
    <w:p w14:paraId="5E54B36E" w14:textId="77777777" w:rsidR="009B7F2D" w:rsidRDefault="009B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25464007">
    <w:abstractNumId w:val="1"/>
  </w:num>
  <w:num w:numId="2" w16cid:durableId="316762547">
    <w:abstractNumId w:val="12"/>
  </w:num>
  <w:num w:numId="3" w16cid:durableId="242495795">
    <w:abstractNumId w:val="34"/>
  </w:num>
  <w:num w:numId="4" w16cid:durableId="1122117418">
    <w:abstractNumId w:val="29"/>
  </w:num>
  <w:num w:numId="5" w16cid:durableId="1054348562">
    <w:abstractNumId w:val="20"/>
  </w:num>
  <w:num w:numId="6" w16cid:durableId="663779096">
    <w:abstractNumId w:val="15"/>
  </w:num>
  <w:num w:numId="7" w16cid:durableId="1769930819">
    <w:abstractNumId w:val="17"/>
  </w:num>
  <w:num w:numId="8" w16cid:durableId="604581409">
    <w:abstractNumId w:val="35"/>
  </w:num>
  <w:num w:numId="9" w16cid:durableId="611860493">
    <w:abstractNumId w:val="18"/>
  </w:num>
  <w:num w:numId="10" w16cid:durableId="853347579">
    <w:abstractNumId w:val="31"/>
  </w:num>
  <w:num w:numId="11" w16cid:durableId="1964769327">
    <w:abstractNumId w:val="13"/>
  </w:num>
  <w:num w:numId="12" w16cid:durableId="718017355">
    <w:abstractNumId w:val="11"/>
  </w:num>
  <w:num w:numId="13" w16cid:durableId="1944916392">
    <w:abstractNumId w:val="10"/>
  </w:num>
  <w:num w:numId="14" w16cid:durableId="1245262329">
    <w:abstractNumId w:val="24"/>
  </w:num>
  <w:num w:numId="15" w16cid:durableId="1244873563">
    <w:abstractNumId w:val="2"/>
  </w:num>
  <w:num w:numId="16" w16cid:durableId="358629971">
    <w:abstractNumId w:val="33"/>
  </w:num>
  <w:num w:numId="17" w16cid:durableId="388575731">
    <w:abstractNumId w:val="5"/>
  </w:num>
  <w:num w:numId="18" w16cid:durableId="1140460640">
    <w:abstractNumId w:val="7"/>
  </w:num>
  <w:num w:numId="19" w16cid:durableId="594746233">
    <w:abstractNumId w:val="14"/>
  </w:num>
  <w:num w:numId="20" w16cid:durableId="1085759525">
    <w:abstractNumId w:val="4"/>
  </w:num>
  <w:num w:numId="21" w16cid:durableId="1431464724">
    <w:abstractNumId w:val="30"/>
  </w:num>
  <w:num w:numId="22" w16cid:durableId="1365524947">
    <w:abstractNumId w:val="21"/>
  </w:num>
  <w:num w:numId="23" w16cid:durableId="102506716">
    <w:abstractNumId w:val="16"/>
  </w:num>
  <w:num w:numId="24" w16cid:durableId="350180979">
    <w:abstractNumId w:val="6"/>
  </w:num>
  <w:num w:numId="25" w16cid:durableId="758067720">
    <w:abstractNumId w:val="19"/>
  </w:num>
  <w:num w:numId="26" w16cid:durableId="247689713">
    <w:abstractNumId w:val="8"/>
  </w:num>
  <w:num w:numId="27" w16cid:durableId="937953617">
    <w:abstractNumId w:val="28"/>
  </w:num>
  <w:num w:numId="28" w16cid:durableId="2017228912">
    <w:abstractNumId w:val="9"/>
  </w:num>
  <w:num w:numId="29" w16cid:durableId="609777682">
    <w:abstractNumId w:val="22"/>
  </w:num>
  <w:num w:numId="30" w16cid:durableId="161244867">
    <w:abstractNumId w:val="32"/>
  </w:num>
  <w:num w:numId="31" w16cid:durableId="765465896">
    <w:abstractNumId w:val="25"/>
  </w:num>
  <w:num w:numId="32" w16cid:durableId="749691149">
    <w:abstractNumId w:val="23"/>
  </w:num>
  <w:num w:numId="33" w16cid:durableId="702750438">
    <w:abstractNumId w:val="0"/>
  </w:num>
  <w:num w:numId="34" w16cid:durableId="191891006">
    <w:abstractNumId w:val="3"/>
  </w:num>
  <w:num w:numId="35" w16cid:durableId="1353143458">
    <w:abstractNumId w:val="26"/>
  </w:num>
  <w:num w:numId="36" w16cid:durableId="48505270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145"/>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6E30DE-907A-4A08-A888-5B79F0FFE0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17</Pages>
  <Words>7825</Words>
  <Characters>44606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Alberto (QC)</cp:lastModifiedBy>
  <cp:revision>29</cp:revision>
  <cp:lastPrinted>2015-09-18T07:21:00Z</cp:lastPrinted>
  <dcterms:created xsi:type="dcterms:W3CDTF">2023-08-20T11:02:00Z</dcterms:created>
  <dcterms:modified xsi:type="dcterms:W3CDTF">2023-08-21T09:50:00Z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ies>
</file>