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59346" w14:textId="77777777" w:rsidR="001A20EC" w:rsidRDefault="000432D7">
      <w:pPr>
        <w:pStyle w:val="ab"/>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b"/>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0"/>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7777777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FL5</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7777777" w:rsidR="001A20EC" w:rsidRDefault="000432D7">
      <w:pPr>
        <w:rPr>
          <w:lang w:val="en-US"/>
        </w:rPr>
      </w:pPr>
      <w:r>
        <w:rPr>
          <w:rFonts w:ascii="Times" w:hAnsi="Times"/>
          <w:b/>
          <w:szCs w:val="24"/>
          <w:lang w:val="en-US"/>
        </w:rPr>
        <w:t>FL5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BB658B"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BB658B"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BB658B" w14:paraId="16E2C435" w14:textId="77777777">
        <w:tc>
          <w:tcPr>
            <w:tcW w:w="2518" w:type="dxa"/>
          </w:tcPr>
          <w:p w14:paraId="5F2D45D5" w14:textId="77777777" w:rsidR="001A20EC" w:rsidRDefault="000432D7">
            <w:pPr>
              <w:spacing w:after="0"/>
              <w:jc w:val="center"/>
              <w:rPr>
                <w:lang w:val="sv-SE"/>
              </w:rPr>
            </w:pPr>
            <w:r>
              <w:rPr>
                <w:rFonts w:eastAsia="맑은 고딕"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r>
              <w:rPr>
                <w:rFonts w:eastAsia="맑은 고딕"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맑은 고딕"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Zhisong Zuo</w:t>
            </w:r>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r>
              <w:rPr>
                <w:rFonts w:eastAsia="SimSun" w:hint="eastAsia"/>
                <w:lang w:val="en-US" w:eastAsia="zh-CN"/>
              </w:rPr>
              <w:t>Jiazhen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7"/>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7"/>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af7"/>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7"/>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7"/>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0"/>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ra-ContentionResolutionTimer;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0"/>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0"/>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77777777" w:rsidR="001A20EC" w:rsidRDefault="000432D7">
      <w:pPr>
        <w:rPr>
          <w:b/>
          <w:lang w:val="en-US"/>
        </w:rPr>
      </w:pPr>
      <w:r>
        <w:rPr>
          <w:b/>
          <w:highlight w:val="cyan"/>
          <w:lang w:val="en-US"/>
        </w:rPr>
        <w:lastRenderedPageBreak/>
        <w:t>FL4/FL5 Medium Priority Proposal 2.2.1-1b</w:t>
      </w:r>
      <w:r>
        <w:rPr>
          <w:b/>
          <w:lang w:val="en-US"/>
        </w:rPr>
        <w:t>:</w:t>
      </w:r>
    </w:p>
    <w:p w14:paraId="06C75B14" w14:textId="77777777" w:rsidR="001A20EC" w:rsidRDefault="000432D7">
      <w:pPr>
        <w:pStyle w:val="af7"/>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0"/>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맑은 고딕" w:hint="eastAsia"/>
                <w:lang w:val="en-US" w:eastAsia="ko-KR"/>
              </w:rPr>
            </w:pPr>
            <w:r>
              <w:rPr>
                <w:rFonts w:eastAsia="맑은 고딕" w:hint="eastAsia"/>
                <w:lang w:val="en-US" w:eastAsia="ko-KR"/>
              </w:rPr>
              <w:t>LG</w:t>
            </w:r>
          </w:p>
        </w:tc>
        <w:tc>
          <w:tcPr>
            <w:tcW w:w="1372" w:type="dxa"/>
          </w:tcPr>
          <w:p w14:paraId="4618CE62" w14:textId="2A016BE8" w:rsidR="00BB658B" w:rsidRPr="00BB658B" w:rsidRDefault="00BB658B">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40B2600A" w14:textId="4DEF62BD" w:rsidR="00BB658B" w:rsidRPr="00BB658B" w:rsidRDefault="00BB658B">
            <w:pPr>
              <w:jc w:val="left"/>
              <w:rPr>
                <w:rFonts w:eastAsia="맑은 고딕" w:hint="eastAsia"/>
                <w:lang w:val="en-US" w:eastAsia="ko-KR"/>
              </w:rPr>
            </w:pPr>
            <w:r>
              <w:rPr>
                <w:rFonts w:eastAsia="맑은 고딕" w:hint="eastAsia"/>
                <w:lang w:val="en-US" w:eastAsia="ko-KR"/>
              </w:rPr>
              <w:t xml:space="preserve">We support </w:t>
            </w:r>
            <w:r>
              <w:rPr>
                <w:rFonts w:eastAsia="맑은 고딕"/>
                <w:lang w:val="en-US" w:eastAsia="ko-KR"/>
              </w:rPr>
              <w:t>the</w:t>
            </w:r>
            <w:r>
              <w:rPr>
                <w:rFonts w:eastAsia="맑은 고딕" w:hint="eastAsia"/>
                <w:lang w:val="en-US" w:eastAsia="ko-KR"/>
              </w:rPr>
              <w:t xml:space="preserve"> </w:t>
            </w:r>
            <w:r>
              <w:rPr>
                <w:rFonts w:eastAsia="맑은 고딕"/>
                <w:lang w:val="en-US" w:eastAsia="ko-KR"/>
              </w:rPr>
              <w:t>conclusion</w:t>
            </w: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0"/>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7"/>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7"/>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7"/>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7"/>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7"/>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af7"/>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7"/>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7"/>
        <w:numPr>
          <w:ilvl w:val="1"/>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7"/>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7"/>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7"/>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7"/>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7"/>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7"/>
        <w:numPr>
          <w:ilvl w:val="0"/>
          <w:numId w:val="26"/>
        </w:numPr>
        <w:jc w:val="left"/>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lastRenderedPageBreak/>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0"/>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MS Mincho"/>
                    </w:rPr>
                  </w:pPr>
                  <w:bookmarkStart w:id="4" w:name="_Toc124712543"/>
                  <w:bookmarkStart w:id="5" w:name="_Toc60776708"/>
                  <w:r>
                    <w:rPr>
                      <w:rFonts w:eastAsia="MS Mincho"/>
                    </w:rPr>
                    <w:t>TS 38.331</w:t>
                  </w:r>
                </w:p>
                <w:p w14:paraId="372CB68E" w14:textId="77777777" w:rsidR="001A20EC" w:rsidRDefault="000432D7">
                  <w:pPr>
                    <w:pStyle w:val="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w:t>
            </w:r>
            <w:r>
              <w:rPr>
                <w:rFonts w:eastAsiaTheme="minorEastAsia"/>
                <w:lang w:val="en-US" w:eastAsia="zh-CN"/>
              </w:rPr>
              <w:lastRenderedPageBreak/>
              <w:t>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0"/>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7"/>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0"/>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7"/>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0"/>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094B6A75" w14:textId="77777777" w:rsidR="001A20EC" w:rsidRDefault="000432D7">
            <w:pPr>
              <w:pStyle w:val="af7"/>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0"/>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lastRenderedPageBreak/>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3" o:title=""/>
                            </v:shape>
                            <o:OLEObject Type="Embed" ProgID="Equation.3" ShapeID="_x0000_i1025" DrawAspect="Content" ObjectID="_1754402853"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5pt;height:14.5pt" o:ole="">
                              <v:imagedata r:id="rId13" o:title=""/>
                            </v:shape>
                            <o:OLEObject Type="Embed" ProgID="Equation.3" ShapeID="_x0000_i1026" DrawAspect="Content" ObjectID="_1754402854"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lastRenderedPageBreak/>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ko-KR"/>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7"/>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af7"/>
              <w:numPr>
                <w:ilvl w:val="1"/>
                <w:numId w:val="13"/>
              </w:numPr>
              <w:jc w:val="left"/>
              <w:rPr>
                <w:rFonts w:eastAsia="Yu Mincho"/>
                <w:lang w:val="en-US"/>
              </w:rPr>
            </w:pPr>
            <w:r>
              <w:rPr>
                <w:rFonts w:eastAsia="Yu Mincho"/>
                <w:sz w:val="20"/>
                <w:szCs w:val="21"/>
                <w:lang w:val="en-US"/>
              </w:rPr>
              <w:lastRenderedPageBreak/>
              <w:t>PDSCH scheduled with C-RNTI, MCS-C-RNTI, or CS-RNTI in the slot n</w:t>
            </w:r>
          </w:p>
          <w:p w14:paraId="18829903" w14:textId="77777777" w:rsidR="001A20EC" w:rsidRDefault="000432D7">
            <w:pPr>
              <w:pStyle w:val="af7"/>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af7"/>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af7"/>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lastRenderedPageBreak/>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맑은 고딕"/>
                <w:lang w:val="en-US" w:eastAsia="ko-KR"/>
              </w:rPr>
            </w:pPr>
            <w:r>
              <w:rPr>
                <w:rFonts w:eastAsia="맑은 고딕"/>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맑은 고딕"/>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w:t>
            </w:r>
            <w:r>
              <w:rPr>
                <w:b/>
                <w:lang w:val="en-US"/>
              </w:rPr>
              <w:lastRenderedPageBreak/>
              <w:t xml:space="preserve">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맑은 고딕"/>
                <w:lang w:val="en-US" w:eastAsia="ko-KR"/>
              </w:rPr>
              <w:t>I</w:t>
            </w:r>
            <w:r>
              <w:rPr>
                <w:rFonts w:eastAsia="맑은 고딕" w:hint="eastAsia"/>
                <w:lang w:val="en-US" w:eastAsia="ko-KR"/>
              </w:rPr>
              <w:t>f</w:t>
            </w:r>
            <w:r>
              <w:rPr>
                <w:rFonts w:eastAsia="맑은 고딕"/>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lastRenderedPageBreak/>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lastRenderedPageBreak/>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7"/>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7"/>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7"/>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7"/>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lastRenderedPageBreak/>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af0"/>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0"/>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ko-KR"/>
              </w:rPr>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ko-KR"/>
              </w:rPr>
              <w:lastRenderedPageBreak/>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Default="000432D7">
      <w:pPr>
        <w:pStyle w:val="af7"/>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not greater</w:t>
      </w:r>
      <w:r>
        <w:rPr>
          <w:b/>
          <w:bCs/>
          <w:sz w:val="20"/>
          <w:szCs w:val="22"/>
          <w:lang w:val="en-US" w:eastAsia="sv-SE"/>
        </w:rPr>
        <w:t xml:space="preserve"> than 25/12 PRBs with 15/30kHz SCS, </w:t>
      </w:r>
      <w:r>
        <w:rPr>
          <w:b/>
          <w:bCs/>
          <w:szCs w:val="22"/>
          <w:lang w:val="en-US" w:eastAsia="sv-SE"/>
        </w:rPr>
        <w:t>38.214 clause 5.1 still applies, i.e.:</w:t>
      </w:r>
    </w:p>
    <w:p w14:paraId="6B3C408F" w14:textId="77777777" w:rsidR="001A20EC" w:rsidRDefault="000432D7">
      <w:pPr>
        <w:pStyle w:val="af7"/>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7"/>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7"/>
        <w:numPr>
          <w:ilvl w:val="1"/>
          <w:numId w:val="32"/>
        </w:numPr>
        <w:jc w:val="left"/>
        <w:rPr>
          <w:b/>
          <w:bCs/>
          <w:sz w:val="20"/>
          <w:szCs w:val="22"/>
          <w:lang w:val="en-US" w:eastAsia="sv-SE"/>
        </w:rPr>
      </w:pPr>
      <w:r>
        <w:rPr>
          <w:b/>
          <w:bCs/>
          <w:sz w:val="20"/>
          <w:szCs w:val="22"/>
          <w:lang w:val="en-US" w:eastAsia="sv-SE"/>
        </w:rPr>
        <w:lastRenderedPageBreak/>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7"/>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7"/>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7"/>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7"/>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0"/>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9DFEFD6"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F00A57A" w14:textId="77777777" w:rsidR="001A20EC" w:rsidRDefault="000432D7">
            <w:pPr>
              <w:jc w:val="left"/>
              <w:rPr>
                <w:b/>
                <w:bCs/>
                <w:lang w:val="en-US"/>
              </w:rPr>
            </w:pPr>
            <w:r>
              <w:rPr>
                <w:b/>
                <w:bCs/>
                <w:lang w:val="en-US"/>
              </w:rPr>
              <w:t>Comments</w:t>
            </w:r>
          </w:p>
        </w:tc>
      </w:tr>
      <w:tr w:rsidR="001A20EC" w14:paraId="50C2937E" w14:textId="77777777">
        <w:tc>
          <w:tcPr>
            <w:tcW w:w="1479" w:type="dxa"/>
          </w:tcPr>
          <w:p w14:paraId="56249F90"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60A4874" w14:textId="77777777" w:rsidR="001A20EC" w:rsidRDefault="001A20EC">
            <w:pPr>
              <w:tabs>
                <w:tab w:val="left" w:pos="551"/>
              </w:tabs>
              <w:jc w:val="left"/>
              <w:rPr>
                <w:rFonts w:eastAsiaTheme="minorEastAsia"/>
                <w:lang w:val="en-US" w:eastAsia="zh-CN"/>
              </w:rPr>
            </w:pPr>
          </w:p>
        </w:tc>
        <w:tc>
          <w:tcPr>
            <w:tcW w:w="6780" w:type="dxa"/>
          </w:tcPr>
          <w:p w14:paraId="638A6E9E" w14:textId="77777777" w:rsidR="001A20EC" w:rsidRDefault="000432D7">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2C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16203" w14:textId="77777777" w:rsidR="001A20EC"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C56C128" w14:textId="77777777" w:rsidR="001A20EC" w:rsidRDefault="001A20EC">
            <w:pPr>
              <w:tabs>
                <w:tab w:val="left" w:pos="551"/>
              </w:tabs>
              <w:jc w:val="left"/>
              <w:rPr>
                <w:rFonts w:eastAsiaTheme="minorEastAsia"/>
                <w:lang w:val="en-US" w:eastAsia="zh-CN"/>
              </w:rPr>
            </w:pPr>
          </w:p>
        </w:tc>
        <w:tc>
          <w:tcPr>
            <w:tcW w:w="6780" w:type="dxa"/>
          </w:tcPr>
          <w:p w14:paraId="773CC470" w14:textId="77777777" w:rsidR="001A20EC" w:rsidRDefault="000432D7">
            <w:pPr>
              <w:jc w:val="left"/>
              <w:rPr>
                <w:rFonts w:eastAsiaTheme="minorEastAsia"/>
                <w:lang w:val="en-US" w:eastAsia="zh-CN"/>
              </w:rPr>
            </w:pPr>
            <w:r>
              <w:rPr>
                <w:rFonts w:eastAsiaTheme="minorEastAsia" w:hint="eastAsia"/>
                <w:lang w:val="en-US" w:eastAsia="zh-CN"/>
              </w:rPr>
              <w:t xml:space="preserve">If unicast is scheduled before RAR in a slot, UE can decode unicast first and then decode RAR, prefer wording </w:t>
            </w:r>
            <w:r>
              <w:rPr>
                <w:rFonts w:eastAsiaTheme="minorEastAsia"/>
                <w:lang w:val="en-US" w:eastAsia="zh-CN"/>
              </w:rPr>
              <w:t>“</w:t>
            </w:r>
            <w:r>
              <w:rPr>
                <w:szCs w:val="22"/>
                <w:lang w:val="en-US" w:eastAsia="sv-SE"/>
              </w:rPr>
              <w:t>partially or fully overlap in time</w:t>
            </w:r>
            <w:r>
              <w:rPr>
                <w:rFonts w:eastAsiaTheme="minorEastAsia"/>
                <w:lang w:val="en-US" w:eastAsia="zh-CN"/>
              </w:rPr>
              <w:t>”</w:t>
            </w:r>
            <w:r>
              <w:rPr>
                <w:rFonts w:eastAsiaTheme="minorEastAsia" w:hint="eastAsia"/>
                <w:lang w:val="en-US" w:eastAsia="zh-CN"/>
              </w:rPr>
              <w:t>.</w:t>
            </w:r>
          </w:p>
        </w:tc>
      </w:tr>
      <w:tr w:rsidR="00FE1E46" w14:paraId="5B6A8EE3" w14:textId="77777777">
        <w:tc>
          <w:tcPr>
            <w:tcW w:w="1479" w:type="dxa"/>
          </w:tcPr>
          <w:p w14:paraId="42E07193" w14:textId="340D897E"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3771FC67" w14:textId="0660851D" w:rsidR="00FE1E46"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2AECD9C1" w14:textId="1596E8E8" w:rsidR="00FE1E46" w:rsidRDefault="00FE1E46">
            <w:pPr>
              <w:jc w:val="left"/>
              <w:rPr>
                <w:rFonts w:eastAsiaTheme="minorEastAsia"/>
                <w:lang w:val="en-US" w:eastAsia="zh-CN"/>
              </w:rPr>
            </w:pPr>
            <w:r>
              <w:rPr>
                <w:rFonts w:eastAsiaTheme="minorEastAsia"/>
                <w:lang w:val="en-US" w:eastAsia="zh-CN"/>
              </w:rPr>
              <w:t>We are fine to have this treated same way as “</w:t>
            </w:r>
            <w:r w:rsidRPr="00FE1E46">
              <w:rPr>
                <w:rFonts w:eastAsiaTheme="minorEastAsia"/>
                <w:lang w:val="en-US" w:eastAsia="zh-CN"/>
              </w:rPr>
              <w:t xml:space="preserve">is </w:t>
            </w:r>
            <w:r>
              <w:rPr>
                <w:rFonts w:eastAsiaTheme="minorEastAsia"/>
                <w:lang w:val="en-US" w:eastAsia="zh-CN"/>
              </w:rPr>
              <w:t xml:space="preserve">not </w:t>
            </w:r>
            <w:r w:rsidRPr="00FE1E46">
              <w:rPr>
                <w:rFonts w:eastAsiaTheme="minorEastAsia"/>
                <w:lang w:val="en-US" w:eastAsia="zh-CN"/>
              </w:rPr>
              <w:t>greater than 25/12 PRB</w:t>
            </w:r>
            <w:r>
              <w:rPr>
                <w:rFonts w:eastAsiaTheme="minorEastAsia"/>
                <w:lang w:val="en-US" w:eastAsia="zh-CN"/>
              </w:rPr>
              <w:t>…”</w:t>
            </w:r>
          </w:p>
        </w:tc>
      </w:tr>
      <w:tr w:rsidR="00BB658B" w14:paraId="209E4A5B" w14:textId="77777777">
        <w:tc>
          <w:tcPr>
            <w:tcW w:w="1479" w:type="dxa"/>
          </w:tcPr>
          <w:p w14:paraId="6E830CF2" w14:textId="0DEA5438" w:rsidR="00BB658B" w:rsidRPr="00BB658B" w:rsidRDefault="00BB658B">
            <w:pPr>
              <w:jc w:val="left"/>
              <w:rPr>
                <w:rFonts w:eastAsia="맑은 고딕" w:hint="eastAsia"/>
                <w:lang w:val="en-US" w:eastAsia="ko-KR"/>
              </w:rPr>
            </w:pPr>
            <w:r>
              <w:rPr>
                <w:rFonts w:eastAsia="맑은 고딕" w:hint="eastAsia"/>
                <w:lang w:val="en-US" w:eastAsia="ko-KR"/>
              </w:rPr>
              <w:t>LG</w:t>
            </w:r>
          </w:p>
        </w:tc>
        <w:tc>
          <w:tcPr>
            <w:tcW w:w="1372" w:type="dxa"/>
          </w:tcPr>
          <w:p w14:paraId="34948FA2" w14:textId="71AD90BA" w:rsidR="00BB658B" w:rsidRPr="00BB658B" w:rsidRDefault="00BB658B">
            <w:pPr>
              <w:tabs>
                <w:tab w:val="left" w:pos="551"/>
              </w:tabs>
              <w:jc w:val="left"/>
              <w:rPr>
                <w:rFonts w:eastAsia="맑은 고딕" w:hint="eastAsia"/>
                <w:lang w:val="en-US" w:eastAsia="ko-KR"/>
              </w:rPr>
            </w:pPr>
            <w:r>
              <w:rPr>
                <w:rFonts w:eastAsia="맑은 고딕" w:hint="eastAsia"/>
                <w:lang w:val="en-US" w:eastAsia="ko-KR"/>
              </w:rPr>
              <w:t>N</w:t>
            </w:r>
          </w:p>
        </w:tc>
        <w:tc>
          <w:tcPr>
            <w:tcW w:w="6780" w:type="dxa"/>
          </w:tcPr>
          <w:p w14:paraId="42570D19" w14:textId="19DDC40D" w:rsidR="00BB658B" w:rsidRPr="00BB658B" w:rsidRDefault="00BB658B">
            <w:pPr>
              <w:jc w:val="left"/>
              <w:rPr>
                <w:rFonts w:eastAsia="맑은 고딕" w:hint="eastAsia"/>
                <w:lang w:val="en-US" w:eastAsia="ko-KR"/>
              </w:rPr>
            </w:pPr>
            <w:r w:rsidRPr="00BB658B">
              <w:rPr>
                <w:rFonts w:eastAsia="맑은 고딕" w:hint="eastAsia"/>
                <w:lang w:val="en-US" w:eastAsia="ko-KR"/>
              </w:rPr>
              <w:t>“</w:t>
            </w:r>
            <w:r w:rsidRPr="00BB658B">
              <w:rPr>
                <w:rFonts w:eastAsia="맑은 고딕"/>
                <w:lang w:val="en-US" w:eastAsia="ko-KR"/>
              </w:rPr>
              <w:t>partially or fully ov</w:t>
            </w:r>
            <w:r>
              <w:rPr>
                <w:rFonts w:eastAsia="맑은 고딕"/>
                <w:lang w:val="en-US" w:eastAsia="ko-KR"/>
              </w:rPr>
              <w:t>erlap in time” should be added.</w:t>
            </w:r>
            <w:r w:rsidR="00995A8E">
              <w:rPr>
                <w:rFonts w:eastAsia="맑은 고딕"/>
                <w:lang w:val="en-US" w:eastAsia="ko-KR"/>
              </w:rPr>
              <w:t xml:space="preserve"> We share similar view with CMCC.</w:t>
            </w:r>
          </w:p>
        </w:tc>
      </w:tr>
    </w:tbl>
    <w:p w14:paraId="191D3CF0" w14:textId="77777777" w:rsidR="001A20EC" w:rsidRDefault="001A20EC">
      <w:pPr>
        <w:rPr>
          <w:lang w:val="en-US" w:eastAsia="sv-SE"/>
        </w:rPr>
      </w:pPr>
    </w:p>
    <w:p w14:paraId="11B789FF" w14:textId="77777777" w:rsidR="001A20EC" w:rsidRDefault="000432D7">
      <w:pPr>
        <w:pStyle w:val="30"/>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gNodeB does not have the way how to check </w:t>
            </w:r>
            <w:r>
              <w:lastRenderedPageBreak/>
              <w:t>whether UEs is Rel-18 eRedCap or not, when Msg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lastRenderedPageBreak/>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0"/>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맑은 고딕"/>
                <w:lang w:val="en-US" w:eastAsia="ko-KR"/>
              </w:rPr>
            </w:pPr>
            <w:r>
              <w:rPr>
                <w:rFonts w:eastAsia="맑은 고딕"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맑은 고딕"/>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맑은 고딕"/>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맑은 고딕"/>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77777777" w:rsidR="001A20EC" w:rsidRDefault="000432D7">
      <w:pPr>
        <w:rPr>
          <w:b/>
          <w:lang w:val="en-US"/>
        </w:rPr>
      </w:pPr>
      <w:r>
        <w:rPr>
          <w:b/>
          <w:highlight w:val="cyan"/>
          <w:lang w:val="en-US"/>
        </w:rPr>
        <w:t>FL4/FL5 Medium Priority Proposal 2.3-1b</w:t>
      </w:r>
      <w:r>
        <w:rPr>
          <w:b/>
          <w:lang w:val="en-US"/>
        </w:rPr>
        <w:t>:</w:t>
      </w:r>
    </w:p>
    <w:p w14:paraId="4DE53947" w14:textId="77777777" w:rsidR="001A20EC" w:rsidRDefault="000432D7">
      <w:pPr>
        <w:pStyle w:val="af7"/>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af0"/>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맑은 고딕" w:hint="eastAsia"/>
                <w:lang w:val="en-US" w:eastAsia="ko-KR"/>
              </w:rPr>
            </w:pPr>
            <w:r>
              <w:rPr>
                <w:rFonts w:eastAsia="맑은 고딕" w:hint="eastAsia"/>
                <w:lang w:val="en-US" w:eastAsia="ko-KR"/>
              </w:rPr>
              <w:t>LG</w:t>
            </w:r>
          </w:p>
        </w:tc>
        <w:tc>
          <w:tcPr>
            <w:tcW w:w="1372" w:type="dxa"/>
          </w:tcPr>
          <w:p w14:paraId="30C4432B" w14:textId="46798D1B" w:rsidR="00BB658B" w:rsidRPr="00BB658B" w:rsidRDefault="00BB658B">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bl>
    <w:p w14:paraId="12C73B2B" w14:textId="77777777" w:rsidR="001A20EC" w:rsidRDefault="001A20EC">
      <w:pPr>
        <w:tabs>
          <w:tab w:val="left" w:pos="1200"/>
        </w:tabs>
        <w:rPr>
          <w:lang w:val="en-US"/>
        </w:rPr>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7"/>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7"/>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0"/>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7"/>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7"/>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lastRenderedPageBreak/>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lastRenderedPageBreak/>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for broadcast MCCH ,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lastRenderedPageBreak/>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맑은 고딕" w:hint="eastAsia"/>
                <w:lang w:val="en-US" w:eastAsia="ko-KR"/>
              </w:rPr>
              <w:t>LG</w:t>
            </w:r>
            <w:r>
              <w:rPr>
                <w:rFonts w:eastAsia="맑은 고딕"/>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맑은 고딕"/>
                <w:lang w:val="en-US" w:eastAsia="ko-KR"/>
              </w:rPr>
            </w:pPr>
            <w:r>
              <w:rPr>
                <w:rFonts w:eastAsia="맑은 고딕" w:hint="eastAsia"/>
                <w:lang w:val="en-US" w:eastAsia="ko-KR"/>
              </w:rPr>
              <w:t>According to</w:t>
            </w:r>
            <w:r>
              <w:rPr>
                <w:rFonts w:eastAsia="맑은 고딕"/>
                <w:lang w:val="en-US" w:eastAsia="ko-KR"/>
              </w:rPr>
              <w:t xml:space="preserve"> 5.1 </w:t>
            </w:r>
            <w:r>
              <w:rPr>
                <w:rFonts w:eastAsia="맑은 고딕" w:hint="eastAsia"/>
                <w:lang w:val="en-US" w:eastAsia="ko-KR"/>
              </w:rPr>
              <w:t>in TS 38.214</w:t>
            </w:r>
            <w:r>
              <w:rPr>
                <w:rFonts w:eastAsia="맑은 고딕"/>
                <w:lang w:val="en-US" w:eastAsia="ko-KR"/>
              </w:rPr>
              <w:t>, T</w:t>
            </w:r>
            <w:r>
              <w:rPr>
                <w:rFonts w:eastAsia="맑은 고딕"/>
                <w:sz w:val="14"/>
                <w:lang w:val="en-US" w:eastAsia="ko-KR"/>
              </w:rPr>
              <w:t>proc,1</w:t>
            </w:r>
            <w:r>
              <w:rPr>
                <w:rFonts w:eastAsia="맑은 고딕"/>
                <w:lang w:val="en-US" w:eastAsia="ko-KR"/>
              </w:rPr>
              <w:t xml:space="preserve"> can be required with the same HARQ process ID scheduled in consecutive slots. </w:t>
            </w:r>
          </w:p>
          <w:tbl>
            <w:tblPr>
              <w:tblStyle w:val="af0"/>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맑은 고딕"/>
                <w:lang w:eastAsia="ko-KR"/>
              </w:rPr>
            </w:pPr>
            <w:r>
              <w:rPr>
                <w:rFonts w:eastAsia="맑은 고딕" w:hint="eastAsia"/>
                <w:lang w:eastAsia="ko-KR"/>
              </w:rPr>
              <w:t xml:space="preserve">In our view, </w:t>
            </w:r>
            <w:r>
              <w:rPr>
                <w:rFonts w:eastAsia="맑은 고딕"/>
                <w:lang w:eastAsia="ko-KR"/>
              </w:rPr>
              <w:t>t</w:t>
            </w:r>
            <w:r>
              <w:rPr>
                <w:rFonts w:eastAsia="맑은 고딕" w:hint="eastAsia"/>
                <w:lang w:eastAsia="ko-KR"/>
              </w:rPr>
              <w:t xml:space="preserve">his might not be an issue, if </w:t>
            </w:r>
            <w:r>
              <w:rPr>
                <w:rFonts w:eastAsia="맑은 고딕"/>
                <w:lang w:eastAsia="ko-KR"/>
              </w:rPr>
              <w:t xml:space="preserve">multiple different HARQ process IDs (=&gt;2 at least) are scheduled in consecutive slots. Then, it is thought that Multicast MBS PDSCH with HARQ Feedback disabled and </w:t>
            </w:r>
            <w:r>
              <w:rPr>
                <w:rFonts w:eastAsia="맑은 고딕" w:hint="eastAsia"/>
                <w:lang w:eastAsia="ko-KR"/>
              </w:rPr>
              <w:t xml:space="preserve">Broadcast MBS PDSCH are not </w:t>
            </w:r>
            <w:r>
              <w:rPr>
                <w:rFonts w:eastAsia="맑은 고딕"/>
                <w:lang w:eastAsia="ko-KR"/>
              </w:rPr>
              <w:t>different</w:t>
            </w:r>
            <w:r>
              <w:rPr>
                <w:rFonts w:eastAsia="맑은 고딕" w:hint="eastAsia"/>
                <w:lang w:eastAsia="ko-KR"/>
              </w:rPr>
              <w:t xml:space="preserve"> </w:t>
            </w:r>
            <w:r>
              <w:rPr>
                <w:rFonts w:eastAsia="맑은 고딕"/>
                <w:lang w:eastAsia="ko-KR"/>
              </w:rPr>
              <w:t>structurally and if</w:t>
            </w:r>
            <w:r>
              <w:t xml:space="preserve"> </w:t>
            </w:r>
            <w:r>
              <w:rPr>
                <w:rFonts w:eastAsia="맑은 고딕"/>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맑은 고딕"/>
                <w:lang w:eastAsia="ko-KR"/>
              </w:rPr>
            </w:pPr>
            <w:r>
              <w:rPr>
                <w:rFonts w:eastAsia="맑은 고딕"/>
                <w:lang w:eastAsia="ko-KR"/>
              </w:rPr>
              <w:t>Additionally,</w:t>
            </w:r>
          </w:p>
          <w:p w14:paraId="387F6867" w14:textId="77777777" w:rsidR="001A20EC" w:rsidRDefault="000432D7">
            <w:pPr>
              <w:jc w:val="left"/>
              <w:rPr>
                <w:rFonts w:eastAsia="Yu Mincho"/>
                <w:lang w:val="en-US" w:eastAsia="ja-JP"/>
              </w:rPr>
            </w:pPr>
            <w:r>
              <w:rPr>
                <w:rFonts w:eastAsia="맑은 고딕"/>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맑은 고딕"/>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맑은 고딕"/>
                <w:lang w:val="en-US" w:eastAsia="ko-KR"/>
              </w:rPr>
            </w:pPr>
            <w:r>
              <w:rPr>
                <w:rFonts w:eastAsia="Yu Mincho" w:hint="eastAsia"/>
                <w:lang w:val="en-US" w:eastAsia="ja-JP"/>
              </w:rPr>
              <w:lastRenderedPageBreak/>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7"/>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7"/>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77777777" w:rsidR="001A20EC" w:rsidRDefault="000432D7">
      <w:pPr>
        <w:rPr>
          <w:b/>
          <w:lang w:val="en-US"/>
        </w:rPr>
      </w:pPr>
      <w:r>
        <w:rPr>
          <w:b/>
          <w:highlight w:val="cyan"/>
          <w:lang w:val="en-US"/>
        </w:rPr>
        <w:t>FL4/FL5 Medium Priority Proposal 2.4-1b</w:t>
      </w:r>
      <w:r>
        <w:rPr>
          <w:b/>
          <w:lang w:val="en-US"/>
        </w:rPr>
        <w:t>:</w:t>
      </w:r>
    </w:p>
    <w:p w14:paraId="760343D9" w14:textId="77777777" w:rsidR="001A20EC" w:rsidRDefault="000432D7">
      <w:pPr>
        <w:pStyle w:val="af7"/>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7"/>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7"/>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7"/>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7"/>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lastRenderedPageBreak/>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lastRenderedPageBreak/>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The Note seems not needed and may lead to misunderstanding, it can could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w:t>
            </w:r>
            <w:r w:rsidR="003C09AA">
              <w:rPr>
                <w:rFonts w:eastAsiaTheme="minorEastAsia"/>
                <w:lang w:val="en-US" w:eastAsia="zh-CN"/>
              </w:rPr>
              <w:t>” can be applied for MBS Multicast PDSCH)</w:t>
            </w:r>
          </w:p>
          <w:p w14:paraId="1DDEE0E6" w14:textId="185F2FFF" w:rsidR="00BB658B" w:rsidRDefault="00D02739" w:rsidP="00BB658B">
            <w:pPr>
              <w:jc w:val="left"/>
              <w:rPr>
                <w:rFonts w:eastAsiaTheme="minorEastAsia"/>
                <w:lang w:val="en-US" w:eastAsia="zh-CN"/>
              </w:rPr>
            </w:pPr>
            <w:r>
              <w:t>In addition,</w:t>
            </w:r>
            <w:bookmarkStart w:id="7" w:name="_GoBack"/>
            <w:bookmarkEnd w:id="7"/>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bl>
    <w:p w14:paraId="6B7FE35B" w14:textId="77777777" w:rsidR="001A20EC" w:rsidRDefault="001A20EC">
      <w:pPr>
        <w:tabs>
          <w:tab w:val="left" w:pos="1545"/>
        </w:tabs>
        <w:jc w:val="left"/>
        <w:rPr>
          <w:rFonts w:eastAsia="Microsoft YaHei UI"/>
          <w:lang w:val="en-US"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lastRenderedPageBreak/>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lastRenderedPageBreak/>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3AFA5D"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0"/>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맑은 고딕"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맑은 고딕"/>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맑은 고딕"/>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598CDDB6"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lastRenderedPageBreak/>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lastRenderedPageBreak/>
        <w:br/>
      </w:r>
      <w:r>
        <w:rPr>
          <w:b/>
          <w:bCs/>
          <w:highlight w:val="yellow"/>
        </w:rPr>
        <w:t>FL4 High Priority Proposal 3.1-1c</w:t>
      </w:r>
      <w:r>
        <w:rPr>
          <w:b/>
          <w:bCs/>
        </w:rPr>
        <w:t>:</w:t>
      </w:r>
    </w:p>
    <w:p w14:paraId="4BB620F4" w14:textId="77777777" w:rsidR="001A20EC" w:rsidRDefault="000432D7">
      <w:pPr>
        <w:pStyle w:val="af7"/>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7"/>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0938AFA" w14:textId="77777777" w:rsidR="001A20EC" w:rsidRDefault="001A20E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0"/>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af7"/>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7"/>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lastRenderedPageBreak/>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7"/>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af7"/>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7"/>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0"/>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lastRenderedPageBreak/>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0" w:history="1">
        <w:r>
          <w:rPr>
            <w:rStyle w:val="af4"/>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0"/>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1" w:history="1">
              <w:r>
                <w:rPr>
                  <w:rStyle w:val="af4"/>
                  <w:rFonts w:eastAsiaTheme="minorEastAsia"/>
                  <w:lang w:val="en-US" w:eastAsia="zh-CN"/>
                </w:rPr>
                <w:t>R1-230</w:t>
              </w:r>
              <w:bookmarkStart w:id="8" w:name="_Hlt143601576"/>
              <w:bookmarkStart w:id="9" w:name="_Hlt143601575"/>
              <w:bookmarkEnd w:id="8"/>
              <w:bookmarkEnd w:id="9"/>
              <w:r>
                <w:rPr>
                  <w:rStyle w:val="af4"/>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2" w:history="1">
        <w:r>
          <w:rPr>
            <w:rStyle w:val="af4"/>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3" w:history="1">
        <w:r>
          <w:rPr>
            <w:rStyle w:val="af4"/>
            <w:b/>
            <w:sz w:val="20"/>
            <w:szCs w:val="22"/>
            <w:lang w:val="en-US"/>
          </w:rPr>
          <w:t>31</w:t>
        </w:r>
      </w:hyperlink>
      <w:r>
        <w:rPr>
          <w:b/>
          <w:sz w:val="20"/>
          <w:szCs w:val="22"/>
          <w:lang w:val="en-US"/>
        </w:rPr>
        <w:t>]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lastRenderedPageBreak/>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7"/>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7"/>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7"/>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7"/>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7"/>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7"/>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7"/>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7"/>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7"/>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7"/>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7"/>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6FF8E7D0" w14:textId="77777777" w:rsidR="001A20EC" w:rsidRDefault="000432D7">
      <w:pPr>
        <w:pStyle w:val="af7"/>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7"/>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7"/>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7"/>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7"/>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7"/>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7"/>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a7"/>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10"/>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043BCE">
            <w:pPr>
              <w:jc w:val="left"/>
              <w:rPr>
                <w:color w:val="0000FF"/>
                <w:u w:val="single"/>
                <w:lang w:val="en-US"/>
              </w:rPr>
            </w:pPr>
            <w:hyperlink r:id="rId24" w:history="1">
              <w:r w:rsidR="000432D7">
                <w:rPr>
                  <w:rStyle w:val="af4"/>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043BCE">
            <w:pPr>
              <w:jc w:val="left"/>
              <w:rPr>
                <w:rFonts w:eastAsia="Calibri"/>
                <w:color w:val="0000FF"/>
                <w:u w:val="single"/>
                <w:lang w:val="en-US"/>
              </w:rPr>
            </w:pPr>
            <w:hyperlink r:id="rId25" w:history="1">
              <w:r w:rsidR="000432D7">
                <w:rPr>
                  <w:rStyle w:val="af4"/>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043BCE">
            <w:pPr>
              <w:jc w:val="left"/>
              <w:rPr>
                <w:rStyle w:val="af4"/>
                <w:color w:val="0000FF"/>
                <w:lang w:val="en-US"/>
              </w:rPr>
            </w:pPr>
            <w:hyperlink r:id="rId26" w:history="1">
              <w:r w:rsidR="000432D7">
                <w:rPr>
                  <w:rStyle w:val="af4"/>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043BCE">
            <w:pPr>
              <w:jc w:val="left"/>
              <w:rPr>
                <w:rStyle w:val="af4"/>
                <w:color w:val="0000FF"/>
                <w:lang w:val="en-US"/>
              </w:rPr>
            </w:pPr>
            <w:hyperlink r:id="rId27" w:history="1">
              <w:r w:rsidR="000432D7">
                <w:rPr>
                  <w:rStyle w:val="af4"/>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043BCE">
            <w:pPr>
              <w:jc w:val="left"/>
              <w:rPr>
                <w:rStyle w:val="af4"/>
                <w:color w:val="0000FF"/>
                <w:lang w:val="en-US"/>
              </w:rPr>
            </w:pPr>
            <w:hyperlink r:id="rId28" w:history="1">
              <w:r w:rsidR="000432D7">
                <w:rPr>
                  <w:rStyle w:val="af4"/>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043BCE">
            <w:pPr>
              <w:jc w:val="left"/>
              <w:rPr>
                <w:rStyle w:val="af4"/>
                <w:color w:val="0000FF"/>
                <w:lang w:val="en-US"/>
              </w:rPr>
            </w:pPr>
            <w:hyperlink r:id="rId29"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043BCE">
            <w:pPr>
              <w:jc w:val="left"/>
              <w:rPr>
                <w:rStyle w:val="af4"/>
                <w:color w:val="0000FF"/>
                <w:lang w:val="en-US" w:eastAsia="sv-SE"/>
              </w:rPr>
            </w:pPr>
            <w:hyperlink r:id="rId30" w:history="1">
              <w:r w:rsidR="000432D7">
                <w:rPr>
                  <w:rStyle w:val="af4"/>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lastRenderedPageBreak/>
              <w:t>[8]</w:t>
            </w:r>
          </w:p>
        </w:tc>
        <w:tc>
          <w:tcPr>
            <w:tcW w:w="1456" w:type="dxa"/>
            <w:tcMar>
              <w:top w:w="0" w:type="dxa"/>
              <w:left w:w="70" w:type="dxa"/>
              <w:bottom w:w="0" w:type="dxa"/>
              <w:right w:w="70" w:type="dxa"/>
            </w:tcMar>
          </w:tcPr>
          <w:p w14:paraId="27065D11" w14:textId="77777777" w:rsidR="001A20EC" w:rsidRDefault="00043BCE">
            <w:pPr>
              <w:jc w:val="left"/>
              <w:rPr>
                <w:rStyle w:val="af4"/>
                <w:color w:val="0000FF"/>
                <w:lang w:val="en-US" w:eastAsia="sv-SE"/>
              </w:rPr>
            </w:pPr>
            <w:hyperlink r:id="rId31" w:history="1">
              <w:r w:rsidR="000432D7">
                <w:rPr>
                  <w:rStyle w:val="af4"/>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043BCE">
            <w:pPr>
              <w:jc w:val="left"/>
              <w:rPr>
                <w:rStyle w:val="af4"/>
                <w:color w:val="0000FF"/>
                <w:lang w:val="en-US" w:eastAsia="sv-SE"/>
              </w:rPr>
            </w:pPr>
            <w:hyperlink r:id="rId32" w:history="1">
              <w:r w:rsidR="000432D7">
                <w:rPr>
                  <w:rStyle w:val="af4"/>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043BCE">
            <w:pPr>
              <w:jc w:val="left"/>
              <w:rPr>
                <w:rStyle w:val="af4"/>
                <w:color w:val="0000FF"/>
                <w:lang w:val="en-US" w:eastAsia="sv-SE"/>
              </w:rPr>
            </w:pPr>
            <w:hyperlink r:id="rId33" w:history="1">
              <w:r w:rsidR="000432D7">
                <w:rPr>
                  <w:rStyle w:val="af4"/>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043BCE">
            <w:pPr>
              <w:jc w:val="left"/>
              <w:rPr>
                <w:rStyle w:val="af4"/>
                <w:color w:val="0000FF"/>
                <w:lang w:val="en-US" w:eastAsia="sv-SE"/>
              </w:rPr>
            </w:pPr>
            <w:hyperlink r:id="rId34" w:history="1">
              <w:r w:rsidR="000432D7">
                <w:rPr>
                  <w:rStyle w:val="af4"/>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043BCE">
            <w:pPr>
              <w:jc w:val="left"/>
              <w:rPr>
                <w:rStyle w:val="af4"/>
                <w:color w:val="0000FF"/>
                <w:lang w:val="en-US" w:eastAsia="sv-SE"/>
              </w:rPr>
            </w:pPr>
            <w:hyperlink r:id="rId35" w:history="1">
              <w:r w:rsidR="000432D7">
                <w:rPr>
                  <w:rStyle w:val="af4"/>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043BCE">
            <w:pPr>
              <w:jc w:val="left"/>
              <w:rPr>
                <w:rStyle w:val="af4"/>
                <w:color w:val="0000FF"/>
                <w:lang w:val="en-US" w:eastAsia="sv-SE"/>
              </w:rPr>
            </w:pPr>
            <w:hyperlink r:id="rId36" w:history="1">
              <w:r w:rsidR="000432D7">
                <w:rPr>
                  <w:rStyle w:val="af4"/>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043BCE">
            <w:pPr>
              <w:jc w:val="left"/>
              <w:rPr>
                <w:rStyle w:val="af4"/>
                <w:color w:val="0000FF"/>
                <w:lang w:val="en-US" w:eastAsia="sv-SE"/>
              </w:rPr>
            </w:pPr>
            <w:hyperlink r:id="rId37" w:history="1">
              <w:r w:rsidR="000432D7">
                <w:rPr>
                  <w:rStyle w:val="af4"/>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043BCE">
            <w:pPr>
              <w:jc w:val="left"/>
              <w:rPr>
                <w:rStyle w:val="af4"/>
                <w:color w:val="0000FF"/>
                <w:lang w:val="en-US" w:eastAsia="sv-SE"/>
              </w:rPr>
            </w:pPr>
            <w:hyperlink r:id="rId38" w:history="1">
              <w:r w:rsidR="000432D7">
                <w:rPr>
                  <w:rStyle w:val="af4"/>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043BCE">
            <w:pPr>
              <w:jc w:val="left"/>
              <w:rPr>
                <w:rStyle w:val="af4"/>
                <w:color w:val="0000FF"/>
                <w:lang w:val="en-US" w:eastAsia="sv-SE"/>
              </w:rPr>
            </w:pPr>
            <w:hyperlink r:id="rId39" w:history="1">
              <w:r w:rsidR="000432D7">
                <w:rPr>
                  <w:rStyle w:val="af4"/>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043BCE">
            <w:pPr>
              <w:jc w:val="left"/>
              <w:rPr>
                <w:rStyle w:val="af4"/>
                <w:color w:val="0000FF"/>
                <w:lang w:val="en-US" w:eastAsia="sv-SE"/>
              </w:rPr>
            </w:pPr>
            <w:hyperlink r:id="rId40" w:history="1">
              <w:r w:rsidR="000432D7">
                <w:rPr>
                  <w:rStyle w:val="af4"/>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043BCE">
            <w:pPr>
              <w:jc w:val="left"/>
              <w:rPr>
                <w:rStyle w:val="af4"/>
                <w:color w:val="0000FF"/>
                <w:lang w:val="en-US" w:eastAsia="sv-SE"/>
              </w:rPr>
            </w:pPr>
            <w:hyperlink r:id="rId41" w:history="1">
              <w:r w:rsidR="000432D7">
                <w:rPr>
                  <w:rStyle w:val="af4"/>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043BCE">
            <w:pPr>
              <w:jc w:val="left"/>
              <w:rPr>
                <w:rStyle w:val="af4"/>
                <w:color w:val="0000FF"/>
                <w:lang w:val="en-US" w:eastAsia="sv-SE"/>
              </w:rPr>
            </w:pPr>
            <w:hyperlink r:id="rId42" w:history="1">
              <w:r w:rsidR="000432D7">
                <w:rPr>
                  <w:rStyle w:val="af4"/>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043BCE">
            <w:pPr>
              <w:jc w:val="left"/>
              <w:rPr>
                <w:rStyle w:val="af4"/>
                <w:color w:val="0000FF"/>
                <w:lang w:val="en-US" w:eastAsia="sv-SE"/>
              </w:rPr>
            </w:pPr>
            <w:hyperlink r:id="rId43" w:history="1">
              <w:r w:rsidR="000432D7">
                <w:rPr>
                  <w:rStyle w:val="af4"/>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043BCE">
            <w:pPr>
              <w:jc w:val="left"/>
              <w:rPr>
                <w:rStyle w:val="af4"/>
                <w:color w:val="0000FF"/>
                <w:lang w:val="en-US" w:eastAsia="sv-SE"/>
              </w:rPr>
            </w:pPr>
            <w:hyperlink r:id="rId44" w:history="1">
              <w:r w:rsidR="000432D7">
                <w:rPr>
                  <w:rStyle w:val="af4"/>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043BCE">
            <w:pPr>
              <w:jc w:val="left"/>
              <w:rPr>
                <w:rStyle w:val="af4"/>
                <w:color w:val="0000FF"/>
                <w:lang w:val="en-US" w:eastAsia="sv-SE"/>
              </w:rPr>
            </w:pPr>
            <w:hyperlink r:id="rId45" w:history="1">
              <w:r w:rsidR="000432D7">
                <w:rPr>
                  <w:rStyle w:val="af4"/>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043BCE">
            <w:pPr>
              <w:jc w:val="left"/>
              <w:rPr>
                <w:rStyle w:val="af4"/>
                <w:color w:val="0000FF"/>
                <w:lang w:val="en-US" w:eastAsia="sv-SE"/>
              </w:rPr>
            </w:pPr>
            <w:hyperlink r:id="rId46" w:history="1">
              <w:r w:rsidR="000432D7">
                <w:rPr>
                  <w:rStyle w:val="af4"/>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043BCE">
            <w:pPr>
              <w:jc w:val="left"/>
              <w:rPr>
                <w:rStyle w:val="af4"/>
                <w:color w:val="0000FF"/>
                <w:lang w:val="en-US" w:eastAsia="sv-SE"/>
              </w:rPr>
            </w:pPr>
            <w:hyperlink r:id="rId47" w:history="1">
              <w:r w:rsidR="000432D7">
                <w:rPr>
                  <w:rStyle w:val="af4"/>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043BCE">
            <w:pPr>
              <w:jc w:val="left"/>
              <w:rPr>
                <w:rStyle w:val="af4"/>
                <w:color w:val="0000FF"/>
                <w:lang w:val="en-US" w:eastAsia="sv-SE"/>
              </w:rPr>
            </w:pPr>
            <w:hyperlink r:id="rId48" w:history="1">
              <w:r w:rsidR="000432D7">
                <w:rPr>
                  <w:rStyle w:val="af4"/>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043BCE">
            <w:pPr>
              <w:jc w:val="left"/>
              <w:rPr>
                <w:rStyle w:val="af4"/>
                <w:color w:val="0000FF"/>
                <w:lang w:val="en-US" w:eastAsia="sv-SE"/>
              </w:rPr>
            </w:pPr>
            <w:hyperlink r:id="rId49" w:history="1">
              <w:r w:rsidR="000432D7">
                <w:rPr>
                  <w:rStyle w:val="af4"/>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043BCE">
            <w:pPr>
              <w:jc w:val="left"/>
              <w:rPr>
                <w:rStyle w:val="af4"/>
                <w:color w:val="0000FF"/>
                <w:lang w:val="en-US" w:eastAsia="sv-SE"/>
              </w:rPr>
            </w:pPr>
            <w:hyperlink r:id="rId50" w:history="1">
              <w:r w:rsidR="000432D7">
                <w:rPr>
                  <w:rStyle w:val="af4"/>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043BCE">
            <w:pPr>
              <w:jc w:val="left"/>
              <w:rPr>
                <w:rStyle w:val="af4"/>
                <w:color w:val="0000FF"/>
                <w:lang w:val="en-US" w:eastAsia="sv-SE"/>
              </w:rPr>
            </w:pPr>
            <w:hyperlink r:id="rId51" w:history="1">
              <w:r w:rsidR="000432D7">
                <w:rPr>
                  <w:rStyle w:val="af4"/>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043BCE">
            <w:pPr>
              <w:jc w:val="left"/>
              <w:rPr>
                <w:rStyle w:val="af4"/>
                <w:color w:val="0000FF"/>
                <w:lang w:val="en-US" w:eastAsia="sv-SE"/>
              </w:rPr>
            </w:pPr>
            <w:hyperlink r:id="rId52" w:history="1">
              <w:r w:rsidR="000432D7">
                <w:rPr>
                  <w:rStyle w:val="af4"/>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043BCE">
            <w:pPr>
              <w:jc w:val="left"/>
              <w:rPr>
                <w:rStyle w:val="af4"/>
                <w:color w:val="0000FF"/>
                <w:lang w:val="en-US" w:eastAsia="sv-SE"/>
              </w:rPr>
            </w:pPr>
            <w:hyperlink r:id="rId53" w:history="1">
              <w:r w:rsidR="000432D7">
                <w:rPr>
                  <w:rStyle w:val="af4"/>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043BCE">
            <w:pPr>
              <w:jc w:val="left"/>
              <w:rPr>
                <w:rStyle w:val="af4"/>
                <w:color w:val="0000FF"/>
                <w:lang w:val="en-US" w:eastAsia="sv-SE"/>
              </w:rPr>
            </w:pPr>
            <w:hyperlink r:id="rId54" w:history="1">
              <w:r w:rsidR="000432D7">
                <w:rPr>
                  <w:rStyle w:val="af4"/>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043BCE">
            <w:pPr>
              <w:jc w:val="left"/>
              <w:rPr>
                <w:rStyle w:val="af4"/>
                <w:color w:val="0000FF"/>
                <w:lang w:val="en-US" w:eastAsia="sv-SE"/>
              </w:rPr>
            </w:pPr>
            <w:hyperlink r:id="rId55" w:history="1">
              <w:r w:rsidR="000432D7">
                <w:rPr>
                  <w:rStyle w:val="af4"/>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043BCE">
            <w:pPr>
              <w:jc w:val="left"/>
              <w:rPr>
                <w:color w:val="000000"/>
                <w:lang w:val="en-US"/>
              </w:rPr>
            </w:pPr>
            <w:hyperlink r:id="rId56" w:history="1">
              <w:r w:rsidR="000432D7">
                <w:rPr>
                  <w:rStyle w:val="af4"/>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043BCE">
            <w:pPr>
              <w:jc w:val="left"/>
              <w:rPr>
                <w:color w:val="000000"/>
                <w:lang w:val="en-US"/>
              </w:rPr>
            </w:pPr>
            <w:hyperlink r:id="rId57" w:history="1">
              <w:r w:rsidR="000432D7">
                <w:rPr>
                  <w:rStyle w:val="af4"/>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043BCE">
            <w:pPr>
              <w:jc w:val="left"/>
            </w:pPr>
            <w:hyperlink r:id="rId58" w:history="1">
              <w:r w:rsidR="000432D7">
                <w:rPr>
                  <w:rStyle w:val="af4"/>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127CF" w14:textId="77777777" w:rsidR="00043BCE" w:rsidRDefault="00043BCE">
      <w:pPr>
        <w:spacing w:line="240" w:lineRule="auto"/>
      </w:pPr>
      <w:r>
        <w:separator/>
      </w:r>
    </w:p>
  </w:endnote>
  <w:endnote w:type="continuationSeparator" w:id="0">
    <w:p w14:paraId="3F0F0C40" w14:textId="77777777" w:rsidR="00043BCE" w:rsidRDefault="00043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21217" w14:textId="77777777" w:rsidR="00043BCE" w:rsidRDefault="00043BCE">
      <w:pPr>
        <w:spacing w:after="0"/>
      </w:pPr>
      <w:r>
        <w:separator/>
      </w:r>
    </w:p>
  </w:footnote>
  <w:footnote w:type="continuationSeparator" w:id="0">
    <w:p w14:paraId="51C71709" w14:textId="77777777" w:rsidR="00043BCE" w:rsidRDefault="00043BC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2"/>
  </w:num>
  <w:num w:numId="3">
    <w:abstractNumId w:val="1"/>
  </w:num>
  <w:num w:numId="4">
    <w:abstractNumId w:val="18"/>
  </w:num>
  <w:num w:numId="5">
    <w:abstractNumId w:val="26"/>
    <w:lvlOverride w:ilvl="0">
      <w:startOverride w:val="1"/>
    </w:lvlOverride>
  </w:num>
  <w:num w:numId="6">
    <w:abstractNumId w:val="27"/>
  </w:num>
  <w:num w:numId="7">
    <w:abstractNumId w:val="33"/>
  </w:num>
  <w:num w:numId="8">
    <w:abstractNumId w:val="38"/>
  </w:num>
  <w:num w:numId="9">
    <w:abstractNumId w:val="7"/>
  </w:num>
  <w:num w:numId="10">
    <w:abstractNumId w:val="43"/>
  </w:num>
  <w:num w:numId="11">
    <w:abstractNumId w:val="34"/>
  </w:num>
  <w:num w:numId="12">
    <w:abstractNumId w:val="22"/>
  </w:num>
  <w:num w:numId="13">
    <w:abstractNumId w:val="21"/>
  </w:num>
  <w:num w:numId="14">
    <w:abstractNumId w:val="15"/>
  </w:num>
  <w:num w:numId="15">
    <w:abstractNumId w:val="36"/>
  </w:num>
  <w:num w:numId="16">
    <w:abstractNumId w:val="4"/>
  </w:num>
  <w:num w:numId="17">
    <w:abstractNumId w:val="16"/>
  </w:num>
  <w:num w:numId="18">
    <w:abstractNumId w:val="13"/>
  </w:num>
  <w:num w:numId="19">
    <w:abstractNumId w:val="31"/>
  </w:num>
  <w:num w:numId="20">
    <w:abstractNumId w:val="6"/>
  </w:num>
  <w:num w:numId="21">
    <w:abstractNumId w:val="41"/>
  </w:num>
  <w:num w:numId="22">
    <w:abstractNumId w:val="3"/>
  </w:num>
  <w:num w:numId="23">
    <w:abstractNumId w:val="30"/>
  </w:num>
  <w:num w:numId="24">
    <w:abstractNumId w:val="32"/>
  </w:num>
  <w:num w:numId="25">
    <w:abstractNumId w:val="35"/>
  </w:num>
  <w:num w:numId="26">
    <w:abstractNumId w:val="20"/>
  </w:num>
  <w:num w:numId="27">
    <w:abstractNumId w:val="0"/>
  </w:num>
  <w:num w:numId="28">
    <w:abstractNumId w:val="19"/>
  </w:num>
  <w:num w:numId="29">
    <w:abstractNumId w:val="40"/>
  </w:num>
  <w:num w:numId="30">
    <w:abstractNumId w:val="9"/>
  </w:num>
  <w:num w:numId="31">
    <w:abstractNumId w:val="39"/>
  </w:num>
  <w:num w:numId="32">
    <w:abstractNumId w:val="11"/>
  </w:num>
  <w:num w:numId="33">
    <w:abstractNumId w:val="25"/>
  </w:num>
  <w:num w:numId="34">
    <w:abstractNumId w:val="28"/>
  </w:num>
  <w:num w:numId="35">
    <w:abstractNumId w:val="29"/>
  </w:num>
  <w:num w:numId="36">
    <w:abstractNumId w:val="17"/>
  </w:num>
  <w:num w:numId="37">
    <w:abstractNumId w:val="24"/>
  </w:num>
  <w:num w:numId="38">
    <w:abstractNumId w:val="44"/>
  </w:num>
  <w:num w:numId="39">
    <w:abstractNumId w:val="42"/>
  </w:num>
  <w:num w:numId="40">
    <w:abstractNumId w:val="8"/>
  </w:num>
  <w:num w:numId="41">
    <w:abstractNumId w:val="10"/>
  </w:num>
  <w:num w:numId="42">
    <w:abstractNumId w:val="5"/>
  </w:num>
  <w:num w:numId="43">
    <w:abstractNumId w:val="23"/>
  </w:num>
  <w:num w:numId="44">
    <w:abstractNumId w:val="3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rPr>
  </w:style>
  <w:style w:type="paragraph" w:customStyle="1" w:styleId="ZB">
    <w:name w:val="ZB"/>
    <w:qFormat/>
    <w:pPr>
      <w:widowControl w:val="0"/>
      <w:spacing w:after="160" w:line="259" w:lineRule="auto"/>
      <w:ind w:right="28"/>
      <w:jc w:val="right"/>
    </w:pPr>
    <w:rPr>
      <w:rFonts w:ascii="Arial" w:eastAsia="바탕" w:hAnsi="Arial" w:cs="Times New Roman"/>
      <w:i/>
      <w:lang w:val="en-GB"/>
    </w:rPr>
  </w:style>
  <w:style w:type="paragraph" w:customStyle="1" w:styleId="ZT">
    <w:name w:val="ZT"/>
    <w:qFormat/>
    <w:pPr>
      <w:widowControl w:val="0"/>
      <w:spacing w:after="160" w:line="240" w:lineRule="atLeast"/>
      <w:jc w:val="right"/>
    </w:pPr>
    <w:rPr>
      <w:rFonts w:ascii="Arial" w:eastAsia="바탕"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261E1-A5B9-43DA-9F6E-9164236F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15168</Words>
  <Characters>86459</Characters>
  <Application>Microsoft Office Word</Application>
  <DocSecurity>0</DocSecurity>
  <Lines>720</Lines>
  <Paragraphs>202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16</cp:revision>
  <dcterms:created xsi:type="dcterms:W3CDTF">2023-08-24T08:14:00Z</dcterms:created>
  <dcterms:modified xsi:type="dcterms:W3CDTF">2023-08-24T08:20:00Z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