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2400" w14:textId="77777777" w:rsidR="00B95B3E" w:rsidRDefault="00BE3965">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420"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421"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422"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423"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af7"/>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B76243A"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游明朝" w:hint="eastAsia"/>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游明朝" w:hint="eastAsia"/>
                <w:lang w:val="en-US" w:eastAsia="ja-JP"/>
              </w:rPr>
            </w:pPr>
            <w:r>
              <w:rPr>
                <w:rFonts w:eastAsia="游明朝" w:hint="eastAsia"/>
                <w:lang w:val="en-US" w:eastAsia="ja-JP"/>
              </w:rPr>
              <w:t>maki.shotaro@jp.panasonic.com</w:t>
            </w:r>
          </w:p>
        </w:tc>
      </w:tr>
    </w:tbl>
    <w:p w14:paraId="0B762450" w14:textId="77777777" w:rsidR="00B95B3E" w:rsidRDefault="00B95B3E">
      <w:pPr>
        <w:rPr>
          <w:szCs w:val="22"/>
          <w:highlight w:val="magenta"/>
          <w:lang w:val="en-US"/>
        </w:rPr>
      </w:pPr>
    </w:p>
    <w:p w14:paraId="0B762451" w14:textId="77777777" w:rsidR="00B95B3E" w:rsidRDefault="00BE3965">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5C" w14:textId="77777777" w:rsidR="00B95B3E" w:rsidRDefault="00BE3965">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 xml:space="preserve">For UE BB complexity reduction, a UE is not expected to receive an UL grant in a RAR or in a DCI scrambled with TC-RNTI with a Msg3 PUSCH resource allocation spanning a bandwidth of more than ~5 MHz per slot or per hop, </w:t>
            </w:r>
            <w:r>
              <w:rPr>
                <w:szCs w:val="22"/>
                <w:lang w:val="en-US"/>
              </w:rPr>
              <w:lastRenderedPageBreak/>
              <w:t>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For UE BB complexity reduction, broadcast of separate SIB1/OSI (PDSCH) to Rel-18 RedCap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0B76249C" w14:textId="77777777" w:rsidR="00B95B3E" w:rsidRDefault="00BE3965">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0B76249E" w14:textId="77777777" w:rsidR="00B95B3E" w:rsidRDefault="00BE3965">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lastRenderedPageBreak/>
              <w:t>Note: it does not mean early indication is needed</w:t>
            </w:r>
          </w:p>
          <w:p w14:paraId="0B7624A1" w14:textId="77777777" w:rsidR="00B95B3E" w:rsidRDefault="00BE3965">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X = 1/0.5 ms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0B7624AB" w14:textId="77777777" w:rsidR="00B95B3E" w:rsidRDefault="00BE3965">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0B7624AD" w14:textId="77777777" w:rsidR="00B95B3E" w:rsidRDefault="00BE3965">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0B7624AE" w14:textId="77777777" w:rsidR="00B95B3E" w:rsidRDefault="00BE3965">
            <w:pPr>
              <w:numPr>
                <w:ilvl w:val="0"/>
                <w:numId w:val="19"/>
              </w:numPr>
              <w:spacing w:after="0" w:line="240" w:lineRule="auto"/>
              <w:jc w:val="left"/>
              <w:rPr>
                <w:lang w:val="en-US"/>
              </w:rPr>
            </w:pPr>
            <w:r>
              <w:rPr>
                <w:lang w:val="en-US"/>
              </w:rPr>
              <w:t>Additional early indication in MsgA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B7624BE"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C4" w14:textId="77777777" w:rsidR="00B95B3E" w:rsidRDefault="00BE3965">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0B7624C5"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0B7624C6" w14:textId="77777777" w:rsidR="00B95B3E" w:rsidRDefault="00BE3965">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B7624C8"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B7624C9"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no need to relax the requirements on simultaneous reception of two </w:t>
            </w:r>
            <w:r>
              <w:rPr>
                <w:rFonts w:ascii="Times" w:hAnsi="Times"/>
                <w:szCs w:val="24"/>
                <w:lang w:val="en-US"/>
              </w:rPr>
              <w:lastRenderedPageBreak/>
              <w:t>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D2"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C" w14:textId="77777777" w:rsidR="00B95B3E" w:rsidRDefault="00BE3965">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B7624E8"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afe"/>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afe"/>
        <w:numPr>
          <w:ilvl w:val="0"/>
          <w:numId w:val="22"/>
        </w:numPr>
        <w:jc w:val="left"/>
        <w:rPr>
          <w:sz w:val="20"/>
          <w:szCs w:val="20"/>
          <w:lang w:val="en-US"/>
        </w:rPr>
      </w:pPr>
      <w:r>
        <w:rPr>
          <w:sz w:val="20"/>
          <w:szCs w:val="20"/>
          <w:lang w:val="en-US"/>
        </w:rPr>
        <w:t xml:space="preserve">Case 2d: Between reception of MsgB PDSCH scheduled by MSGB-RNTI with RAPID which is not associated with the corresponding PRACH transmission from the UE and transmission of only PRACH according to </w:t>
      </w:r>
      <w:r>
        <w:rPr>
          <w:sz w:val="20"/>
          <w:szCs w:val="20"/>
          <w:lang w:val="en-US"/>
        </w:rPr>
        <w:lastRenderedPageBreak/>
        <w:t>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138F86FB" w14:textId="787CC1CD" w:rsidR="00D13DD7" w:rsidRPr="00D13DD7" w:rsidRDefault="00D13DD7" w:rsidP="00FE13C9">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B95B3E" w14:paraId="0B76250A" w14:textId="77777777">
        <w:tc>
          <w:tcPr>
            <w:tcW w:w="1479" w:type="dxa"/>
          </w:tcPr>
          <w:p w14:paraId="0B762507" w14:textId="77777777" w:rsidR="00B95B3E" w:rsidRDefault="00B95B3E">
            <w:pPr>
              <w:jc w:val="left"/>
              <w:rPr>
                <w:rFonts w:eastAsiaTheme="minorEastAsia"/>
                <w:lang w:val="en-US" w:eastAsia="zh-CN"/>
              </w:rPr>
            </w:pPr>
          </w:p>
        </w:tc>
        <w:tc>
          <w:tcPr>
            <w:tcW w:w="1372" w:type="dxa"/>
          </w:tcPr>
          <w:p w14:paraId="0B762508" w14:textId="77777777" w:rsidR="00B95B3E" w:rsidRDefault="00B95B3E">
            <w:pPr>
              <w:tabs>
                <w:tab w:val="left" w:pos="551"/>
              </w:tabs>
              <w:jc w:val="left"/>
              <w:rPr>
                <w:rFonts w:eastAsiaTheme="minorEastAsia"/>
                <w:lang w:val="en-US" w:eastAsia="zh-CN"/>
              </w:rPr>
            </w:pPr>
          </w:p>
        </w:tc>
        <w:tc>
          <w:tcPr>
            <w:tcW w:w="6780" w:type="dxa"/>
          </w:tcPr>
          <w:p w14:paraId="0B762509" w14:textId="77777777" w:rsidR="00B95B3E" w:rsidRDefault="00B95B3E">
            <w:pPr>
              <w:jc w:val="left"/>
              <w:rPr>
                <w:rFonts w:eastAsiaTheme="minorEastAsia"/>
                <w:lang w:val="en-US" w:eastAsia="zh-CN"/>
              </w:rPr>
            </w:pP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30"/>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ＭＳ 明朝"/>
          <w:bCs/>
          <w:lang w:val="en-US"/>
        </w:rPr>
      </w:pPr>
      <w:r>
        <w:rPr>
          <w:rFonts w:eastAsia="ＭＳ 明朝"/>
          <w:bCs/>
          <w:lang w:val="en-US"/>
        </w:rPr>
        <w:t>There is an FFS regarding Msg4 in the following conclusion for simultaneous reception during autonomous SI acquisition:</w:t>
      </w:r>
    </w:p>
    <w:tbl>
      <w:tblPr>
        <w:tblStyle w:val="af7"/>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519"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51C" w14:textId="77777777" w:rsidR="00B95B3E" w:rsidRDefault="00B95B3E">
            <w:pPr>
              <w:spacing w:after="0" w:line="240" w:lineRule="auto"/>
              <w:jc w:val="left"/>
              <w:rPr>
                <w:rFonts w:eastAsia="DengXian"/>
                <w:lang w:val="en-US" w:eastAsia="zh-CN"/>
              </w:rPr>
            </w:pPr>
          </w:p>
        </w:tc>
      </w:tr>
    </w:tbl>
    <w:p w14:paraId="0B76251E" w14:textId="77777777" w:rsidR="00B95B3E" w:rsidRDefault="00BE3965">
      <w:pPr>
        <w:spacing w:afterLines="50" w:after="120"/>
        <w:rPr>
          <w:rFonts w:eastAsia="ＭＳ 明朝"/>
          <w:bCs/>
          <w:lang w:val="en-US"/>
        </w:rPr>
      </w:pPr>
      <w:r>
        <w:rPr>
          <w:rFonts w:eastAsia="ＭＳ 明朝"/>
          <w:bCs/>
          <w:lang w:val="en-US"/>
        </w:rPr>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lastRenderedPageBreak/>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SpCell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successful; </w:t>
            </w:r>
          </w:p>
          <w:p w14:paraId="0B76252F" w14:textId="77777777" w:rsidR="00B95B3E" w:rsidRDefault="00BE3965">
            <w:pPr>
              <w:jc w:val="left"/>
              <w:rPr>
                <w:rFonts w:eastAsiaTheme="minorEastAsia"/>
                <w:lang w:eastAsia="zh-CN"/>
              </w:rPr>
            </w:pPr>
            <w:r>
              <w:rPr>
                <w:rFonts w:eastAsiaTheme="minorEastAsia"/>
                <w:lang w:eastAsia="zh-CN"/>
              </w:rPr>
              <w:t xml:space="preserve">4&gt; stop ra-ContentionResolutionTimer; </w:t>
            </w:r>
          </w:p>
          <w:p w14:paraId="0B762530" w14:textId="77777777" w:rsidR="00B95B3E" w:rsidRDefault="00BE3965">
            <w:pPr>
              <w:jc w:val="left"/>
              <w:rPr>
                <w:rFonts w:eastAsiaTheme="minorEastAsia"/>
                <w:lang w:eastAsia="zh-CN"/>
              </w:rPr>
            </w:pPr>
            <w:r>
              <w:rPr>
                <w:rFonts w:eastAsiaTheme="minorEastAsia"/>
                <w:lang w:eastAsia="zh-CN"/>
              </w:rPr>
              <w:t xml:space="preserve">4&gt; discard the TEMPORARY_C-RNTI; </w:t>
            </w:r>
          </w:p>
          <w:p w14:paraId="0B762531" w14:textId="77777777" w:rsidR="00B95B3E" w:rsidRDefault="00BE3965">
            <w:pPr>
              <w:jc w:val="left"/>
              <w:rPr>
                <w:rFonts w:eastAsiaTheme="minorEastAsia"/>
                <w:lang w:eastAsia="zh-CN"/>
              </w:rPr>
            </w:pPr>
            <w:r>
              <w:rPr>
                <w:rFonts w:eastAsiaTheme="minorEastAsia"/>
                <w:lang w:eastAsia="zh-CN"/>
              </w:rPr>
              <w:t>4&gt; consider this Random Access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specify, if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bl>
    <w:p w14:paraId="0B76253C" w14:textId="77777777" w:rsidR="00B95B3E" w:rsidRDefault="00B95B3E">
      <w:pPr>
        <w:rPr>
          <w:lang w:val="en-US"/>
        </w:rPr>
      </w:pPr>
    </w:p>
    <w:p w14:paraId="0B76253D" w14:textId="77777777" w:rsidR="00B95B3E" w:rsidRDefault="00BE3965">
      <w:pPr>
        <w:pStyle w:val="30"/>
        <w:numPr>
          <w:ilvl w:val="2"/>
          <w:numId w:val="23"/>
        </w:numPr>
        <w:tabs>
          <w:tab w:val="clear" w:pos="360"/>
          <w:tab w:val="clear" w:pos="772"/>
          <w:tab w:val="clear" w:pos="926"/>
        </w:tabs>
        <w:ind w:left="1134" w:hanging="1134"/>
      </w:pPr>
      <w:r>
        <w:lastRenderedPageBreak/>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af7"/>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540" w14:textId="77777777" w:rsidR="00B95B3E" w:rsidRDefault="00BE3965">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afe"/>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afe"/>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afe"/>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afe"/>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afe"/>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afe"/>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afe"/>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afe"/>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afe"/>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afe"/>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afe"/>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afe"/>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afe"/>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afe"/>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afe"/>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In the following question, the options have been updated in an attempt to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afe"/>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afe"/>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afe"/>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afe"/>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afe"/>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afe"/>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afe"/>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afe"/>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w:t>
      </w:r>
      <w:r>
        <w:rPr>
          <w:b/>
          <w:bCs/>
          <w:color w:val="FF0000"/>
          <w:sz w:val="20"/>
          <w:szCs w:val="22"/>
          <w:lang w:val="en-US"/>
        </w:rPr>
        <w:lastRenderedPageBreak/>
        <w:t>receives at least one of them. If the UE does not receive the PDSCH scheduled with C-RNTI/MCS-C-RNTI/CS-RNTI, it transmits NACK.</w:t>
      </w:r>
    </w:p>
    <w:p w14:paraId="0B762562" w14:textId="77777777" w:rsidR="00B95B3E" w:rsidRDefault="00BE3965">
      <w:pPr>
        <w:pStyle w:val="afe"/>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afe"/>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afe"/>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afe"/>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afe"/>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afe"/>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afe"/>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afe"/>
        <w:numPr>
          <w:ilvl w:val="0"/>
          <w:numId w:val="25"/>
        </w:numPr>
        <w:jc w:val="left"/>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afe"/>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afe"/>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526" w:type="dxa"/>
          </w:tcPr>
          <w:p w14:paraId="63E18CAD" w14:textId="7131320D" w:rsidR="003B2019" w:rsidRDefault="003B2019" w:rsidP="003B2019">
            <w:pPr>
              <w:tabs>
                <w:tab w:val="left" w:pos="551"/>
              </w:tabs>
              <w:jc w:val="left"/>
              <w:rPr>
                <w:rFonts w:eastAsiaTheme="minorEastAsia" w:hint="eastAsia"/>
                <w:lang w:val="en-US" w:eastAsia="zh-CN"/>
              </w:rPr>
            </w:pPr>
            <w:r>
              <w:rPr>
                <w:rFonts w:eastAsia="游明朝"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hint="eastAsia"/>
                <w:lang w:val="en-US" w:eastAsia="zh-CN"/>
              </w:rPr>
            </w:pPr>
            <w:r>
              <w:rPr>
                <w:rFonts w:eastAsia="游明朝"/>
                <w:lang w:val="en-US" w:eastAsia="ja-JP"/>
              </w:rPr>
              <w:t>0</w:t>
            </w:r>
          </w:p>
        </w:tc>
        <w:tc>
          <w:tcPr>
            <w:tcW w:w="526" w:type="dxa"/>
          </w:tcPr>
          <w:p w14:paraId="1FB1F8FD" w14:textId="2417E43F" w:rsidR="003B2019" w:rsidRDefault="003B2019" w:rsidP="003B2019">
            <w:pPr>
              <w:tabs>
                <w:tab w:val="left" w:pos="551"/>
              </w:tabs>
              <w:jc w:val="left"/>
              <w:rPr>
                <w:rFonts w:eastAsiaTheme="minorEastAsia" w:hint="eastAsia"/>
                <w:lang w:val="en-US" w:eastAsia="zh-CN"/>
              </w:rPr>
            </w:pPr>
            <w:r>
              <w:rPr>
                <w:rFonts w:eastAsia="游明朝"/>
                <w:lang w:val="en-US" w:eastAsia="ja-JP"/>
              </w:rPr>
              <w:t>0</w:t>
            </w:r>
          </w:p>
        </w:tc>
        <w:tc>
          <w:tcPr>
            <w:tcW w:w="525" w:type="dxa"/>
          </w:tcPr>
          <w:p w14:paraId="09A9C952" w14:textId="439C14E9" w:rsidR="003B2019" w:rsidRDefault="003B2019" w:rsidP="003B2019">
            <w:pPr>
              <w:tabs>
                <w:tab w:val="left" w:pos="551"/>
              </w:tabs>
              <w:jc w:val="left"/>
              <w:rPr>
                <w:rFonts w:eastAsiaTheme="minorEastAsia" w:hint="eastAsia"/>
                <w:lang w:val="en-US" w:eastAsia="zh-CN"/>
              </w:rPr>
            </w:pPr>
            <w:r>
              <w:rPr>
                <w:rFonts w:eastAsia="游明朝"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hint="eastAsia"/>
                <w:lang w:val="en-US" w:eastAsia="zh-CN"/>
              </w:rPr>
            </w:pPr>
            <w:r>
              <w:rPr>
                <w:rFonts w:eastAsia="游明朝"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hint="eastAsia"/>
                <w:lang w:val="en-US" w:eastAsia="zh-CN"/>
              </w:rPr>
            </w:pPr>
            <w:r>
              <w:rPr>
                <w:rFonts w:eastAsia="游明朝"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hint="eastAsia"/>
                <w:lang w:val="en-US" w:eastAsia="zh-CN"/>
              </w:rPr>
            </w:pPr>
            <w:r>
              <w:rPr>
                <w:rFonts w:eastAsia="游明朝" w:hint="eastAsia"/>
                <w:lang w:val="en-US" w:eastAsia="ja-JP"/>
              </w:rPr>
              <w:t>-</w:t>
            </w:r>
            <w:r>
              <w:rPr>
                <w:rFonts w:eastAsia="游明朝"/>
                <w:lang w:val="en-US" w:eastAsia="ja-JP"/>
              </w:rPr>
              <w:t>1</w:t>
            </w:r>
          </w:p>
        </w:tc>
        <w:tc>
          <w:tcPr>
            <w:tcW w:w="4475" w:type="dxa"/>
          </w:tcPr>
          <w:p w14:paraId="54DC01AD" w14:textId="63180536" w:rsidR="003B2019" w:rsidRDefault="003B2019" w:rsidP="003B2019">
            <w:pPr>
              <w:jc w:val="left"/>
              <w:rPr>
                <w:rFonts w:eastAsiaTheme="minorEastAsia" w:hint="eastAsia"/>
                <w:lang w:val="en-US" w:eastAsia="zh-CN"/>
              </w:rPr>
            </w:pPr>
            <w:r>
              <w:rPr>
                <w:rFonts w:eastAsia="游明朝"/>
                <w:lang w:val="en-US" w:eastAsia="ja-JP"/>
              </w:rPr>
              <w:t>Options 2a/2b/2c are OK. But we would not support to skip both unicast in slot n and n+1. The UE would be able to decode one of them since the SI does not require the immediate decoding.</w:t>
            </w:r>
          </w:p>
        </w:tc>
      </w:tr>
    </w:tbl>
    <w:p w14:paraId="0B76259B" w14:textId="77777777" w:rsidR="00B95B3E" w:rsidRDefault="00B95B3E">
      <w:pPr>
        <w:rPr>
          <w:lang w:val="en-US"/>
        </w:rPr>
      </w:pPr>
    </w:p>
    <w:p w14:paraId="0B76259C" w14:textId="77777777" w:rsidR="00B95B3E" w:rsidRDefault="00BE3965">
      <w:pPr>
        <w:pStyle w:val="30"/>
        <w:numPr>
          <w:ilvl w:val="2"/>
          <w:numId w:val="23"/>
        </w:numPr>
        <w:tabs>
          <w:tab w:val="clear" w:pos="360"/>
          <w:tab w:val="clear" w:pos="772"/>
          <w:tab w:val="clear" w:pos="926"/>
        </w:tabs>
        <w:ind w:left="1134" w:hanging="1134"/>
      </w:pPr>
      <w:r>
        <w:t>Msg2/MsgB reception</w:t>
      </w:r>
    </w:p>
    <w:p w14:paraId="0B76259D" w14:textId="77777777" w:rsidR="00B95B3E" w:rsidRDefault="00BE3965">
      <w:pPr>
        <w:rPr>
          <w:lang w:val="en-US"/>
        </w:rPr>
      </w:pPr>
      <w:r>
        <w:rPr>
          <w:lang w:val="en-US"/>
        </w:rPr>
        <w:t>Contributions [13, 15, 17, 18, 20, 23, 32, 34] discuss prioritization of Msg2/MsgB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afe"/>
              <w:numPr>
                <w:ilvl w:val="0"/>
                <w:numId w:val="27"/>
              </w:numPr>
              <w:jc w:val="left"/>
              <w:rPr>
                <w:rFonts w:eastAsiaTheme="minorEastAsia"/>
                <w:b/>
                <w:lang w:val="en-US" w:eastAsia="zh-CN"/>
              </w:rPr>
            </w:pPr>
            <w:r>
              <w:rPr>
                <w:rFonts w:ascii="Times New Roman" w:hAnsi="Times New Roman" w:cs="Times New Roman"/>
                <w:b/>
                <w:sz w:val="20"/>
                <w:szCs w:val="20"/>
              </w:rPr>
              <w:t xml:space="preserve">in the same slot (i.e., slot n) if the PDSCH scheduled with RA-RNTI or MSGB-RNTI is </w:t>
            </w:r>
            <w:r>
              <w:rPr>
                <w:rFonts w:ascii="Times New Roman" w:hAnsi="Times New Roman" w:cs="Times New Roman"/>
                <w:b/>
                <w:color w:val="C00000"/>
                <w:sz w:val="20"/>
                <w:szCs w:val="20"/>
                <w:u w:val="single"/>
              </w:rPr>
              <w:t>partially or fully overlap in time</w:t>
            </w:r>
            <w:r>
              <w:rPr>
                <w:rFonts w:ascii="Times New Roman" w:hAnsi="Times New Roman" w:cs="Times New Roman"/>
                <w:b/>
                <w:sz w:val="20"/>
                <w:szCs w:val="20"/>
              </w:rPr>
              <w:t xml:space="preserve"> </w:t>
            </w:r>
            <w:r>
              <w:rPr>
                <w:rFonts w:ascii="Times New Roman" w:hAnsi="Times New Roman" w:cs="Times New Roman"/>
                <w:b/>
                <w:strike/>
                <w:color w:val="C00000"/>
                <w:sz w:val="20"/>
                <w:szCs w:val="20"/>
              </w:rPr>
              <w:t>not greater than 25/12 PRBs with 15/30kHz SCS</w:t>
            </w:r>
            <w:r>
              <w:rPr>
                <w:rFonts w:ascii="Times New Roman" w:hAnsi="Times New Roman" w:cs="Times New Roman"/>
                <w:b/>
                <w:sz w:val="20"/>
                <w:szCs w:val="20"/>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 xml:space="preserve">the PDSCH scheduled with RA-RNTI or MSGB-RNTI is not </w:t>
            </w:r>
            <w:r w:rsidRPr="00E0506C">
              <w:rPr>
                <w:rFonts w:eastAsiaTheme="minorEastAsia"/>
                <w:lang w:val="en-US" w:eastAsia="zh-CN"/>
              </w:rPr>
              <w:lastRenderedPageBreak/>
              <w:t>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bl>
    <w:p w14:paraId="0B7625B2" w14:textId="77777777" w:rsidR="00B95B3E" w:rsidRDefault="00B95B3E">
      <w:pPr>
        <w:rPr>
          <w:lang w:val="en-US" w:eastAsia="sv-SE"/>
        </w:rPr>
      </w:pPr>
    </w:p>
    <w:p w14:paraId="0B7625B3" w14:textId="77777777" w:rsidR="00B95B3E" w:rsidRDefault="00BE3965">
      <w:pPr>
        <w:pStyle w:val="30"/>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77777777" w:rsidR="00B95B3E" w:rsidRDefault="00B95B3E">
            <w:pPr>
              <w:jc w:val="left"/>
              <w:rPr>
                <w:rFonts w:eastAsiaTheme="minorEastAsia"/>
                <w:lang w:val="en-US" w:eastAsia="zh-CN"/>
              </w:rPr>
            </w:pP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77777777" w:rsidR="00B95B3E" w:rsidRDefault="00B95B3E">
            <w:pPr>
              <w:jc w:val="left"/>
              <w:rPr>
                <w:rFonts w:eastAsiaTheme="minorEastAsia"/>
                <w:lang w:val="en-US" w:eastAsia="zh-CN"/>
              </w:rPr>
            </w:pPr>
          </w:p>
        </w:tc>
      </w:tr>
      <w:tr w:rsidR="00B95B3E" w14:paraId="0B7625C5" w14:textId="77777777">
        <w:tc>
          <w:tcPr>
            <w:tcW w:w="1479" w:type="dxa"/>
          </w:tcPr>
          <w:p w14:paraId="0B7625C2" w14:textId="77777777" w:rsidR="00B95B3E" w:rsidRDefault="00B95B3E">
            <w:pPr>
              <w:jc w:val="left"/>
              <w:rPr>
                <w:rFonts w:eastAsiaTheme="minorEastAsia"/>
                <w:lang w:val="en-US" w:eastAsia="zh-CN"/>
              </w:rPr>
            </w:pPr>
          </w:p>
        </w:tc>
        <w:tc>
          <w:tcPr>
            <w:tcW w:w="1372" w:type="dxa"/>
          </w:tcPr>
          <w:p w14:paraId="0B7625C3" w14:textId="77777777" w:rsidR="00B95B3E" w:rsidRDefault="00B95B3E">
            <w:pPr>
              <w:tabs>
                <w:tab w:val="left" w:pos="551"/>
              </w:tabs>
              <w:jc w:val="left"/>
              <w:rPr>
                <w:rFonts w:eastAsiaTheme="minorEastAsia"/>
                <w:lang w:val="en-US" w:eastAsia="zh-CN"/>
              </w:rPr>
            </w:pPr>
          </w:p>
        </w:tc>
        <w:tc>
          <w:tcPr>
            <w:tcW w:w="6780" w:type="dxa"/>
          </w:tcPr>
          <w:p w14:paraId="0B7625C4" w14:textId="77777777" w:rsidR="00B95B3E" w:rsidRDefault="00B95B3E">
            <w:pPr>
              <w:jc w:val="left"/>
              <w:rPr>
                <w:rFonts w:eastAsiaTheme="minorEastAsia"/>
                <w:lang w:val="en-US" w:eastAsia="zh-CN"/>
              </w:rPr>
            </w:pP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0B7625C8" w14:textId="77777777" w:rsidR="00B95B3E" w:rsidRDefault="00BE3965">
      <w:r>
        <w:rPr>
          <w:rFonts w:eastAsia="SimSun"/>
        </w:rPr>
        <w:t xml:space="preserve">Contributions [17, 21, 22, 23, 28, 29, 32, 31] discuss what the UE behaviour should be </w:t>
      </w:r>
      <w:r>
        <w:t xml:space="preserve">if Msg3/MsgA PUSCH is scheduled with more </w:t>
      </w:r>
      <w:bookmarkStart w:id="4" w:name="_Hlk143261411"/>
      <w:r>
        <w:t>than 25 PRBs for 15 kHz SCS or more than 12 PRBs for 30 kHz SCS</w:t>
      </w:r>
      <w:bookmarkEnd w:id="4"/>
      <w:r>
        <w:t>.</w:t>
      </w:r>
    </w:p>
    <w:p w14:paraId="0B7625C9" w14:textId="77777777" w:rsidR="00B95B3E" w:rsidRDefault="00BE3965">
      <w:pPr>
        <w:rPr>
          <w:b/>
          <w:lang w:val="en-US"/>
        </w:rPr>
      </w:pPr>
      <w:r>
        <w:rPr>
          <w:b/>
          <w:highlight w:val="cyan"/>
          <w:lang w:val="en-US"/>
        </w:rPr>
        <w:t>FL1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0B7625CA" w14:textId="77777777" w:rsidR="00B95B3E" w:rsidRDefault="00BE3965">
      <w:pPr>
        <w:pStyle w:val="afe"/>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0B7625CB" w14:textId="77777777" w:rsidR="00B95B3E" w:rsidRDefault="00BE3965">
      <w:pPr>
        <w:pStyle w:val="afe"/>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0B7625CC" w14:textId="77777777" w:rsidR="00B95B3E" w:rsidRDefault="00BE3965">
      <w:pPr>
        <w:pStyle w:val="afe"/>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afe"/>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This question focuses on MsgA PUSCH, but if your answer is relevant also for Msg3 PUSCH, please indicate it in the comment field.</w:t>
      </w:r>
    </w:p>
    <w:tbl>
      <w:tblPr>
        <w:tblStyle w:val="af7"/>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 xml:space="preserve">It was agreed PR3 UE’s UL PUSCH cannot exceed 5Mhz. It is NW’s responsibility to make sure the scheduled/configured Msg3/MsgA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Option4, R18 RedCap UE does not expect this case.</w:t>
            </w:r>
          </w:p>
        </w:tc>
      </w:tr>
    </w:tbl>
    <w:p w14:paraId="0B7625DF" w14:textId="77777777" w:rsidR="00B95B3E"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0B7625E3" w14:textId="77777777" w:rsidR="00B95B3E" w:rsidRDefault="00BE3965">
      <w:pPr>
        <w:pStyle w:val="afe"/>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afe"/>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7"/>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afe"/>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afe"/>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bl>
    <w:p w14:paraId="0B7625F6" w14:textId="77777777" w:rsidR="00B95B3E" w:rsidRDefault="00B95B3E">
      <w:pPr>
        <w:tabs>
          <w:tab w:val="left" w:pos="1545"/>
        </w:tabs>
        <w:jc w:val="left"/>
        <w:rPr>
          <w:rFonts w:eastAsia="Microsoft YaHei UI"/>
          <w:lang w:val="en-US" w:eastAsia="zh-CN"/>
        </w:rPr>
      </w:pPr>
    </w:p>
    <w:p w14:paraId="0B7625F7" w14:textId="77777777" w:rsidR="00B95B3E" w:rsidRDefault="00BE3965">
      <w:pPr>
        <w:pStyle w:val="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612"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613"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614"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615"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afe"/>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w:t>
      </w:r>
      <w:r>
        <w:rPr>
          <w:rFonts w:ascii="Times New Roman" w:hAnsi="Times New Roman" w:cs="Times New Roman"/>
          <w:bCs/>
          <w:sz w:val="20"/>
          <w:szCs w:val="20"/>
          <w:lang w:val="en-US"/>
        </w:rPr>
        <w:lastRenderedPageBreak/>
        <w:t>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762621" w14:textId="77777777" w:rsidR="00B95B3E" w:rsidRDefault="00BE3965">
      <w:pPr>
        <w:pStyle w:val="afe"/>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of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afe"/>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7"/>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sidR="00793899">
              <w:rPr>
                <w:b/>
                <w:bCs/>
                <w:i/>
                <w:iCs/>
                <w:lang w:val="en-US"/>
              </w:rPr>
              <w:t xml:space="preserve"> </w:t>
            </w:r>
            <w:r w:rsidR="00793899" w:rsidRPr="00D2710D">
              <w:rPr>
                <w:rFonts w:eastAsiaTheme="minorEastAsia"/>
                <w:lang w:val="en-US" w:eastAsia="zh-CN"/>
              </w:rPr>
              <w:t>for</w:t>
            </w:r>
            <w:r w:rsidR="00793899">
              <w:rPr>
                <w:b/>
                <w:bCs/>
                <w:i/>
                <w:iCs/>
                <w:lang w:val="en-US"/>
              </w:rPr>
              <w:t xml:space="preserve"> </w:t>
            </w:r>
            <w:r w:rsidR="00793899" w:rsidRPr="00793899">
              <w:rPr>
                <w:rFonts w:eastAsiaTheme="minorEastAsia"/>
                <w:lang w:val="en-US" w:eastAsia="zh-CN"/>
              </w:rPr>
              <w:t>eRedCap</w:t>
            </w:r>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eRedcap.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r w:rsidRPr="009C6FB0">
              <w:rPr>
                <w:b/>
                <w:bCs/>
                <w:i/>
                <w:iCs/>
                <w:lang w:val="en-US"/>
              </w:rPr>
              <w:t>v</w:t>
            </w:r>
            <w:r w:rsidRPr="009C6FB0">
              <w:rPr>
                <w:b/>
                <w:bCs/>
                <w:i/>
                <w:iCs/>
                <w:vertAlign w:val="subscript"/>
                <w:lang w:val="en-US"/>
              </w:rPr>
              <w:t>Layers</w:t>
            </w:r>
            <w:r w:rsidRPr="009C6FB0">
              <w:rPr>
                <w:b/>
                <w:bCs/>
                <w:i/>
                <w:iCs/>
                <w:lang w:val="en-US"/>
              </w:rPr>
              <w:t>, Q</w:t>
            </w:r>
            <w:r w:rsidRPr="009C6FB0">
              <w:rPr>
                <w:b/>
                <w:bCs/>
                <w:i/>
                <w:iCs/>
                <w:vertAlign w:val="subscript"/>
                <w:lang w:val="en-US"/>
              </w:rPr>
              <w:t>m</w:t>
            </w:r>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A new f=0.375 can be introduced for vLayers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408BEBB" w14:textId="39417F7C" w:rsidR="00AF41D1" w:rsidRDefault="00AF41D1" w:rsidP="00AF41D1">
            <w:pPr>
              <w:jc w:val="left"/>
              <w:rPr>
                <w:rFonts w:eastAsiaTheme="minorEastAsia" w:hint="eastAsia"/>
                <w:lang w:val="en-US" w:eastAsia="zh-CN"/>
              </w:rPr>
            </w:pPr>
            <w:r>
              <w:rPr>
                <w:rFonts w:eastAsia="游明朝" w:hint="eastAsia"/>
                <w:lang w:val="en-US" w:eastAsia="ja-JP"/>
              </w:rPr>
              <w:t>T</w:t>
            </w:r>
            <w:r>
              <w:rPr>
                <w:rFonts w:eastAsia="游明朝"/>
                <w:lang w:val="en-US" w:eastAsia="ja-JP"/>
              </w:rPr>
              <w:t xml:space="preserve">he reporting parameters of </w:t>
            </w:r>
            <w:r w:rsidRPr="009C6FB0">
              <w:rPr>
                <w:b/>
                <w:bCs/>
                <w:i/>
                <w:iCs/>
                <w:lang w:val="en-US"/>
              </w:rPr>
              <w:t>Q</w:t>
            </w:r>
            <w:r w:rsidRPr="009C6FB0">
              <w:rPr>
                <w:b/>
                <w:bCs/>
                <w:i/>
                <w:iCs/>
                <w:vertAlign w:val="subscript"/>
                <w:lang w:val="en-US"/>
              </w:rPr>
              <w:t>m</w:t>
            </w:r>
            <w:r w:rsidRPr="009C6FB0">
              <w:rPr>
                <w:b/>
                <w:bCs/>
                <w:i/>
                <w:iCs/>
                <w:lang w:val="en-US"/>
              </w:rPr>
              <w:t>, f</w:t>
            </w:r>
            <w:r>
              <w:rPr>
                <w:rFonts w:eastAsia="游明朝"/>
                <w:lang w:val="en-US" w:eastAsia="ja-JP"/>
              </w:rPr>
              <w:t xml:space="preserve"> are both optional since Rel-15, thus omitting the reporting would not impact RAN2.</w:t>
            </w: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0B762639" w14:textId="77777777" w:rsidR="00B95B3E" w:rsidRDefault="00BE3965">
      <w:pPr>
        <w:pStyle w:val="afe"/>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afe"/>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afe"/>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7"/>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lastRenderedPageBreak/>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afe"/>
              <w:numPr>
                <w:ilvl w:val="0"/>
                <w:numId w:val="36"/>
              </w:numPr>
              <w:spacing w:after="0" w:line="240" w:lineRule="auto"/>
              <w:contextualSpacing w:val="0"/>
              <w:jc w:val="left"/>
              <w:rPr>
                <w:rFonts w:eastAsia="Times New Roman"/>
                <w:sz w:val="20"/>
                <w:szCs w:val="20"/>
                <w:lang w:val="en-US"/>
              </w:rPr>
            </w:pPr>
            <w:r w:rsidRPr="001C5A3C">
              <w:rPr>
                <w:sz w:val="20"/>
                <w:szCs w:val="20"/>
              </w:rPr>
              <w:t xml:space="preserve">2Rx can support same data rate with lower SNR (3dB Rx combining gain), so there is clear benefit of 2 Rx. </w:t>
            </w:r>
          </w:p>
          <w:p w14:paraId="6137A4EC" w14:textId="77777777" w:rsidR="001C5A3C" w:rsidRPr="001C5A3C" w:rsidRDefault="001C5A3C" w:rsidP="001C5A3C">
            <w:pPr>
              <w:pStyle w:val="afe"/>
              <w:numPr>
                <w:ilvl w:val="0"/>
                <w:numId w:val="36"/>
              </w:numPr>
              <w:spacing w:after="0" w:line="240" w:lineRule="auto"/>
              <w:contextualSpacing w:val="0"/>
              <w:jc w:val="left"/>
              <w:rPr>
                <w:sz w:val="20"/>
                <w:szCs w:val="20"/>
              </w:rPr>
            </w:pPr>
            <w:r w:rsidRPr="001C5A3C">
              <w:rPr>
                <w:sz w:val="20"/>
                <w:szCs w:val="20"/>
              </w:rPr>
              <w:t xml:space="preserve">In terms of peak rate (or any data rate), 2L MIMO can support it with half bandwidth (by doubling spectrum efficiency). 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hint="eastAsia"/>
                <w:lang w:val="en-US" w:eastAsia="zh-CN"/>
              </w:rPr>
            </w:pPr>
            <w:r>
              <w:rPr>
                <w:rFonts w:eastAsia="游明朝"/>
                <w:lang w:val="en-US" w:eastAsia="ja-JP"/>
              </w:rPr>
              <w:t>None</w:t>
            </w:r>
          </w:p>
        </w:tc>
        <w:tc>
          <w:tcPr>
            <w:tcW w:w="6780" w:type="dxa"/>
          </w:tcPr>
          <w:p w14:paraId="1D017C45" w14:textId="6A827781" w:rsidR="00D813D4" w:rsidRDefault="00D813D4" w:rsidP="00D813D4">
            <w:pPr>
              <w:jc w:val="left"/>
              <w:rPr>
                <w:rFonts w:eastAsiaTheme="minorEastAsia" w:hint="eastAsia"/>
                <w:lang w:val="en-US" w:eastAsia="zh-CN"/>
              </w:rPr>
            </w:pPr>
            <w:r>
              <w:rPr>
                <w:rFonts w:eastAsia="游明朝" w:hint="eastAsia"/>
                <w:lang w:val="en-US" w:eastAsia="ja-JP"/>
              </w:rPr>
              <w:t>C</w:t>
            </w:r>
            <w:r>
              <w:rPr>
                <w:rFonts w:eastAsia="游明朝"/>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bl>
    <w:p w14:paraId="0B76264C" w14:textId="77777777" w:rsidR="00B95B3E" w:rsidRDefault="00B95B3E">
      <w:pPr>
        <w:rPr>
          <w:lang w:val="en-US" w:eastAsia="zh-CN"/>
        </w:rPr>
      </w:pPr>
    </w:p>
    <w:p w14:paraId="0B76264D" w14:textId="77777777" w:rsidR="00B95B3E" w:rsidRDefault="00BE3965">
      <w:pPr>
        <w:pStyle w:val="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Default="00BE3965">
      <w:pPr>
        <w:pStyle w:val="afe"/>
        <w:numPr>
          <w:ilvl w:val="0"/>
          <w:numId w:val="33"/>
        </w:numPr>
        <w:jc w:val="left"/>
        <w:rPr>
          <w:b/>
          <w:sz w:val="20"/>
          <w:szCs w:val="22"/>
        </w:rPr>
      </w:pPr>
      <w:r>
        <w:rPr>
          <w:b/>
          <w:sz w:val="20"/>
          <w:szCs w:val="22"/>
          <w:lang w:val="en-US"/>
        </w:rPr>
        <w:t>Contribution [</w:t>
      </w:r>
      <w:hyperlink r:id="rId13" w:history="1">
        <w:r>
          <w:rPr>
            <w:rStyle w:val="afa"/>
            <w:b/>
            <w:sz w:val="20"/>
            <w:szCs w:val="22"/>
          </w:rPr>
          <w:t>9</w:t>
        </w:r>
      </w:hyperlink>
      <w:r>
        <w:rPr>
          <w:b/>
          <w:sz w:val="20"/>
          <w:szCs w:val="22"/>
          <w:lang w:val="en-US"/>
        </w:rPr>
        <w:t>] proposes to revert</w:t>
      </w:r>
      <w:r>
        <w:rPr>
          <w:b/>
          <w:sz w:val="20"/>
          <w:szCs w:val="22"/>
        </w:rPr>
        <w:t xml:space="preserve"> clause 17.1 title in the 38.213 draft specification to “RedCap procedures” to reflect that the clause applies to both Rel-17 and Rel-18 RedCap UEs.</w:t>
      </w:r>
    </w:p>
    <w:tbl>
      <w:tblPr>
        <w:tblStyle w:val="af7"/>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B95B3E" w14:paraId="0B762658" w14:textId="77777777">
        <w:tc>
          <w:tcPr>
            <w:tcW w:w="1479" w:type="dxa"/>
          </w:tcPr>
          <w:p w14:paraId="0B762655" w14:textId="77777777" w:rsidR="00B95B3E" w:rsidRDefault="00B95B3E">
            <w:pPr>
              <w:jc w:val="left"/>
              <w:rPr>
                <w:rFonts w:eastAsiaTheme="minorEastAsia"/>
                <w:lang w:val="en-US" w:eastAsia="zh-CN"/>
              </w:rPr>
            </w:pPr>
          </w:p>
        </w:tc>
        <w:tc>
          <w:tcPr>
            <w:tcW w:w="1372" w:type="dxa"/>
          </w:tcPr>
          <w:p w14:paraId="0B762656" w14:textId="77777777" w:rsidR="00B95B3E" w:rsidRDefault="00B95B3E">
            <w:pPr>
              <w:tabs>
                <w:tab w:val="left" w:pos="551"/>
              </w:tabs>
              <w:jc w:val="left"/>
              <w:rPr>
                <w:rFonts w:eastAsiaTheme="minorEastAsia"/>
                <w:lang w:val="en-US" w:eastAsia="zh-CN"/>
              </w:rPr>
            </w:pPr>
          </w:p>
        </w:tc>
        <w:tc>
          <w:tcPr>
            <w:tcW w:w="6780" w:type="dxa"/>
          </w:tcPr>
          <w:p w14:paraId="0B762657" w14:textId="77777777" w:rsidR="00B95B3E" w:rsidRDefault="00B95B3E">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Default="00BE3965">
      <w:pPr>
        <w:pStyle w:val="afe"/>
        <w:numPr>
          <w:ilvl w:val="0"/>
          <w:numId w:val="33"/>
        </w:numPr>
        <w:jc w:val="left"/>
        <w:rPr>
          <w:b/>
          <w:sz w:val="20"/>
          <w:szCs w:val="22"/>
        </w:rPr>
      </w:pPr>
      <w:r>
        <w:rPr>
          <w:b/>
          <w:sz w:val="20"/>
          <w:szCs w:val="22"/>
          <w:lang w:val="en-US"/>
        </w:rPr>
        <w:lastRenderedPageBreak/>
        <w:t>Contribution [</w:t>
      </w:r>
      <w:hyperlink r:id="rId14" w:history="1">
        <w:r>
          <w:rPr>
            <w:rStyle w:val="afa"/>
            <w:b/>
            <w:sz w:val="20"/>
            <w:szCs w:val="22"/>
          </w:rPr>
          <w:t>24</w:t>
        </w:r>
      </w:hyperlink>
      <w:r>
        <w:rPr>
          <w:b/>
          <w:sz w:val="20"/>
          <w:szCs w:val="22"/>
          <w:lang w:val="en-US"/>
        </w:rPr>
        <w:t xml:space="preserve">] proposes to </w:t>
      </w:r>
      <w:r>
        <w:rPr>
          <w:b/>
          <w:sz w:val="20"/>
          <w:szCs w:val="22"/>
        </w:rPr>
        <w:t xml:space="preserve">specify </w:t>
      </w:r>
      <w:r>
        <w:rPr>
          <w:b/>
          <w:sz w:val="20"/>
          <w:szCs w:val="22"/>
          <w:lang w:val="en-US"/>
        </w:rPr>
        <w:t xml:space="preserve">in 38.214 </w:t>
      </w:r>
      <w:r>
        <w:rPr>
          <w:b/>
          <w:sz w:val="20"/>
          <w:szCs w:val="22"/>
        </w:rPr>
        <w:t>that the maximum 25 PRBs for 15 kHz SCS and 12 PRBs for 30 kHz SCS for PUSCH and PDSCH allocated to the 5MHz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B95B3E" w14:paraId="0B76266B" w14:textId="77777777">
        <w:tc>
          <w:tcPr>
            <w:tcW w:w="1479" w:type="dxa"/>
          </w:tcPr>
          <w:p w14:paraId="0B762668" w14:textId="77777777" w:rsidR="00B95B3E" w:rsidRDefault="00B95B3E">
            <w:pPr>
              <w:jc w:val="left"/>
              <w:rPr>
                <w:rFonts w:eastAsiaTheme="minorEastAsia"/>
                <w:lang w:val="en-US" w:eastAsia="zh-CN"/>
              </w:rPr>
            </w:pPr>
          </w:p>
        </w:tc>
        <w:tc>
          <w:tcPr>
            <w:tcW w:w="1372" w:type="dxa"/>
          </w:tcPr>
          <w:p w14:paraId="0B762669" w14:textId="77777777" w:rsidR="00B95B3E" w:rsidRDefault="00B95B3E">
            <w:pPr>
              <w:tabs>
                <w:tab w:val="left" w:pos="551"/>
              </w:tabs>
              <w:jc w:val="left"/>
              <w:rPr>
                <w:rFonts w:eastAsiaTheme="minorEastAsia"/>
                <w:lang w:val="en-US" w:eastAsia="zh-CN"/>
              </w:rPr>
            </w:pPr>
          </w:p>
        </w:tc>
        <w:tc>
          <w:tcPr>
            <w:tcW w:w="6780" w:type="dxa"/>
          </w:tcPr>
          <w:p w14:paraId="0B76266A" w14:textId="77777777" w:rsidR="00B95B3E" w:rsidRDefault="00B95B3E">
            <w:pPr>
              <w:jc w:val="left"/>
              <w:rPr>
                <w:rFonts w:eastAsiaTheme="minorEastAsia"/>
                <w:lang w:val="en-US" w:eastAsia="zh-CN"/>
              </w:rPr>
            </w:pPr>
          </w:p>
        </w:tc>
      </w:tr>
      <w:tr w:rsidR="00B95B3E" w14:paraId="0B76266F" w14:textId="77777777">
        <w:tc>
          <w:tcPr>
            <w:tcW w:w="1479" w:type="dxa"/>
          </w:tcPr>
          <w:p w14:paraId="0B76266C" w14:textId="77777777" w:rsidR="00B95B3E" w:rsidRDefault="00B95B3E">
            <w:pPr>
              <w:jc w:val="left"/>
              <w:rPr>
                <w:rFonts w:eastAsiaTheme="minorEastAsia"/>
                <w:lang w:val="en-US" w:eastAsia="zh-CN"/>
              </w:rPr>
            </w:pPr>
          </w:p>
        </w:tc>
        <w:tc>
          <w:tcPr>
            <w:tcW w:w="1372" w:type="dxa"/>
          </w:tcPr>
          <w:p w14:paraId="0B76266D" w14:textId="77777777" w:rsidR="00B95B3E" w:rsidRDefault="00B95B3E">
            <w:pPr>
              <w:tabs>
                <w:tab w:val="left" w:pos="551"/>
              </w:tabs>
              <w:jc w:val="left"/>
              <w:rPr>
                <w:rFonts w:eastAsiaTheme="minorEastAsia"/>
                <w:lang w:val="en-US" w:eastAsia="zh-CN"/>
              </w:rPr>
            </w:pPr>
          </w:p>
        </w:tc>
        <w:tc>
          <w:tcPr>
            <w:tcW w:w="6780" w:type="dxa"/>
          </w:tcPr>
          <w:p w14:paraId="0B76266E" w14:textId="77777777" w:rsidR="00B95B3E" w:rsidRDefault="00B95B3E">
            <w:pPr>
              <w:jc w:val="left"/>
              <w:rPr>
                <w:rFonts w:eastAsiaTheme="minorEastAsia"/>
                <w:lang w:val="en-US" w:eastAsia="zh-CN"/>
              </w:rPr>
            </w:pPr>
          </w:p>
        </w:tc>
      </w:tr>
      <w:tr w:rsidR="00B95B3E" w14:paraId="0B762673" w14:textId="77777777">
        <w:tc>
          <w:tcPr>
            <w:tcW w:w="1479" w:type="dxa"/>
          </w:tcPr>
          <w:p w14:paraId="0B762670" w14:textId="77777777" w:rsidR="00B95B3E" w:rsidRDefault="00B95B3E">
            <w:pPr>
              <w:jc w:val="left"/>
              <w:rPr>
                <w:rFonts w:eastAsiaTheme="minorEastAsia"/>
                <w:lang w:val="en-US" w:eastAsia="zh-CN"/>
              </w:rPr>
            </w:pPr>
          </w:p>
        </w:tc>
        <w:tc>
          <w:tcPr>
            <w:tcW w:w="1372" w:type="dxa"/>
          </w:tcPr>
          <w:p w14:paraId="0B762671" w14:textId="77777777" w:rsidR="00B95B3E" w:rsidRDefault="00B95B3E">
            <w:pPr>
              <w:tabs>
                <w:tab w:val="left" w:pos="551"/>
              </w:tabs>
              <w:jc w:val="left"/>
              <w:rPr>
                <w:rFonts w:eastAsiaTheme="minorEastAsia"/>
                <w:lang w:val="en-US" w:eastAsia="zh-CN"/>
              </w:rPr>
            </w:pPr>
          </w:p>
        </w:tc>
        <w:tc>
          <w:tcPr>
            <w:tcW w:w="6780" w:type="dxa"/>
          </w:tcPr>
          <w:p w14:paraId="0B762672" w14:textId="77777777" w:rsidR="00B95B3E" w:rsidRDefault="00B95B3E">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t>FL1 Low Priority Question 4-3a</w:t>
      </w:r>
      <w:r>
        <w:rPr>
          <w:b/>
          <w:lang w:val="en-US"/>
        </w:rPr>
        <w:t>: Should the following proposal be treated in this meeting?</w:t>
      </w:r>
    </w:p>
    <w:p w14:paraId="0B762676" w14:textId="77777777" w:rsidR="00B95B3E" w:rsidRDefault="00BE3965">
      <w:pPr>
        <w:pStyle w:val="afe"/>
        <w:numPr>
          <w:ilvl w:val="0"/>
          <w:numId w:val="33"/>
        </w:numPr>
        <w:jc w:val="left"/>
        <w:rPr>
          <w:b/>
          <w:sz w:val="20"/>
          <w:szCs w:val="22"/>
        </w:rPr>
      </w:pPr>
      <w:r>
        <w:rPr>
          <w:b/>
          <w:sz w:val="20"/>
          <w:szCs w:val="22"/>
          <w:lang w:val="en-US"/>
        </w:rPr>
        <w:t>Contribution [</w:t>
      </w:r>
      <w:hyperlink r:id="rId15" w:history="1">
        <w:r>
          <w:rPr>
            <w:rStyle w:val="afa"/>
            <w:b/>
            <w:sz w:val="20"/>
            <w:szCs w:val="22"/>
          </w:rPr>
          <w:t>31</w:t>
        </w:r>
      </w:hyperlink>
      <w:r>
        <w:rPr>
          <w:b/>
          <w:sz w:val="20"/>
          <w:szCs w:val="22"/>
          <w:lang w:val="en-US"/>
        </w:rPr>
        <w:t>] provides a</w:t>
      </w:r>
      <w:r>
        <w:rPr>
          <w:b/>
          <w:sz w:val="20"/>
          <w:szCs w:val="22"/>
        </w:rPr>
        <w:t xml:space="preserve"> 38.213 TP for clarification of </w:t>
      </w:r>
      <w:r>
        <w:rPr>
          <w:b/>
          <w:sz w:val="20"/>
          <w:szCs w:val="22"/>
          <w:lang w:val="en-US"/>
        </w:rPr>
        <w:t xml:space="preserve">the random access timeline relaxation’s (i.e., </w:t>
      </w:r>
      <w:r>
        <w:rPr>
          <w:b/>
          <w:sz w:val="20"/>
          <w:szCs w:val="22"/>
        </w:rPr>
        <w:t>X’s</w:t>
      </w:r>
      <w:r>
        <w:rPr>
          <w:b/>
          <w:sz w:val="20"/>
          <w:szCs w:val="22"/>
          <w:lang w:val="en-US"/>
        </w:rPr>
        <w:t>)</w:t>
      </w:r>
      <w:r>
        <w:rPr>
          <w:b/>
          <w:sz w:val="20"/>
          <w:szCs w:val="22"/>
        </w:rPr>
        <w:t xml:space="preserve"> dependency on </w:t>
      </w:r>
      <w:r>
        <w:rPr>
          <w:b/>
          <w:sz w:val="20"/>
          <w:szCs w:val="22"/>
          <w:lang w:val="en-US"/>
        </w:rPr>
        <w:t xml:space="preserve">the </w:t>
      </w:r>
      <w:r>
        <w:rPr>
          <w:b/>
          <w:sz w:val="20"/>
          <w:szCs w:val="22"/>
        </w:rPr>
        <w:t>S</w:t>
      </w:r>
      <w:r>
        <w:rPr>
          <w:b/>
          <w:sz w:val="20"/>
          <w:szCs w:val="22"/>
          <w:lang w:val="en-US"/>
        </w:rPr>
        <w:t>C</w:t>
      </w:r>
      <w:r>
        <w:rPr>
          <w:b/>
          <w:sz w:val="20"/>
          <w:szCs w:val="22"/>
        </w:rPr>
        <w:t>S.</w:t>
      </w:r>
    </w:p>
    <w:tbl>
      <w:tblPr>
        <w:tblStyle w:val="af7"/>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77777777" w:rsidR="00B95B3E" w:rsidRDefault="00B95B3E">
            <w:pPr>
              <w:jc w:val="left"/>
              <w:rPr>
                <w:rFonts w:eastAsiaTheme="minorEastAsia"/>
                <w:lang w:val="en-US" w:eastAsia="zh-CN"/>
              </w:rPr>
            </w:pPr>
          </w:p>
        </w:tc>
        <w:tc>
          <w:tcPr>
            <w:tcW w:w="1372" w:type="dxa"/>
          </w:tcPr>
          <w:p w14:paraId="0B762680" w14:textId="77777777" w:rsidR="00B95B3E" w:rsidRDefault="00B95B3E">
            <w:pPr>
              <w:tabs>
                <w:tab w:val="left" w:pos="551"/>
              </w:tabs>
              <w:jc w:val="left"/>
              <w:rPr>
                <w:rFonts w:eastAsiaTheme="minorEastAsia"/>
                <w:lang w:val="en-US" w:eastAsia="zh-CN"/>
              </w:rPr>
            </w:pPr>
          </w:p>
        </w:tc>
        <w:tc>
          <w:tcPr>
            <w:tcW w:w="6780" w:type="dxa"/>
          </w:tcPr>
          <w:p w14:paraId="0B762681" w14:textId="77777777" w:rsidR="00B95B3E" w:rsidRDefault="00B95B3E">
            <w:pPr>
              <w:jc w:val="left"/>
              <w:rPr>
                <w:rFonts w:eastAsiaTheme="minorEastAsia"/>
                <w:lang w:val="en-US" w:eastAsia="zh-CN"/>
              </w:rPr>
            </w:pPr>
          </w:p>
        </w:tc>
      </w:tr>
      <w:tr w:rsidR="00B95B3E" w14:paraId="0B762686" w14:textId="77777777">
        <w:tc>
          <w:tcPr>
            <w:tcW w:w="1479" w:type="dxa"/>
          </w:tcPr>
          <w:p w14:paraId="0B762683" w14:textId="77777777" w:rsidR="00B95B3E" w:rsidRDefault="00B95B3E">
            <w:pPr>
              <w:jc w:val="left"/>
              <w:rPr>
                <w:rFonts w:eastAsiaTheme="minorEastAsia"/>
                <w:lang w:val="en-US" w:eastAsia="zh-CN"/>
              </w:rPr>
            </w:pPr>
          </w:p>
        </w:tc>
        <w:tc>
          <w:tcPr>
            <w:tcW w:w="1372" w:type="dxa"/>
          </w:tcPr>
          <w:p w14:paraId="0B762684" w14:textId="77777777" w:rsidR="00B95B3E" w:rsidRDefault="00B95B3E">
            <w:pPr>
              <w:tabs>
                <w:tab w:val="left" w:pos="551"/>
              </w:tabs>
              <w:jc w:val="left"/>
              <w:rPr>
                <w:rFonts w:eastAsiaTheme="minorEastAsia"/>
                <w:lang w:val="en-US" w:eastAsia="zh-CN"/>
              </w:rPr>
            </w:pPr>
          </w:p>
        </w:tc>
        <w:tc>
          <w:tcPr>
            <w:tcW w:w="6780" w:type="dxa"/>
          </w:tcPr>
          <w:p w14:paraId="0B762685" w14:textId="77777777" w:rsidR="00B95B3E" w:rsidRDefault="00B95B3E">
            <w:pPr>
              <w:jc w:val="left"/>
              <w:rPr>
                <w:rFonts w:eastAsiaTheme="minorEastAsia"/>
                <w:lang w:val="en-US" w:eastAsia="zh-CN"/>
              </w:rPr>
            </w:pPr>
          </w:p>
        </w:tc>
      </w:tr>
    </w:tbl>
    <w:p w14:paraId="0B762687" w14:textId="77777777" w:rsidR="00B95B3E" w:rsidRDefault="00B95B3E"/>
    <w:p w14:paraId="0B762688" w14:textId="77777777" w:rsidR="00B95B3E" w:rsidRDefault="00BE3965">
      <w:pPr>
        <w:pStyle w:val="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afe"/>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afe"/>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afe"/>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afe"/>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afe"/>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afe"/>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afe"/>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afe"/>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afe"/>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afe"/>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afe"/>
        <w:numPr>
          <w:ilvl w:val="0"/>
          <w:numId w:val="34"/>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0B76269B" w14:textId="77777777" w:rsidR="00B95B3E" w:rsidRDefault="00BE3965">
      <w:pPr>
        <w:pStyle w:val="afe"/>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lastRenderedPageBreak/>
        <w:t>To be able to focus on more pressing issues, the above aspects could be down-prioritized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bl>
    <w:p w14:paraId="0B7626AE" w14:textId="77777777" w:rsidR="00B95B3E" w:rsidRDefault="00B95B3E">
      <w:pPr>
        <w:rPr>
          <w:szCs w:val="22"/>
          <w:lang w:val="en-US"/>
        </w:rPr>
      </w:pPr>
    </w:p>
    <w:p w14:paraId="0B7626AF" w14:textId="77777777" w:rsidR="00B95B3E" w:rsidRDefault="00BE3965">
      <w:pPr>
        <w:pStyle w:val="1"/>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5"/>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000000">
            <w:pPr>
              <w:jc w:val="left"/>
              <w:rPr>
                <w:color w:val="0000FF"/>
                <w:u w:val="single"/>
                <w:lang w:val="en-US"/>
              </w:rPr>
            </w:pPr>
            <w:hyperlink r:id="rId16" w:history="1">
              <w:r w:rsidR="00BE3965">
                <w:rPr>
                  <w:rStyle w:val="afa"/>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000000">
            <w:pPr>
              <w:jc w:val="left"/>
              <w:rPr>
                <w:rFonts w:eastAsia="Calibri"/>
                <w:color w:val="0000FF"/>
                <w:u w:val="single"/>
                <w:lang w:val="en-US"/>
              </w:rPr>
            </w:pPr>
            <w:hyperlink r:id="rId17" w:history="1">
              <w:r w:rsidR="00BE3965">
                <w:rPr>
                  <w:rStyle w:val="afa"/>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WI work plan for Rel-18 RedCap</w:t>
            </w:r>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000000">
            <w:pPr>
              <w:jc w:val="left"/>
              <w:rPr>
                <w:rStyle w:val="afa"/>
                <w:color w:val="0000FF"/>
                <w:lang w:val="en-US"/>
              </w:rPr>
            </w:pPr>
            <w:hyperlink r:id="rId18" w:history="1">
              <w:r w:rsidR="00BE3965">
                <w:rPr>
                  <w:rStyle w:val="afa"/>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000000">
            <w:pPr>
              <w:jc w:val="left"/>
              <w:rPr>
                <w:rStyle w:val="afa"/>
                <w:color w:val="0000FF"/>
                <w:lang w:val="en-US"/>
              </w:rPr>
            </w:pPr>
            <w:hyperlink r:id="rId19" w:history="1">
              <w:r w:rsidR="00BE3965">
                <w:rPr>
                  <w:rStyle w:val="afa"/>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RAN1 agreements for Rel-18 NR RedCap</w:t>
            </w:r>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000000">
            <w:pPr>
              <w:jc w:val="left"/>
              <w:rPr>
                <w:rStyle w:val="afa"/>
                <w:color w:val="0000FF"/>
                <w:lang w:val="en-US"/>
              </w:rPr>
            </w:pPr>
            <w:hyperlink r:id="rId20" w:history="1">
              <w:r w:rsidR="00BE3965">
                <w:rPr>
                  <w:rStyle w:val="afa"/>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Proposal for PR1 in eRedCap</w:t>
            </w:r>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000000">
            <w:pPr>
              <w:jc w:val="left"/>
              <w:rPr>
                <w:rStyle w:val="afa"/>
                <w:color w:val="0000FF"/>
                <w:lang w:val="en-US"/>
              </w:rPr>
            </w:pPr>
            <w:hyperlink r:id="rId21"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000000">
            <w:pPr>
              <w:jc w:val="left"/>
              <w:rPr>
                <w:rStyle w:val="afa"/>
                <w:color w:val="0000FF"/>
                <w:lang w:val="en-US" w:eastAsia="sv-SE"/>
              </w:rPr>
            </w:pPr>
            <w:hyperlink r:id="rId22" w:history="1">
              <w:r w:rsidR="00BE3965">
                <w:rPr>
                  <w:rStyle w:val="afa"/>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Moderator summary #2 on Rel-18 eRedCap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000000">
            <w:pPr>
              <w:jc w:val="left"/>
              <w:rPr>
                <w:rStyle w:val="afa"/>
                <w:color w:val="0000FF"/>
                <w:lang w:val="en-US" w:eastAsia="sv-SE"/>
              </w:rPr>
            </w:pPr>
            <w:hyperlink r:id="rId23" w:history="1">
              <w:r w:rsidR="00BE3965">
                <w:rPr>
                  <w:rStyle w:val="afa"/>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000000">
            <w:pPr>
              <w:jc w:val="left"/>
              <w:rPr>
                <w:rStyle w:val="afa"/>
                <w:color w:val="0000FF"/>
                <w:lang w:val="en-US" w:eastAsia="sv-SE"/>
              </w:rPr>
            </w:pPr>
            <w:hyperlink r:id="rId24" w:history="1">
              <w:r w:rsidR="00BE3965">
                <w:rPr>
                  <w:rStyle w:val="afa"/>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Discussion on R18 RedCap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000000">
            <w:pPr>
              <w:jc w:val="left"/>
              <w:rPr>
                <w:rStyle w:val="afa"/>
                <w:color w:val="0000FF"/>
                <w:lang w:val="en-US" w:eastAsia="sv-SE"/>
              </w:rPr>
            </w:pPr>
            <w:hyperlink r:id="rId25" w:history="1">
              <w:r w:rsidR="00BE3965">
                <w:rPr>
                  <w:rStyle w:val="afa"/>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000000">
            <w:pPr>
              <w:jc w:val="left"/>
              <w:rPr>
                <w:rStyle w:val="afa"/>
                <w:color w:val="0000FF"/>
                <w:lang w:val="en-US" w:eastAsia="sv-SE"/>
              </w:rPr>
            </w:pPr>
            <w:hyperlink r:id="rId26" w:history="1">
              <w:r w:rsidR="00BE3965">
                <w:rPr>
                  <w:rStyle w:val="afa"/>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Discussion on enhanced support of RedCap devices</w:t>
            </w:r>
          </w:p>
        </w:tc>
        <w:tc>
          <w:tcPr>
            <w:tcW w:w="2551" w:type="dxa"/>
            <w:tcMar>
              <w:top w:w="0" w:type="dxa"/>
              <w:left w:w="70" w:type="dxa"/>
              <w:bottom w:w="0" w:type="dxa"/>
              <w:right w:w="70" w:type="dxa"/>
            </w:tcMar>
          </w:tcPr>
          <w:p w14:paraId="0B7626E5" w14:textId="77777777" w:rsidR="00B95B3E" w:rsidRDefault="00BE3965">
            <w:pPr>
              <w:jc w:val="left"/>
              <w:rPr>
                <w:lang w:val="en-US"/>
              </w:rPr>
            </w:pPr>
            <w:r>
              <w:t>Spreadtrum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000000">
            <w:pPr>
              <w:jc w:val="left"/>
              <w:rPr>
                <w:rStyle w:val="afa"/>
                <w:color w:val="0000FF"/>
                <w:lang w:val="en-US" w:eastAsia="sv-SE"/>
              </w:rPr>
            </w:pPr>
            <w:hyperlink r:id="rId27" w:history="1">
              <w:r w:rsidR="00BE3965">
                <w:rPr>
                  <w:rStyle w:val="afa"/>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000000">
            <w:pPr>
              <w:jc w:val="left"/>
              <w:rPr>
                <w:rStyle w:val="afa"/>
                <w:color w:val="0000FF"/>
                <w:lang w:val="en-US" w:eastAsia="sv-SE"/>
              </w:rPr>
            </w:pPr>
            <w:hyperlink r:id="rId28" w:history="1">
              <w:r w:rsidR="00BE3965">
                <w:rPr>
                  <w:rStyle w:val="afa"/>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000000">
            <w:pPr>
              <w:jc w:val="left"/>
              <w:rPr>
                <w:rStyle w:val="afa"/>
                <w:color w:val="0000FF"/>
                <w:lang w:val="en-US" w:eastAsia="sv-SE"/>
              </w:rPr>
            </w:pPr>
            <w:hyperlink r:id="rId29" w:history="1">
              <w:r w:rsidR="00BE3965">
                <w:rPr>
                  <w:rStyle w:val="afa"/>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000000">
            <w:pPr>
              <w:jc w:val="left"/>
              <w:rPr>
                <w:rStyle w:val="afa"/>
                <w:color w:val="0000FF"/>
                <w:lang w:val="en-US" w:eastAsia="sv-SE"/>
              </w:rPr>
            </w:pPr>
            <w:hyperlink r:id="rId30" w:history="1">
              <w:r w:rsidR="00BE3965">
                <w:rPr>
                  <w:rStyle w:val="afa"/>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000000">
            <w:pPr>
              <w:jc w:val="left"/>
              <w:rPr>
                <w:rStyle w:val="afa"/>
                <w:color w:val="0000FF"/>
                <w:lang w:val="en-US" w:eastAsia="sv-SE"/>
              </w:rPr>
            </w:pPr>
            <w:hyperlink r:id="rId31" w:history="1">
              <w:r w:rsidR="00BE3965">
                <w:rPr>
                  <w:rStyle w:val="afa"/>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Discussion on Rel-18 RedCap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000000">
            <w:pPr>
              <w:jc w:val="left"/>
              <w:rPr>
                <w:rStyle w:val="afa"/>
                <w:color w:val="0000FF"/>
                <w:lang w:val="en-US" w:eastAsia="sv-SE"/>
              </w:rPr>
            </w:pPr>
            <w:hyperlink r:id="rId32" w:history="1">
              <w:r w:rsidR="00BE3965">
                <w:rPr>
                  <w:rStyle w:val="afa"/>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Discussion on further complexity reduction for Rel-18 RedCap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000000">
            <w:pPr>
              <w:jc w:val="left"/>
              <w:rPr>
                <w:rStyle w:val="afa"/>
                <w:color w:val="0000FF"/>
                <w:lang w:val="en-US" w:eastAsia="sv-SE"/>
              </w:rPr>
            </w:pPr>
            <w:hyperlink r:id="rId33" w:history="1">
              <w:r w:rsidR="00BE3965">
                <w:rPr>
                  <w:rStyle w:val="afa"/>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ZTE, Sanechips</w:t>
            </w:r>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000000">
            <w:pPr>
              <w:jc w:val="left"/>
              <w:rPr>
                <w:rStyle w:val="afa"/>
                <w:color w:val="0000FF"/>
                <w:lang w:val="en-US" w:eastAsia="sv-SE"/>
              </w:rPr>
            </w:pPr>
            <w:hyperlink r:id="rId34" w:history="1">
              <w:r w:rsidR="00BE3965">
                <w:rPr>
                  <w:rStyle w:val="afa"/>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lastRenderedPageBreak/>
              <w:t>[20]</w:t>
            </w:r>
          </w:p>
        </w:tc>
        <w:tc>
          <w:tcPr>
            <w:tcW w:w="1456" w:type="dxa"/>
            <w:tcMar>
              <w:top w:w="0" w:type="dxa"/>
              <w:left w:w="70" w:type="dxa"/>
              <w:bottom w:w="0" w:type="dxa"/>
              <w:right w:w="70" w:type="dxa"/>
            </w:tcMar>
          </w:tcPr>
          <w:p w14:paraId="0B762710" w14:textId="77777777" w:rsidR="00B95B3E" w:rsidRDefault="00000000">
            <w:pPr>
              <w:jc w:val="left"/>
              <w:rPr>
                <w:rStyle w:val="afa"/>
                <w:color w:val="0000FF"/>
                <w:lang w:val="en-US" w:eastAsia="sv-SE"/>
              </w:rPr>
            </w:pPr>
            <w:hyperlink r:id="rId35" w:history="1">
              <w:r w:rsidR="00BE3965">
                <w:rPr>
                  <w:rStyle w:val="afa"/>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000000">
            <w:pPr>
              <w:jc w:val="left"/>
              <w:rPr>
                <w:rStyle w:val="afa"/>
                <w:color w:val="0000FF"/>
                <w:lang w:val="en-US" w:eastAsia="sv-SE"/>
              </w:rPr>
            </w:pPr>
            <w:hyperlink r:id="rId36" w:history="1">
              <w:r w:rsidR="00BE3965">
                <w:rPr>
                  <w:rStyle w:val="afa"/>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000000">
            <w:pPr>
              <w:jc w:val="left"/>
              <w:rPr>
                <w:rStyle w:val="afa"/>
                <w:color w:val="0000FF"/>
                <w:lang w:val="en-US" w:eastAsia="sv-SE"/>
              </w:rPr>
            </w:pPr>
            <w:hyperlink r:id="rId37" w:history="1">
              <w:r w:rsidR="00BE3965">
                <w:rPr>
                  <w:rStyle w:val="afa"/>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r>
              <w:t>RedCap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000000">
            <w:pPr>
              <w:jc w:val="left"/>
              <w:rPr>
                <w:rStyle w:val="afa"/>
                <w:color w:val="0000FF"/>
                <w:lang w:val="en-US" w:eastAsia="sv-SE"/>
              </w:rPr>
            </w:pPr>
            <w:hyperlink r:id="rId38" w:history="1">
              <w:r w:rsidR="00BE3965">
                <w:rPr>
                  <w:rStyle w:val="afa"/>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000000">
            <w:pPr>
              <w:jc w:val="left"/>
              <w:rPr>
                <w:rStyle w:val="afa"/>
                <w:color w:val="0000FF"/>
                <w:lang w:val="en-US" w:eastAsia="sv-SE"/>
              </w:rPr>
            </w:pPr>
            <w:hyperlink r:id="rId39" w:history="1">
              <w:r w:rsidR="00BE3965">
                <w:rPr>
                  <w:rStyle w:val="afa"/>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t>[25]</w:t>
            </w:r>
          </w:p>
        </w:tc>
        <w:tc>
          <w:tcPr>
            <w:tcW w:w="1456" w:type="dxa"/>
            <w:tcMar>
              <w:top w:w="0" w:type="dxa"/>
              <w:left w:w="70" w:type="dxa"/>
              <w:bottom w:w="0" w:type="dxa"/>
              <w:right w:w="70" w:type="dxa"/>
            </w:tcMar>
          </w:tcPr>
          <w:p w14:paraId="0B762729" w14:textId="77777777" w:rsidR="00B95B3E" w:rsidRDefault="00000000">
            <w:pPr>
              <w:jc w:val="left"/>
              <w:rPr>
                <w:rStyle w:val="afa"/>
                <w:color w:val="0000FF"/>
                <w:lang w:val="en-US" w:eastAsia="sv-SE"/>
              </w:rPr>
            </w:pPr>
            <w:hyperlink r:id="rId40" w:history="1">
              <w:r w:rsidR="00BE3965">
                <w:rPr>
                  <w:rStyle w:val="afa"/>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000000">
            <w:pPr>
              <w:jc w:val="left"/>
              <w:rPr>
                <w:rStyle w:val="afa"/>
                <w:color w:val="0000FF"/>
                <w:lang w:val="en-US" w:eastAsia="sv-SE"/>
              </w:rPr>
            </w:pPr>
            <w:hyperlink r:id="rId41" w:history="1">
              <w:r w:rsidR="00BE3965">
                <w:rPr>
                  <w:rStyle w:val="afa"/>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Further UE complexity reduction for eRedCap</w:t>
            </w:r>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000000">
            <w:pPr>
              <w:jc w:val="left"/>
              <w:rPr>
                <w:rStyle w:val="afa"/>
                <w:color w:val="0000FF"/>
                <w:lang w:val="en-US" w:eastAsia="sv-SE"/>
              </w:rPr>
            </w:pPr>
            <w:hyperlink r:id="rId42" w:history="1">
              <w:r w:rsidR="00BE3965">
                <w:rPr>
                  <w:rStyle w:val="afa"/>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000000">
            <w:pPr>
              <w:jc w:val="left"/>
              <w:rPr>
                <w:rStyle w:val="afa"/>
                <w:color w:val="0000FF"/>
                <w:lang w:val="en-US" w:eastAsia="sv-SE"/>
              </w:rPr>
            </w:pPr>
            <w:hyperlink r:id="rId43" w:history="1">
              <w:r w:rsidR="00BE3965">
                <w:rPr>
                  <w:rStyle w:val="afa"/>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r>
              <w:t>Transsion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000000">
            <w:pPr>
              <w:jc w:val="left"/>
              <w:rPr>
                <w:rStyle w:val="afa"/>
                <w:color w:val="0000FF"/>
                <w:lang w:val="en-US" w:eastAsia="sv-SE"/>
              </w:rPr>
            </w:pPr>
            <w:hyperlink r:id="rId44" w:history="1">
              <w:r w:rsidR="00BE3965">
                <w:rPr>
                  <w:rStyle w:val="afa"/>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000000">
            <w:pPr>
              <w:jc w:val="left"/>
              <w:rPr>
                <w:rStyle w:val="afa"/>
                <w:color w:val="0000FF"/>
                <w:lang w:val="en-US" w:eastAsia="sv-SE"/>
              </w:rPr>
            </w:pPr>
            <w:hyperlink r:id="rId45" w:history="1">
              <w:r w:rsidR="00BE3965">
                <w:rPr>
                  <w:rStyle w:val="afa"/>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r>
              <w:t>Semtech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000000">
            <w:pPr>
              <w:jc w:val="left"/>
              <w:rPr>
                <w:rStyle w:val="afa"/>
                <w:color w:val="0000FF"/>
                <w:lang w:val="en-US" w:eastAsia="sv-SE"/>
              </w:rPr>
            </w:pPr>
            <w:hyperlink r:id="rId46" w:history="1">
              <w:r w:rsidR="00BE3965">
                <w:rPr>
                  <w:rStyle w:val="afa"/>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Discussion on complexity reduction for eRedCap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000000">
            <w:pPr>
              <w:jc w:val="left"/>
              <w:rPr>
                <w:rStyle w:val="afa"/>
                <w:color w:val="0000FF"/>
                <w:lang w:val="en-US" w:eastAsia="sv-SE"/>
              </w:rPr>
            </w:pPr>
            <w:hyperlink r:id="rId47" w:history="1">
              <w:r w:rsidR="00BE3965">
                <w:rPr>
                  <w:rStyle w:val="afa"/>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000000">
            <w:pPr>
              <w:jc w:val="left"/>
              <w:rPr>
                <w:color w:val="000000"/>
                <w:lang w:val="en-US"/>
              </w:rPr>
            </w:pPr>
            <w:hyperlink r:id="rId48" w:history="1">
              <w:r w:rsidR="00BE3965">
                <w:rPr>
                  <w:rStyle w:val="afa"/>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000000">
            <w:pPr>
              <w:jc w:val="left"/>
              <w:rPr>
                <w:color w:val="000000"/>
                <w:lang w:val="en-US"/>
              </w:rPr>
            </w:pPr>
            <w:hyperlink r:id="rId49" w:history="1">
              <w:r w:rsidR="00BE3965">
                <w:rPr>
                  <w:rStyle w:val="afa"/>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On eRedCap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6BE8C" w14:textId="77777777" w:rsidR="006F5B3C" w:rsidRDefault="006F5B3C">
      <w:pPr>
        <w:spacing w:line="240" w:lineRule="auto"/>
      </w:pPr>
      <w:r>
        <w:separator/>
      </w:r>
    </w:p>
  </w:endnote>
  <w:endnote w:type="continuationSeparator" w:id="0">
    <w:p w14:paraId="5074E732" w14:textId="77777777" w:rsidR="006F5B3C" w:rsidRDefault="006F5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5D667" w14:textId="77777777" w:rsidR="006F5B3C" w:rsidRDefault="006F5B3C">
      <w:pPr>
        <w:spacing w:after="0"/>
      </w:pPr>
      <w:r>
        <w:separator/>
      </w:r>
    </w:p>
  </w:footnote>
  <w:footnote w:type="continuationSeparator" w:id="0">
    <w:p w14:paraId="219E78B0" w14:textId="77777777" w:rsidR="006F5B3C" w:rsidRDefault="006F5B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18904466">
    <w:abstractNumId w:val="11"/>
  </w:num>
  <w:num w:numId="2" w16cid:durableId="85461476">
    <w:abstractNumId w:val="1"/>
  </w:num>
  <w:num w:numId="3" w16cid:durableId="1462529068">
    <w:abstractNumId w:val="0"/>
  </w:num>
  <w:num w:numId="4" w16cid:durableId="1243220739">
    <w:abstractNumId w:val="15"/>
  </w:num>
  <w:num w:numId="5" w16cid:durableId="1250698835">
    <w:abstractNumId w:val="20"/>
    <w:lvlOverride w:ilvl="0">
      <w:startOverride w:val="1"/>
    </w:lvlOverride>
  </w:num>
  <w:num w:numId="6" w16cid:durableId="1620723594">
    <w:abstractNumId w:val="21"/>
  </w:num>
  <w:num w:numId="7" w16cid:durableId="35007810">
    <w:abstractNumId w:val="25"/>
  </w:num>
  <w:num w:numId="8" w16cid:durableId="422843064">
    <w:abstractNumId w:val="30"/>
  </w:num>
  <w:num w:numId="9" w16cid:durableId="1558274013">
    <w:abstractNumId w:val="6"/>
  </w:num>
  <w:num w:numId="10" w16cid:durableId="1786924288">
    <w:abstractNumId w:val="34"/>
  </w:num>
  <w:num w:numId="11" w16cid:durableId="1070231023">
    <w:abstractNumId w:val="26"/>
  </w:num>
  <w:num w:numId="12" w16cid:durableId="1369143828">
    <w:abstractNumId w:val="18"/>
  </w:num>
  <w:num w:numId="13" w16cid:durableId="1886941388">
    <w:abstractNumId w:val="17"/>
  </w:num>
  <w:num w:numId="14" w16cid:durableId="1207064825">
    <w:abstractNumId w:val="12"/>
  </w:num>
  <w:num w:numId="15" w16cid:durableId="264120616">
    <w:abstractNumId w:val="28"/>
  </w:num>
  <w:num w:numId="16" w16cid:durableId="306276611">
    <w:abstractNumId w:val="3"/>
  </w:num>
  <w:num w:numId="17" w16cid:durableId="1104883036">
    <w:abstractNumId w:val="13"/>
  </w:num>
  <w:num w:numId="18" w16cid:durableId="484317591">
    <w:abstractNumId w:val="10"/>
  </w:num>
  <w:num w:numId="19" w16cid:durableId="1009210579">
    <w:abstractNumId w:val="23"/>
  </w:num>
  <w:num w:numId="20" w16cid:durableId="2075814342">
    <w:abstractNumId w:val="5"/>
  </w:num>
  <w:num w:numId="21" w16cid:durableId="821308497">
    <w:abstractNumId w:val="32"/>
  </w:num>
  <w:num w:numId="22" w16cid:durableId="2002078589">
    <w:abstractNumId w:val="2"/>
  </w:num>
  <w:num w:numId="23" w16cid:durableId="118693769">
    <w:abstractNumId w:val="24"/>
  </w:num>
  <w:num w:numId="24" w16cid:durableId="2094740776">
    <w:abstractNumId w:val="27"/>
  </w:num>
  <w:num w:numId="25" w16cid:durableId="1553810287">
    <w:abstractNumId w:val="16"/>
  </w:num>
  <w:num w:numId="26" w16cid:durableId="1307469904">
    <w:abstractNumId w:val="7"/>
  </w:num>
  <w:num w:numId="27" w16cid:durableId="1805194256">
    <w:abstractNumId w:val="31"/>
  </w:num>
  <w:num w:numId="28" w16cid:durableId="1276669929">
    <w:abstractNumId w:val="19"/>
  </w:num>
  <w:num w:numId="29" w16cid:durableId="48921819">
    <w:abstractNumId w:val="22"/>
  </w:num>
  <w:num w:numId="30" w16cid:durableId="1129206732">
    <w:abstractNumId w:val="35"/>
  </w:num>
  <w:num w:numId="31" w16cid:durableId="1333221606">
    <w:abstractNumId w:val="33"/>
  </w:num>
  <w:num w:numId="32" w16cid:durableId="1204295438">
    <w:abstractNumId w:val="8"/>
  </w:num>
  <w:num w:numId="33" w16cid:durableId="751125360">
    <w:abstractNumId w:val="29"/>
  </w:num>
  <w:num w:numId="34" w16cid:durableId="849375938">
    <w:abstractNumId w:val="9"/>
  </w:num>
  <w:num w:numId="35" w16cid:durableId="540941450">
    <w:abstractNumId w:val="14"/>
  </w:num>
  <w:num w:numId="36" w16cid:durableId="1633051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목록 단락,列表段落,列"/>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aliases w:val="cap (文字),Caption Char1 Char (文字),cap Char Char1 (文字),Caption Char Char1 Char (文字),cap Char2 (文字),条目 (文字),cap1 (文字),cap2 (文字),cap11 (文字),cap Char Char Char Char Char Char Char (文字),Caption Char2 (文字),Caption Char Char Char (文字),fig and tbl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Docs/R1-2306435.zip" TargetMode="External"/><Relationship Id="rId18" Type="http://schemas.openxmlformats.org/officeDocument/2006/relationships/hyperlink" Target="https://www.3gpp.org/ftp/tsg_ran/WG1_RL1/TSGR1_113/Docs/R1-2305959.zip" TargetMode="External"/><Relationship Id="rId26" Type="http://schemas.openxmlformats.org/officeDocument/2006/relationships/hyperlink" Target="https://www.3gpp.org/ftp/TSG_RAN/WG1_RL1/TSGR1_114/Docs/R1-2306656.zip" TargetMode="External"/><Relationship Id="rId39" Type="http://schemas.openxmlformats.org/officeDocument/2006/relationships/hyperlink" Target="https://www.3gpp.org/ftp/TSG_RAN/WG1_RL1/TSGR1_114/Docs/R1-2307554.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4/Docs/R1-2307206.zip" TargetMode="External"/><Relationship Id="rId42" Type="http://schemas.openxmlformats.org/officeDocument/2006/relationships/hyperlink" Target="https://www.3gpp.org/ftp/TSG_RAN/WG1_RL1/TSGR1_114/Docs/R1-2307757.zip" TargetMode="External"/><Relationship Id="rId47" Type="http://schemas.openxmlformats.org/officeDocument/2006/relationships/hyperlink" Target="https://www.3gpp.org/ftp/TSG_RAN/WG1_RL1/TSGR1_114/Docs/R1-2307937.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4/Docs/R1-2306917.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435.zip" TargetMode="External"/><Relationship Id="rId32" Type="http://schemas.openxmlformats.org/officeDocument/2006/relationships/hyperlink" Target="https://www.3gpp.org/ftp/TSG_RAN/WG1_RL1/TSGR1_114/Docs/R1-2307098.zip" TargetMode="External"/><Relationship Id="rId37" Type="http://schemas.openxmlformats.org/officeDocument/2006/relationships/hyperlink" Target="https://www.3gpp.org/ftp/TSG_RAN/WG1_RL1/TSGR1_114/Docs/R1-2307417.zip" TargetMode="External"/><Relationship Id="rId40" Type="http://schemas.openxmlformats.org/officeDocument/2006/relationships/hyperlink" Target="https://www.3gpp.org/ftp/TSG_RAN/WG1_RL1/TSGR1_114/Docs/R1-2307622.zip" TargetMode="External"/><Relationship Id="rId45" Type="http://schemas.openxmlformats.org/officeDocument/2006/relationships/hyperlink" Target="https://www.3gpp.org/ftp/TSG_RAN/WG1_RL1/TSGR1_114/Docs/R1-230784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855.zip" TargetMode="External"/><Relationship Id="rId23" Type="http://schemas.openxmlformats.org/officeDocument/2006/relationships/hyperlink" Target="https://www.3gpp.org/ftp/TSG_RAN/WG1_RL1/TSGR1_114/Docs/R1-2306390.zip" TargetMode="External"/><Relationship Id="rId28" Type="http://schemas.openxmlformats.org/officeDocument/2006/relationships/hyperlink" Target="https://www.3gpp.org/ftp/TSG_RAN/WG1_RL1/TSGR1_114/Docs/R1-2306761.zip" TargetMode="External"/><Relationship Id="rId36" Type="http://schemas.openxmlformats.org/officeDocument/2006/relationships/hyperlink" Target="https://www.3gpp.org/ftp/TSG_RAN/WG1_RL1/TSGR1_114/Docs/R1-2307395.zip" TargetMode="External"/><Relationship Id="rId49"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6261.zip" TargetMode="External"/><Relationship Id="rId31" Type="http://schemas.openxmlformats.org/officeDocument/2006/relationships/hyperlink" Target="https://www.3gpp.org/ftp/TSG_RAN/WG1_RL1/TSGR1_114/Docs/R1-2307002.zip" TargetMode="External"/><Relationship Id="rId44" Type="http://schemas.openxmlformats.org/officeDocument/2006/relationships/hyperlink" Target="https://www.3gpp.org/ftp/TSG_RAN/WG1_RL1/TSGR1_114/Docs/R1-23077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7554.zip" TargetMode="External"/><Relationship Id="rId22" Type="http://schemas.openxmlformats.org/officeDocument/2006/relationships/hyperlink" Target="https://www.3gpp.org/ftp/tsg_ran/TSG_RAN/TSGR_100/Docs/RP-231488.zip" TargetMode="External"/><Relationship Id="rId27" Type="http://schemas.openxmlformats.org/officeDocument/2006/relationships/hyperlink" Target="https://www.3gpp.org/ftp/TSG_RAN/WG1_RL1/TSGR1_114/Docs/R1-2306683.zip" TargetMode="External"/><Relationship Id="rId30" Type="http://schemas.openxmlformats.org/officeDocument/2006/relationships/hyperlink" Target="https://www.3gpp.org/ftp/TSG_RAN/WG1_RL1/TSGR1_114/Docs/R1-2306996.zip" TargetMode="External"/><Relationship Id="rId35" Type="http://schemas.openxmlformats.org/officeDocument/2006/relationships/hyperlink" Target="https://www.3gpp.org/ftp/TSG_RAN/WG1_RL1/TSGR1_114/Docs/R1-2307289.zip" TargetMode="External"/><Relationship Id="rId43" Type="http://schemas.openxmlformats.org/officeDocument/2006/relationships/hyperlink" Target="https://www.3gpp.org/ftp/TSG_RAN/WG1_RL1/TSGR1_114/Docs/R1-2307764.zip" TargetMode="External"/><Relationship Id="rId48"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4/Docs/R1-2306529.zip" TargetMode="External"/><Relationship Id="rId33" Type="http://schemas.openxmlformats.org/officeDocument/2006/relationships/hyperlink" Target="https://www.3gpp.org/ftp/TSG_RAN/WG1_RL1/TSGR1_114/Docs/R1-2307138.zip" TargetMode="External"/><Relationship Id="rId38" Type="http://schemas.openxmlformats.org/officeDocument/2006/relationships/hyperlink" Target="https://www.3gpp.org/ftp/TSG_RAN/WG1_RL1/TSGR1_114/Docs/R1-2307482.zip" TargetMode="External"/><Relationship Id="rId46" Type="http://schemas.openxmlformats.org/officeDocument/2006/relationships/hyperlink" Target="https://www.3gpp.org/ftp/TSG_RAN/WG1_RL1/TSGR1_114/Docs/R1-2307855.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4/Docs/R1-230768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3EDDA-9900-4B65-81EA-8AF9D650E045}">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7332</Words>
  <Characters>41795</Characters>
  <Application>Microsoft Office Word</Application>
  <DocSecurity>0</DocSecurity>
  <Lines>348</Lines>
  <Paragraphs>98</Paragraphs>
  <ScaleCrop>false</ScaleCrop>
  <Company/>
  <LinksUpToDate>false</LinksUpToDate>
  <CharactersWithSpaces>49029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cp:lastModifiedBy>
  <cp:revision>6</cp:revision>
  <dcterms:created xsi:type="dcterms:W3CDTF">2023-08-20T19:40:00Z</dcterms:created>
  <dcterms:modified xsi:type="dcterms:W3CDTF">2023-08-21T06:24:00Z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