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r w:rsidRPr="007C4300">
        <w:rPr>
          <w:rFonts w:ascii="Times New Roman" w:hAnsi="Times New Roman" w:cs="Times New Roman"/>
          <w:b/>
          <w:bCs/>
          <w:sz w:val="20"/>
          <w:szCs w:val="20"/>
          <w:highlight w:val="magenta"/>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CC4439">
        <w:tc>
          <w:tcPr>
            <w:tcW w:w="2228" w:type="dxa"/>
            <w:shd w:val="clear" w:color="auto" w:fill="auto"/>
          </w:tcPr>
          <w:p w14:paraId="41C5680E" w14:textId="2CDD2E3E" w:rsidR="007C4300" w:rsidRPr="00A4446B" w:rsidRDefault="00A4446B" w:rsidP="003F090F">
            <w:pPr>
              <w:spacing w:before="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TT DOCOMO</w:t>
            </w:r>
          </w:p>
        </w:tc>
        <w:tc>
          <w:tcPr>
            <w:tcW w:w="7122" w:type="dxa"/>
            <w:shd w:val="clear" w:color="auto" w:fill="auto"/>
          </w:tcPr>
          <w:p w14:paraId="455C8B9D" w14:textId="33993096" w:rsidR="00A4446B" w:rsidRDefault="00A4446B" w:rsidP="00A4446B">
            <w:pPr>
              <w:rPr>
                <w:rFonts w:eastAsia="Yu Mincho"/>
                <w:sz w:val="20"/>
                <w:szCs w:val="20"/>
                <w:lang w:eastAsia="ja-JP"/>
              </w:rPr>
            </w:pPr>
            <w:r w:rsidRPr="00A4446B">
              <w:rPr>
                <w:rFonts w:eastAsia="Yu Mincho"/>
                <w:sz w:val="20"/>
                <w:szCs w:val="20"/>
                <w:lang w:eastAsia="ja-JP"/>
              </w:rPr>
              <w:t>As it is obvious that DMRS bundling is not possible if the phase continuity is not maintained</w:t>
            </w:r>
            <w:r>
              <w:rPr>
                <w:rFonts w:eastAsia="Yu Mincho"/>
                <w:sz w:val="20"/>
                <w:szCs w:val="20"/>
                <w:lang w:eastAsia="ja-JP"/>
              </w:rPr>
              <w:t xml:space="preserve">, we are not sure if this answer is what RAN4 expected. </w:t>
            </w:r>
          </w:p>
          <w:p w14:paraId="287C50D4" w14:textId="77777777" w:rsidR="00A4446B" w:rsidRDefault="00A4446B" w:rsidP="00A4446B">
            <w:pPr>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Yu Mincho"/>
                <w:sz w:val="20"/>
                <w:szCs w:val="20"/>
                <w:lang w:eastAsia="ja-JP"/>
              </w:rPr>
            </w:pPr>
          </w:p>
        </w:tc>
      </w:tr>
      <w:tr w:rsidR="00CC4439" w14:paraId="748AFB3E" w14:textId="77777777" w:rsidTr="00A4446B">
        <w:tc>
          <w:tcPr>
            <w:tcW w:w="2228" w:type="dxa"/>
            <w:shd w:val="clear" w:color="auto" w:fill="auto"/>
          </w:tcPr>
          <w:p w14:paraId="7721216F" w14:textId="137122FE" w:rsidR="00CC4439" w:rsidRDefault="00CC4439" w:rsidP="003F090F">
            <w:pPr>
              <w:rPr>
                <w:rFonts w:eastAsia="Yu Mincho" w:hint="eastAsia"/>
                <w:bCs/>
                <w:sz w:val="20"/>
                <w:szCs w:val="20"/>
                <w:lang w:eastAsia="ja-JP"/>
              </w:rPr>
            </w:pPr>
            <w:r>
              <w:rPr>
                <w:rFonts w:eastAsia="Yu Mincho"/>
                <w:bCs/>
                <w:sz w:val="20"/>
                <w:szCs w:val="20"/>
                <w:lang w:eastAsia="ja-JP"/>
              </w:rPr>
              <w:t>Sierra Wireless</w:t>
            </w:r>
          </w:p>
        </w:tc>
        <w:tc>
          <w:tcPr>
            <w:tcW w:w="7122" w:type="dxa"/>
            <w:tcBorders>
              <w:bottom w:val="nil"/>
            </w:tcBorders>
            <w:shd w:val="clear" w:color="auto" w:fill="auto"/>
          </w:tcPr>
          <w:p w14:paraId="5B75A167" w14:textId="5028CD9C" w:rsidR="00CC4439" w:rsidRDefault="00E5459D" w:rsidP="00CC4439">
            <w:r>
              <w:t>Perhaps we could we add this sentence to the end to give a bit more information on how this works and introduce the idea of a phase discontinuity event:</w:t>
            </w:r>
          </w:p>
          <w:p w14:paraId="2349B078" w14:textId="77777777" w:rsidR="00E5459D" w:rsidRPr="00CC4439" w:rsidRDefault="00E5459D" w:rsidP="00CC4439"/>
          <w:p w14:paraId="4D0C865A" w14:textId="4BC4DA02" w:rsidR="00CC4439" w:rsidRPr="00CC4439" w:rsidRDefault="00E5459D" w:rsidP="00CC4439">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w:t>
            </w:r>
            <w:r w:rsidRPr="00E5459D">
              <w:rPr>
                <w:rFonts w:ascii="Times New Roman" w:eastAsia="Malgun Gothic" w:hAnsi="Times New Roman"/>
                <w:b/>
                <w:bCs/>
                <w:color w:val="FF0000"/>
                <w:sz w:val="20"/>
                <w:szCs w:val="20"/>
                <w:u w:val="single"/>
              </w:rPr>
              <w:t>phase discontinuity event</w:t>
            </w:r>
            <w:r w:rsidRPr="00E5459D">
              <w:rPr>
                <w:rFonts w:ascii="Times New Roman" w:eastAsia="Malgun Gothic" w:hAnsi="Times New Roman"/>
                <w:b/>
                <w:bCs/>
                <w:color w:val="FF0000"/>
                <w:sz w:val="20"/>
                <w:szCs w:val="20"/>
              </w:rPr>
              <w:t xml:space="preserve"> </w:t>
            </w:r>
            <w:r w:rsidRPr="00E5459D">
              <w:rPr>
                <w:rFonts w:ascii="Times New Roman" w:eastAsia="Malgun Gothic" w:hAnsi="Times New Roman"/>
                <w:b/>
                <w:bCs/>
                <w:strike/>
                <w:color w:val="FF0000"/>
                <w:sz w:val="20"/>
                <w:szCs w:val="20"/>
              </w:rPr>
              <w:t>transmission of such other signals/channels</w:t>
            </w:r>
            <w:r w:rsidRPr="00E5459D">
              <w:rPr>
                <w:rFonts w:ascii="Times New Roman" w:eastAsia="Malgun Gothic" w:hAnsi="Times New Roman"/>
                <w:b/>
                <w:bCs/>
                <w:color w:val="FF0000"/>
                <w:sz w:val="20"/>
                <w:szCs w:val="20"/>
              </w:rPr>
              <w:t xml:space="preserve"> </w:t>
            </w:r>
            <w:r w:rsidRPr="007C4300">
              <w:rPr>
                <w:rFonts w:ascii="Times New Roman" w:eastAsia="Malgun Gothic" w:hAnsi="Times New Roman"/>
                <w:b/>
                <w:bCs/>
                <w:sz w:val="20"/>
                <w:szCs w:val="20"/>
              </w:rPr>
              <w:t>cannot be part of the same bundle</w:t>
            </w:r>
            <w:r>
              <w:rPr>
                <w:rFonts w:ascii="Times New Roman" w:eastAsia="Malgun Gothic" w:hAnsi="Times New Roman"/>
                <w:b/>
                <w:bCs/>
                <w:sz w:val="20"/>
                <w:szCs w:val="20"/>
              </w:rPr>
              <w:t xml:space="preserve">. </w:t>
            </w:r>
            <w:r w:rsidR="00CC4439" w:rsidRPr="00E5459D">
              <w:rPr>
                <w:rFonts w:ascii="Times New Roman" w:eastAsia="Malgun Gothic" w:hAnsi="Times New Roman"/>
                <w:b/>
                <w:bCs/>
                <w:color w:val="FF0000"/>
                <w:sz w:val="20"/>
                <w:szCs w:val="20"/>
                <w:u w:val="single"/>
              </w:rPr>
              <w:t>After the phase discontinuity event, it will be up to UE capabilities if the UE will restart DMRS bundling.</w:t>
            </w:r>
            <w:r w:rsidR="00CC4439" w:rsidRPr="00E5459D">
              <w:rPr>
                <w:rFonts w:ascii="Times New Roman" w:eastAsia="Malgun Gothic" w:hAnsi="Times New Roman"/>
                <w:b/>
                <w:bCs/>
                <w:color w:val="FF0000"/>
                <w:sz w:val="20"/>
                <w:szCs w:val="20"/>
              </w:rPr>
              <w:t xml:space="preserve"> </w:t>
            </w:r>
          </w:p>
        </w:tc>
      </w:tr>
    </w:tbl>
    <w:p w14:paraId="74DED6C0" w14:textId="77777777" w:rsidR="007C4300" w:rsidRPr="00C06171" w:rsidRDefault="007C4300" w:rsidP="007C4300">
      <w:pPr>
        <w:rPr>
          <w:lang w:eastAsia="en-US"/>
        </w:rPr>
      </w:pPr>
    </w:p>
    <w:p w14:paraId="1C37B70A" w14:textId="2075BFCB" w:rsidR="00C06171" w:rsidRPr="00C06171" w:rsidRDefault="00C06171">
      <w:pPr>
        <w:rPr>
          <w:lang w:eastAsia="en-US"/>
        </w:rPr>
      </w:pPr>
    </w:p>
    <w:p w14:paraId="604B9B52" w14:textId="77777777" w:rsidR="00C06171" w:rsidRDefault="00C06171">
      <w:pPr>
        <w:rPr>
          <w:lang w:val="en-GB"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84CB" w14:textId="77777777" w:rsidR="00C46824" w:rsidRDefault="00C46824" w:rsidP="0036227D">
      <w:pPr>
        <w:spacing w:after="0" w:line="240" w:lineRule="auto"/>
      </w:pPr>
      <w:r>
        <w:separator/>
      </w:r>
    </w:p>
  </w:endnote>
  <w:endnote w:type="continuationSeparator" w:id="0">
    <w:p w14:paraId="0B83EE8B" w14:textId="77777777" w:rsidR="00C46824" w:rsidRDefault="00C46824"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129C" w14:textId="77777777" w:rsidR="00C46824" w:rsidRDefault="00C46824" w:rsidP="0036227D">
      <w:pPr>
        <w:spacing w:after="0" w:line="240" w:lineRule="auto"/>
      </w:pPr>
      <w:r>
        <w:separator/>
      </w:r>
    </w:p>
  </w:footnote>
  <w:footnote w:type="continuationSeparator" w:id="0">
    <w:p w14:paraId="5A367DB5" w14:textId="77777777" w:rsidR="00C46824" w:rsidRDefault="00C46824"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167D"/>
    <w:rsid w:val="001831BF"/>
    <w:rsid w:val="00254000"/>
    <w:rsid w:val="002966AF"/>
    <w:rsid w:val="002D23E4"/>
    <w:rsid w:val="00334C3C"/>
    <w:rsid w:val="0036227D"/>
    <w:rsid w:val="003A7A24"/>
    <w:rsid w:val="00481CF6"/>
    <w:rsid w:val="004A1D18"/>
    <w:rsid w:val="004A783D"/>
    <w:rsid w:val="004F3655"/>
    <w:rsid w:val="00572EF7"/>
    <w:rsid w:val="005730E9"/>
    <w:rsid w:val="005B2301"/>
    <w:rsid w:val="006029E1"/>
    <w:rsid w:val="006122AB"/>
    <w:rsid w:val="0066200E"/>
    <w:rsid w:val="006C29C6"/>
    <w:rsid w:val="00743C05"/>
    <w:rsid w:val="007C4300"/>
    <w:rsid w:val="007F281B"/>
    <w:rsid w:val="00876C66"/>
    <w:rsid w:val="00894B15"/>
    <w:rsid w:val="008A6032"/>
    <w:rsid w:val="009D4EDF"/>
    <w:rsid w:val="009F035D"/>
    <w:rsid w:val="00A31DAC"/>
    <w:rsid w:val="00A33479"/>
    <w:rsid w:val="00A4446B"/>
    <w:rsid w:val="00A56A22"/>
    <w:rsid w:val="00AA4349"/>
    <w:rsid w:val="00AB49F8"/>
    <w:rsid w:val="00B26D8B"/>
    <w:rsid w:val="00C04AF6"/>
    <w:rsid w:val="00C04FB5"/>
    <w:rsid w:val="00C06171"/>
    <w:rsid w:val="00C22986"/>
    <w:rsid w:val="00C46824"/>
    <w:rsid w:val="00CC4439"/>
    <w:rsid w:val="00CD3ED0"/>
    <w:rsid w:val="00D10F11"/>
    <w:rsid w:val="00D27C0B"/>
    <w:rsid w:val="00D93E78"/>
    <w:rsid w:val="00DB16CD"/>
    <w:rsid w:val="00E005C2"/>
    <w:rsid w:val="00E259A2"/>
    <w:rsid w:val="00E5459D"/>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Gus</cp:lastModifiedBy>
  <cp:revision>5</cp:revision>
  <dcterms:created xsi:type="dcterms:W3CDTF">2021-10-18T22:58:00Z</dcterms:created>
  <dcterms:modified xsi:type="dcterms:W3CDTF">2021-10-18T23:12:00Z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