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ListParagraph"/>
        <w:numPr>
          <w:ilvl w:val="0"/>
          <w:numId w:val="3"/>
        </w:numPr>
      </w:pPr>
      <w:r>
        <w:rPr>
          <w:b/>
          <w:bCs/>
        </w:rPr>
        <w:t xml:space="preserve">What are the consequences if phase continuity cannot be maintained in the case of </w:t>
      </w:r>
      <w:bookmarkStart w:id="6" w:name="_Hlk85362099"/>
      <w:r>
        <w:rPr>
          <w:b/>
          <w:bCs/>
        </w:rPr>
        <w:t xml:space="preserve">UL transmissions from other signals/channels </w:t>
      </w:r>
      <w:bookmarkEnd w:id="6"/>
      <w:r>
        <w:rPr>
          <w:b/>
          <w:bCs/>
        </w:rPr>
        <w:t>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To motivate our answer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ListParagraph"/>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ListParagraph"/>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r>
              <w:rPr>
                <w:sz w:val="20"/>
                <w:szCs w:val="20"/>
              </w:rPr>
              <w:t>So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uawei, HiSilicon</w:t>
            </w:r>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r>
              <w:t>In our view this event terminates DMRS bundling. Now whether or not UE can resume bundling for the remaining repetition occasions, if any, is subject to UE capability and further discussion in RAN1.</w:t>
            </w:r>
          </w:p>
        </w:tc>
      </w:tr>
      <w:tr w:rsidR="00A31DAC" w14:paraId="0687585F" w14:textId="77777777" w:rsidTr="00FD3F10">
        <w:tc>
          <w:tcPr>
            <w:tcW w:w="2228" w:type="dxa"/>
            <w:shd w:val="clear" w:color="auto" w:fill="auto"/>
          </w:tcPr>
          <w:p w14:paraId="62666B15" w14:textId="035E66A4" w:rsidR="00A31DAC" w:rsidRDefault="00A31DAC" w:rsidP="00FD3F10">
            <w:pPr>
              <w:rPr>
                <w:bCs/>
                <w:sz w:val="20"/>
                <w:szCs w:val="20"/>
              </w:rPr>
            </w:pPr>
            <w:r>
              <w:rPr>
                <w:bCs/>
                <w:sz w:val="20"/>
                <w:szCs w:val="20"/>
              </w:rPr>
              <w:t>vivo</w:t>
            </w:r>
          </w:p>
        </w:tc>
        <w:tc>
          <w:tcPr>
            <w:tcW w:w="7122" w:type="dxa"/>
            <w:shd w:val="clear" w:color="auto" w:fill="auto"/>
          </w:tcPr>
          <w:p w14:paraId="0E26EE0E" w14:textId="502A6621" w:rsidR="00A31DAC" w:rsidRDefault="00A31DAC" w:rsidP="00FD3F10">
            <w:r>
              <w:t xml:space="preserve">From UE perspective </w:t>
            </w:r>
            <w:r w:rsidRPr="00A31DAC">
              <w:t>phase continuity cannot be maintained</w:t>
            </w:r>
            <w:r>
              <w:t xml:space="preserve">, RAN1is discussing actual TDW and restart of TDW. Whether joint channel estimation is done or not is up to gNB. Main thing is that the UE behavior and </w:t>
            </w:r>
            <w:r w:rsidR="00B26D8B">
              <w:t xml:space="preserve">understanding at </w:t>
            </w:r>
            <w:r>
              <w:t xml:space="preserve">gNB should be aligned. </w:t>
            </w:r>
          </w:p>
        </w:tc>
      </w:tr>
    </w:tbl>
    <w:p w14:paraId="401B1299" w14:textId="77777777" w:rsidR="003A7A24" w:rsidRDefault="003A7A24"/>
    <w:p w14:paraId="69A553F7" w14:textId="77777777" w:rsidR="003A7A24" w:rsidRDefault="0036227D">
      <w:pPr>
        <w:pStyle w:val="Heading1"/>
      </w:pPr>
      <w:r>
        <w:t>Conclusion</w:t>
      </w:r>
    </w:p>
    <w:p w14:paraId="06932983" w14:textId="53F66AE4" w:rsidR="003A7A24" w:rsidRPr="00C06171" w:rsidRDefault="00C06171">
      <w:pPr>
        <w:rPr>
          <w:rFonts w:ascii="Times New Roman" w:hAnsi="Times New Roman" w:cs="Times New Roman"/>
          <w:sz w:val="20"/>
          <w:szCs w:val="20"/>
        </w:rPr>
      </w:pPr>
      <w:r w:rsidRPr="00C06171">
        <w:rPr>
          <w:rFonts w:ascii="Times New Roman" w:hAnsi="Times New Roman" w:cs="Times New Roman"/>
          <w:sz w:val="20"/>
          <w:szCs w:val="20"/>
          <w:lang w:val="en-GB" w:eastAsia="en-US"/>
        </w:rPr>
        <w:t xml:space="preserve">Based on the comments received in previous section, it is obvious that the if other </w:t>
      </w:r>
      <w:r w:rsidRPr="00C06171">
        <w:rPr>
          <w:rFonts w:ascii="Times New Roman" w:hAnsi="Times New Roman" w:cs="Times New Roman"/>
          <w:sz w:val="20"/>
          <w:szCs w:val="20"/>
        </w:rPr>
        <w:t>UL transmissions from other signals/channels</w:t>
      </w:r>
      <w:r w:rsidRPr="00C06171">
        <w:rPr>
          <w:rFonts w:ascii="Times New Roman" w:hAnsi="Times New Roman" w:cs="Times New Roman"/>
          <w:sz w:val="20"/>
          <w:szCs w:val="20"/>
        </w:rPr>
        <w:t xml:space="preserve"> in the repetition gap break the phase continuity, the DMRS bundling has to stop at the repetition gap. Regarding whether/how UE can resume DMRS bundling after the gap is within in RAN1 scope</w:t>
      </w:r>
      <w:r w:rsidR="009D4EDF">
        <w:rPr>
          <w:rFonts w:ascii="Times New Roman" w:hAnsi="Times New Roman" w:cs="Times New Roman"/>
          <w:sz w:val="20"/>
          <w:szCs w:val="20"/>
        </w:rPr>
        <w:t>,</w:t>
      </w:r>
      <w:r w:rsidRPr="00C06171">
        <w:rPr>
          <w:rFonts w:ascii="Times New Roman" w:hAnsi="Times New Roman" w:cs="Times New Roman"/>
          <w:sz w:val="20"/>
          <w:szCs w:val="20"/>
        </w:rPr>
        <w:t xml:space="preserve"> as several companies suggested. Therefore, FL propose </w:t>
      </w:r>
      <w:r>
        <w:rPr>
          <w:rFonts w:ascii="Times New Roman" w:hAnsi="Times New Roman" w:cs="Times New Roman"/>
          <w:sz w:val="20"/>
          <w:szCs w:val="20"/>
        </w:rPr>
        <w:t xml:space="preserve">to take Nokia’s suggested wording </w:t>
      </w:r>
      <w:r w:rsidRPr="00C06171">
        <w:rPr>
          <w:rFonts w:ascii="Times New Roman" w:hAnsi="Times New Roman" w:cs="Times New Roman"/>
          <w:sz w:val="20"/>
          <w:szCs w:val="20"/>
        </w:rPr>
        <w:t>to</w:t>
      </w:r>
      <w:r w:rsidR="007C4300">
        <w:rPr>
          <w:rFonts w:ascii="Times New Roman" w:hAnsi="Times New Roman" w:cs="Times New Roman"/>
          <w:sz w:val="20"/>
          <w:szCs w:val="20"/>
        </w:rPr>
        <w:t xml:space="preserve"> provide the answer to</w:t>
      </w:r>
      <w:r w:rsidRPr="00C06171">
        <w:rPr>
          <w:rFonts w:ascii="Times New Roman" w:hAnsi="Times New Roman" w:cs="Times New Roman"/>
          <w:sz w:val="20"/>
          <w:szCs w:val="20"/>
        </w:rPr>
        <w:t xml:space="preserve"> RAN4</w:t>
      </w:r>
      <w:r w:rsidR="009D4EDF">
        <w:rPr>
          <w:rFonts w:ascii="Times New Roman" w:hAnsi="Times New Roman" w:cs="Times New Roman"/>
          <w:sz w:val="20"/>
          <w:szCs w:val="20"/>
        </w:rPr>
        <w:t>, and keep the discussion on whether/how to resume bundling with a new actual TWD within in RAN1</w:t>
      </w:r>
      <w:r w:rsidRPr="00C06171">
        <w:rPr>
          <w:rFonts w:ascii="Times New Roman" w:hAnsi="Times New Roman" w:cs="Times New Roman"/>
          <w:sz w:val="20"/>
          <w:szCs w:val="20"/>
        </w:rPr>
        <w:t xml:space="preserve">. </w:t>
      </w:r>
    </w:p>
    <w:p w14:paraId="4C744B52" w14:textId="59727FE5" w:rsidR="00C06171" w:rsidRPr="007C4300" w:rsidRDefault="00C06171">
      <w:pPr>
        <w:rPr>
          <w:rFonts w:ascii="Times New Roman" w:hAnsi="Times New Roman" w:cs="Times New Roman"/>
          <w:sz w:val="20"/>
          <w:szCs w:val="20"/>
          <w:lang w:val="en-GB" w:eastAsia="en-US"/>
        </w:rPr>
      </w:pPr>
      <w:r w:rsidRPr="007C4300">
        <w:rPr>
          <w:rFonts w:ascii="Times New Roman" w:hAnsi="Times New Roman" w:cs="Times New Roman"/>
          <w:b/>
          <w:bCs/>
          <w:sz w:val="20"/>
          <w:szCs w:val="20"/>
          <w:highlight w:val="magenta"/>
          <w:lang w:val="en-GB" w:eastAsia="en-US"/>
        </w:rPr>
        <w:t>FL Proposal:</w:t>
      </w:r>
      <w:r w:rsidRPr="007C4300">
        <w:rPr>
          <w:rFonts w:ascii="Times New Roman" w:hAnsi="Times New Roman" w:cs="Times New Roman"/>
          <w:sz w:val="20"/>
          <w:szCs w:val="20"/>
          <w:lang w:val="en-GB" w:eastAsia="en-US"/>
        </w:rPr>
        <w:t xml:space="preserve"> </w:t>
      </w:r>
      <w:r w:rsidR="007C4300" w:rsidRPr="007C4300">
        <w:rPr>
          <w:rFonts w:ascii="Times New Roman" w:hAnsi="Times New Roman" w:cs="Times New Roman"/>
          <w:sz w:val="20"/>
          <w:szCs w:val="20"/>
          <w:lang w:val="en-GB" w:eastAsia="en-US"/>
        </w:rPr>
        <w:t>Regarding</w:t>
      </w:r>
      <w:r w:rsidRPr="007C4300">
        <w:rPr>
          <w:rFonts w:ascii="Times New Roman" w:hAnsi="Times New Roman" w:cs="Times New Roman"/>
          <w:sz w:val="20"/>
          <w:szCs w:val="20"/>
          <w:lang w:val="en-GB" w:eastAsia="en-US"/>
        </w:rPr>
        <w:t xml:space="preserve"> the following RAN 4 question</w:t>
      </w:r>
      <w:r w:rsidR="007C4300">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7FABD0EA" w14:textId="039B613E" w:rsidR="00C06171" w:rsidRPr="007C4300" w:rsidRDefault="00C06171" w:rsidP="00C06171">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7AEE4C87" w14:textId="18A16736" w:rsidR="00C06171" w:rsidRPr="007C4300" w:rsidRDefault="00C06171" w:rsidP="00C06171">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sidR="007C4300">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sidR="007C4300">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207AAEEC" w14:textId="6E334A15" w:rsidR="00C06171" w:rsidRPr="007C4300" w:rsidRDefault="00C06171" w:rsidP="00C06171">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p w14:paraId="5EE6D6F5" w14:textId="77777777" w:rsidR="007C4300" w:rsidRDefault="007C4300" w:rsidP="007C4300">
      <w:pPr>
        <w:rPr>
          <w:rFonts w:ascii="Times New Roman" w:hAnsi="Times New Roman" w:cs="Times New Roman"/>
          <w:sz w:val="20"/>
          <w:szCs w:val="20"/>
        </w:rPr>
      </w:pPr>
    </w:p>
    <w:p w14:paraId="14F5B912" w14:textId="5E4B3B29" w:rsidR="007C4300" w:rsidRDefault="007C4300" w:rsidP="007C4300">
      <w:pPr>
        <w:rPr>
          <w:rFonts w:ascii="Times New Roman" w:hAnsi="Times New Roman" w:cs="Times New Roman"/>
          <w:sz w:val="20"/>
          <w:szCs w:val="20"/>
        </w:rPr>
      </w:pPr>
      <w:r>
        <w:rPr>
          <w:rFonts w:ascii="Times New Roman" w:hAnsi="Times New Roman" w:cs="Times New Roman"/>
          <w:sz w:val="20"/>
          <w:szCs w:val="20"/>
        </w:rPr>
        <w:t xml:space="preserve">FL hope the above is acceptable to all companies. Please provided in the following table any company has concern </w:t>
      </w:r>
      <w:r w:rsidR="00AB49F8">
        <w:rPr>
          <w:rFonts w:ascii="Times New Roman" w:hAnsi="Times New Roman" w:cs="Times New Roman"/>
          <w:sz w:val="20"/>
          <w:szCs w:val="20"/>
        </w:rPr>
        <w:t>about</w:t>
      </w:r>
      <w:r>
        <w:rPr>
          <w:rFonts w:ascii="Times New Roman" w:hAnsi="Times New Roman" w:cs="Times New Roman"/>
          <w:sz w:val="20"/>
          <w:szCs w:val="20"/>
        </w:rPr>
        <w:t xml:space="preserve"> the above proposal. </w:t>
      </w: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2228"/>
        <w:gridCol w:w="7122"/>
      </w:tblGrid>
      <w:tr w:rsidR="007C4300" w14:paraId="06610051" w14:textId="77777777" w:rsidTr="003F090F">
        <w:tc>
          <w:tcPr>
            <w:tcW w:w="2228" w:type="dxa"/>
          </w:tcPr>
          <w:p w14:paraId="31C99E3D" w14:textId="77777777" w:rsidR="007C4300" w:rsidRDefault="007C4300" w:rsidP="003F090F">
            <w:pPr>
              <w:spacing w:before="0"/>
              <w:rPr>
                <w:b/>
                <w:bCs/>
                <w:sz w:val="20"/>
                <w:szCs w:val="20"/>
              </w:rPr>
            </w:pPr>
            <w:r>
              <w:rPr>
                <w:b/>
                <w:bCs/>
                <w:sz w:val="20"/>
                <w:szCs w:val="20"/>
              </w:rPr>
              <w:t>Company name</w:t>
            </w:r>
          </w:p>
        </w:tc>
        <w:tc>
          <w:tcPr>
            <w:tcW w:w="7122" w:type="dxa"/>
          </w:tcPr>
          <w:p w14:paraId="1EC85491" w14:textId="5AF17639" w:rsidR="007C4300" w:rsidRDefault="007C4300" w:rsidP="003F090F">
            <w:pPr>
              <w:spacing w:before="0"/>
              <w:rPr>
                <w:b/>
                <w:bCs/>
                <w:sz w:val="20"/>
                <w:szCs w:val="20"/>
              </w:rPr>
            </w:pPr>
            <w:r>
              <w:rPr>
                <w:b/>
                <w:bCs/>
                <w:sz w:val="20"/>
                <w:szCs w:val="20"/>
              </w:rPr>
              <w:t>Concerns</w:t>
            </w:r>
            <w:r w:rsidR="00AB49F8">
              <w:rPr>
                <w:b/>
                <w:bCs/>
                <w:sz w:val="20"/>
                <w:szCs w:val="20"/>
              </w:rPr>
              <w:t xml:space="preserve"> about above FL proposal</w:t>
            </w:r>
          </w:p>
        </w:tc>
      </w:tr>
      <w:tr w:rsidR="007C4300" w14:paraId="195257FF" w14:textId="77777777" w:rsidTr="003F090F">
        <w:tc>
          <w:tcPr>
            <w:tcW w:w="2228" w:type="dxa"/>
            <w:shd w:val="clear" w:color="auto" w:fill="auto"/>
          </w:tcPr>
          <w:p w14:paraId="5255DB65" w14:textId="67C85E61" w:rsidR="007C4300" w:rsidRDefault="007C4300" w:rsidP="003F090F">
            <w:pPr>
              <w:spacing w:before="0"/>
              <w:rPr>
                <w:bCs/>
                <w:sz w:val="20"/>
                <w:szCs w:val="20"/>
              </w:rPr>
            </w:pPr>
          </w:p>
        </w:tc>
        <w:tc>
          <w:tcPr>
            <w:tcW w:w="7122" w:type="dxa"/>
            <w:shd w:val="clear" w:color="auto" w:fill="auto"/>
          </w:tcPr>
          <w:p w14:paraId="086EAF93" w14:textId="14D922FC" w:rsidR="007C4300" w:rsidRDefault="007C4300" w:rsidP="007C4300">
            <w:pPr>
              <w:pStyle w:val="Observation"/>
              <w:numPr>
                <w:ilvl w:val="0"/>
                <w:numId w:val="0"/>
              </w:numPr>
              <w:ind w:left="360" w:hanging="360"/>
              <w:jc w:val="both"/>
              <w:rPr>
                <w:b w:val="0"/>
                <w:bCs w:val="0"/>
                <w:sz w:val="20"/>
                <w:szCs w:val="20"/>
              </w:rPr>
            </w:pPr>
          </w:p>
        </w:tc>
      </w:tr>
      <w:tr w:rsidR="007C4300" w14:paraId="21708659" w14:textId="77777777" w:rsidTr="003F090F">
        <w:tc>
          <w:tcPr>
            <w:tcW w:w="2228" w:type="dxa"/>
            <w:shd w:val="clear" w:color="auto" w:fill="auto"/>
          </w:tcPr>
          <w:p w14:paraId="41C5680E" w14:textId="77777777" w:rsidR="007C4300" w:rsidRDefault="007C4300" w:rsidP="003F090F">
            <w:pPr>
              <w:spacing w:before="0"/>
              <w:rPr>
                <w:bCs/>
                <w:sz w:val="20"/>
                <w:szCs w:val="20"/>
              </w:rPr>
            </w:pPr>
          </w:p>
        </w:tc>
        <w:tc>
          <w:tcPr>
            <w:tcW w:w="7122" w:type="dxa"/>
            <w:shd w:val="clear" w:color="auto" w:fill="auto"/>
          </w:tcPr>
          <w:p w14:paraId="4D35BBC0" w14:textId="77777777" w:rsidR="007C4300" w:rsidRDefault="007C4300" w:rsidP="003F090F">
            <w:pPr>
              <w:pStyle w:val="Observation"/>
              <w:numPr>
                <w:ilvl w:val="0"/>
                <w:numId w:val="0"/>
              </w:numPr>
              <w:ind w:left="360" w:hanging="360"/>
              <w:jc w:val="both"/>
              <w:rPr>
                <w:b w:val="0"/>
                <w:bCs w:val="0"/>
                <w:sz w:val="20"/>
                <w:szCs w:val="20"/>
              </w:rPr>
            </w:pPr>
          </w:p>
        </w:tc>
      </w:tr>
    </w:tbl>
    <w:p w14:paraId="74DED6C0" w14:textId="77777777" w:rsidR="007C4300" w:rsidRPr="00C06171" w:rsidRDefault="007C4300" w:rsidP="007C4300">
      <w:pPr>
        <w:rPr>
          <w:lang w:eastAsia="en-US"/>
        </w:rPr>
      </w:pPr>
    </w:p>
    <w:p w14:paraId="1C37B70A" w14:textId="2075BFCB" w:rsidR="00C06171" w:rsidRPr="00C06171" w:rsidRDefault="00C06171">
      <w:pPr>
        <w:rPr>
          <w:lang w:eastAsia="en-US"/>
        </w:rPr>
      </w:pPr>
    </w:p>
    <w:p w14:paraId="604B9B52" w14:textId="77777777" w:rsidR="00C06171" w:rsidRDefault="00C06171">
      <w:pPr>
        <w:rPr>
          <w:lang w:val="en-GB" w:eastAsia="en-US"/>
        </w:rPr>
      </w:pP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F675" w14:textId="77777777" w:rsidR="00572EF7" w:rsidRDefault="00572EF7" w:rsidP="0036227D">
      <w:pPr>
        <w:spacing w:after="0" w:line="240" w:lineRule="auto"/>
      </w:pPr>
      <w:r>
        <w:separator/>
      </w:r>
    </w:p>
  </w:endnote>
  <w:endnote w:type="continuationSeparator" w:id="0">
    <w:p w14:paraId="1B20CC33" w14:textId="77777777" w:rsidR="00572EF7" w:rsidRDefault="00572EF7"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D498" w14:textId="77777777" w:rsidR="00572EF7" w:rsidRDefault="00572EF7" w:rsidP="0036227D">
      <w:pPr>
        <w:spacing w:after="0" w:line="240" w:lineRule="auto"/>
      </w:pPr>
      <w:r>
        <w:separator/>
      </w:r>
    </w:p>
  </w:footnote>
  <w:footnote w:type="continuationSeparator" w:id="0">
    <w:p w14:paraId="02F19997" w14:textId="77777777" w:rsidR="00572EF7" w:rsidRDefault="00572EF7"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950280"/>
    <w:multiLevelType w:val="hybridMultilevel"/>
    <w:tmpl w:val="34BE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31BF"/>
    <w:rsid w:val="002D23E4"/>
    <w:rsid w:val="00334C3C"/>
    <w:rsid w:val="0036227D"/>
    <w:rsid w:val="003A7A24"/>
    <w:rsid w:val="00481CF6"/>
    <w:rsid w:val="004A1D18"/>
    <w:rsid w:val="004A783D"/>
    <w:rsid w:val="004F3655"/>
    <w:rsid w:val="00572EF7"/>
    <w:rsid w:val="005730E9"/>
    <w:rsid w:val="005B2301"/>
    <w:rsid w:val="006029E1"/>
    <w:rsid w:val="006122AB"/>
    <w:rsid w:val="0066200E"/>
    <w:rsid w:val="00743C05"/>
    <w:rsid w:val="007C4300"/>
    <w:rsid w:val="007F281B"/>
    <w:rsid w:val="00876C66"/>
    <w:rsid w:val="00894B15"/>
    <w:rsid w:val="008A6032"/>
    <w:rsid w:val="009D4EDF"/>
    <w:rsid w:val="009F035D"/>
    <w:rsid w:val="00A31DAC"/>
    <w:rsid w:val="00A33479"/>
    <w:rsid w:val="00A56A22"/>
    <w:rsid w:val="00AA4349"/>
    <w:rsid w:val="00AB49F8"/>
    <w:rsid w:val="00B26D8B"/>
    <w:rsid w:val="00C04AF6"/>
    <w:rsid w:val="00C04FB5"/>
    <w:rsid w:val="00C06171"/>
    <w:rsid w:val="00C22986"/>
    <w:rsid w:val="00CD3ED0"/>
    <w:rsid w:val="00D10F11"/>
    <w:rsid w:val="00D27C0B"/>
    <w:rsid w:val="00D93E78"/>
    <w:rsid w:val="00DB16CD"/>
    <w:rsid w:val="00E259A2"/>
    <w:rsid w:val="00EA4332"/>
    <w:rsid w:val="00ED75C4"/>
    <w:rsid w:val="00EE1D37"/>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SimSun"/>
      <w:lang w:eastAsia="ja-JP"/>
    </w:rPr>
  </w:style>
  <w:style w:type="paragraph" w:styleId="ListParagraph">
    <w:name w:val="List Paragraph"/>
    <w:basedOn w:val="Normal"/>
    <w:link w:val="ListParagraphChar"/>
    <w:uiPriority w:val="34"/>
    <w:qFormat/>
    <w:pPr>
      <w:spacing w:line="256" w:lineRule="auto"/>
      <w:ind w:left="720"/>
      <w:contextualSpacing/>
    </w:pPr>
    <w:rPr>
      <w:rFonts w:eastAsia="SimSun"/>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character" w:customStyle="1" w:styleId="Heading6Char">
    <w:name w:val="Heading 6 Char"/>
    <w:basedOn w:val="DefaultParagraphFont"/>
    <w:link w:val="Heading6"/>
    <w:qFormat/>
    <w:rPr>
      <w:rFonts w:ascii="Arial" w:eastAsia="SimSun" w:hAnsi="Arial" w:cs="Times New Roman"/>
      <w:sz w:val="20"/>
      <w:szCs w:val="20"/>
      <w:lang w:val="en-GB"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Arial" w:eastAsia="SimSun" w:hAnsi="Arial" w:cs="Times New Roman"/>
      <w:sz w:val="36"/>
      <w:szCs w:val="20"/>
      <w:lang w:val="en-GB"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Qualcomm</cp:lastModifiedBy>
  <cp:revision>6</cp:revision>
  <dcterms:created xsi:type="dcterms:W3CDTF">2021-10-17T14:01:00Z</dcterms:created>
  <dcterms:modified xsi:type="dcterms:W3CDTF">2021-10-17T18:40:00Z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