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 bis-e</w:t>
      </w:r>
      <w:r>
        <w:rPr>
          <w:rFonts w:cs="Arial"/>
          <w:bCs/>
          <w:sz w:val="22"/>
        </w:rPr>
        <w:tab/>
      </w:r>
      <w:r>
        <w:rPr>
          <w:rFonts w:cs="Arial"/>
          <w:bCs/>
          <w:sz w:val="22"/>
        </w:rPr>
        <w:t>R1-210xxxx</w:t>
      </w:r>
    </w:p>
    <w:p>
      <w:pPr>
        <w:pStyle w:val="26"/>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 xml:space="preserve">FL summary #1 on RAN1 aspects for RAN2-led features for RedCap </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211920"/>
      <w:bookmarkStart w:id="3" w:name="_Toc84709378"/>
      <w:bookmarkStart w:id="4" w:name="_Toc42034909"/>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[3] – [33] submitted to agenda item 8.6.2, agenda item 8.6.3 and captures this email discussion on RAN1 aspects for RAN2-led features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[106bis-e-NR-R17-RedCap-04] Email discussion regarding RAN1 aspects for RAN2-led features (except those related to UE features which will be handled under 8.17.6)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ind w:left="720"/>
              <w:rPr>
                <w:highlight w:val="cyan"/>
                <w:lang w:eastAsia="zh-CN"/>
              </w:rPr>
            </w:pPr>
          </w:p>
        </w:tc>
      </w:tr>
    </w:tbl>
    <w:p>
      <w:pPr>
        <w:spacing w:after="100" w:afterAutospacing="1"/>
        <w:jc w:val="both"/>
        <w:rPr>
          <w:lang w:val="en-US"/>
        </w:rPr>
      </w:pP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pPr>
        <w:jc w:val="both"/>
        <w:rPr>
          <w:lang w:val="en-US"/>
        </w:rPr>
      </w:pPr>
      <w:r>
        <w:rPr>
          <w:lang w:val="en-US"/>
        </w:rPr>
        <w:t>Follow the naming convention in this example:</w:t>
      </w:r>
    </w:p>
    <w:p>
      <w:pPr>
        <w:pStyle w:val="48"/>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RedCapR2ledFLS1-v000.docx</w:t>
      </w:r>
    </w:p>
    <w:p>
      <w:pPr>
        <w:pStyle w:val="48"/>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RedCapR2ledFLS1-v001-CompanyA.docx</w:t>
      </w:r>
    </w:p>
    <w:p>
      <w:pPr>
        <w:pStyle w:val="48"/>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RedCapR2ledFLS1-v002-CompanyA-CompanyB.docx</w:t>
      </w:r>
    </w:p>
    <w:p>
      <w:pPr>
        <w:pStyle w:val="48"/>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hAnsi="Times New Roman" w:eastAsia="Times New Roman" w:cs="Times New Roman"/>
          <w:i/>
          <w:iCs/>
          <w:sz w:val="20"/>
          <w:szCs w:val="20"/>
          <w:lang w:val="en-US"/>
        </w:rPr>
        <w:t>R2led</w:t>
      </w:r>
      <w:r>
        <w:rPr>
          <w:rFonts w:eastAsia="Times New Roman"/>
          <w:i/>
          <w:iCs/>
          <w:sz w:val="20"/>
          <w:szCs w:val="22"/>
          <w:lang w:val="en-US"/>
        </w:rPr>
        <w:t>FLS1-v003-CompanyB-CompanyC.docx</w:t>
      </w:r>
    </w:p>
    <w:p>
      <w:pPr>
        <w:jc w:val="both"/>
        <w:rPr>
          <w:lang w:val="en-US"/>
        </w:rPr>
      </w:pPr>
      <w:r>
        <w:rPr>
          <w:lang w:val="en-US"/>
        </w:rPr>
        <w:t>If needed, you may “lock” the discussion document for 30 minutes by creating a checkout file, as in this example:</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RedCapBwFLS1-v003-CompanyB-CompanyC.checkout</w:t>
      </w:r>
    </w:p>
    <w:p>
      <w:pPr>
        <w:pStyle w:val="48"/>
        <w:numPr>
          <w:ilvl w:val="0"/>
          <w:numId w:val="11"/>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RedCapBwFLS1-v003-CompanyB-CompanyC.docx</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8"/>
          <w:color w:val="0000FF"/>
          <w:lang w:val="en-US"/>
        </w:rPr>
        <w:t>R1-2106403</w:t>
      </w:r>
      <w:r>
        <w:rPr>
          <w:rStyle w:val="38"/>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spacing w:after="100" w:afterAutospacing="1"/>
        <w:jc w:val="both"/>
        <w:rPr>
          <w:lang w:val="en-US"/>
        </w:rPr>
      </w:pPr>
      <w:r>
        <w:rPr>
          <w:lang w:val="en-US"/>
        </w:rPr>
        <w:t>The following is an outline of the summary:</w:t>
      </w:r>
    </w:p>
    <w:sdt>
      <w:sdtPr>
        <w:rPr>
          <w:rFonts w:ascii="Times New Roman" w:hAnsi="Times New Roman" w:eastAsia="Batang" w:cs="Times New Roman"/>
          <w:color w:val="auto"/>
          <w:sz w:val="20"/>
          <w:szCs w:val="20"/>
          <w:lang w:val="en-GB"/>
        </w:rPr>
        <w:id w:val="682251422"/>
        <w:docPartObj>
          <w:docPartGallery w:val="Table of Contents"/>
          <w:docPartUnique/>
        </w:docPartObj>
      </w:sdtPr>
      <w:sdtEndPr>
        <w:rPr>
          <w:rFonts w:ascii="Times New Roman" w:hAnsi="Times New Roman" w:eastAsia="Batang" w:cs="Times New Roman"/>
          <w:b/>
          <w:bCs/>
          <w:color w:val="auto"/>
          <w:sz w:val="20"/>
          <w:szCs w:val="20"/>
          <w:lang w:val="en-GB"/>
        </w:rPr>
      </w:sdtEndPr>
      <w:sdtContent>
        <w:p>
          <w:pPr>
            <w:pStyle w:val="265"/>
          </w:pPr>
          <w:bookmarkStart w:id="5" w:name="_Toc84709379"/>
          <w:r>
            <w:t>Table of Contents</w:t>
          </w:r>
          <w:bookmarkEnd w:id="5"/>
        </w:p>
        <w:p>
          <w:pPr>
            <w:pStyle w:val="17"/>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r>
            <w:fldChar w:fldCharType="begin"/>
          </w:r>
          <w:r>
            <w:instrText xml:space="preserve"> HYPERLINK \l "_Toc84709378" </w:instrText>
          </w:r>
          <w:r>
            <w:fldChar w:fldCharType="separate"/>
          </w:r>
          <w:r>
            <w:rPr>
              <w:rStyle w:val="38"/>
            </w:rPr>
            <w:t>1</w:t>
          </w:r>
          <w:r>
            <w:rPr>
              <w:rFonts w:eastAsiaTheme="minorEastAsia" w:cstheme="minorBidi"/>
              <w:b w:val="0"/>
              <w:bCs w:val="0"/>
              <w:i w:val="0"/>
              <w:iCs w:val="0"/>
              <w:lang w:val="en-US" w:eastAsia="zh-CN"/>
            </w:rPr>
            <w:tab/>
          </w:r>
          <w:r>
            <w:rPr>
              <w:rStyle w:val="38"/>
            </w:rPr>
            <w:t>Introduction</w:t>
          </w:r>
          <w:r>
            <w:tab/>
          </w:r>
          <w:r>
            <w:fldChar w:fldCharType="begin"/>
          </w:r>
          <w:r>
            <w:instrText xml:space="preserve"> PAGEREF _Toc84709378 \h </w:instrText>
          </w:r>
          <w:r>
            <w:fldChar w:fldCharType="separate"/>
          </w:r>
          <w:r>
            <w:t>1</w:t>
          </w:r>
          <w:r>
            <w:fldChar w:fldCharType="end"/>
          </w:r>
          <w:r>
            <w:fldChar w:fldCharType="end"/>
          </w:r>
        </w:p>
        <w:p>
          <w:pPr>
            <w:pStyle w:val="17"/>
            <w:tabs>
              <w:tab w:val="left" w:pos="400"/>
              <w:tab w:val="right" w:leader="dot" w:pos="9630"/>
            </w:tabs>
            <w:rPr>
              <w:rFonts w:eastAsiaTheme="minorEastAsia" w:cstheme="minorBidi"/>
              <w:b w:val="0"/>
              <w:bCs w:val="0"/>
              <w:i w:val="0"/>
              <w:iCs w:val="0"/>
              <w:lang w:val="en-US" w:eastAsia="zh-CN"/>
            </w:rPr>
          </w:pPr>
          <w:r>
            <w:fldChar w:fldCharType="begin"/>
          </w:r>
          <w:r>
            <w:instrText xml:space="preserve"> HYPERLINK \l "_Toc84709379" </w:instrText>
          </w:r>
          <w:r>
            <w:fldChar w:fldCharType="separate"/>
          </w:r>
          <w:r>
            <w:rPr>
              <w:rStyle w:val="38"/>
            </w:rPr>
            <w:t>2</w:t>
          </w:r>
          <w:r>
            <w:rPr>
              <w:rFonts w:eastAsiaTheme="minorEastAsia" w:cstheme="minorBidi"/>
              <w:b w:val="0"/>
              <w:bCs w:val="0"/>
              <w:i w:val="0"/>
              <w:iCs w:val="0"/>
              <w:lang w:val="en-US" w:eastAsia="zh-CN"/>
            </w:rPr>
            <w:tab/>
          </w:r>
          <w:r>
            <w:rPr>
              <w:rStyle w:val="38"/>
            </w:rPr>
            <w:t>Table of Contents</w:t>
          </w:r>
          <w:r>
            <w:tab/>
          </w:r>
          <w:r>
            <w:fldChar w:fldCharType="begin"/>
          </w:r>
          <w:r>
            <w:instrText xml:space="preserve"> PAGEREF _Toc84709379 \h </w:instrText>
          </w:r>
          <w:r>
            <w:fldChar w:fldCharType="separate"/>
          </w:r>
          <w:r>
            <w:t>2</w:t>
          </w:r>
          <w:r>
            <w:fldChar w:fldCharType="end"/>
          </w:r>
          <w:r>
            <w:fldChar w:fldCharType="end"/>
          </w:r>
        </w:p>
        <w:p>
          <w:pPr>
            <w:pStyle w:val="17"/>
            <w:tabs>
              <w:tab w:val="left" w:pos="400"/>
              <w:tab w:val="right" w:leader="dot" w:pos="9630"/>
            </w:tabs>
            <w:rPr>
              <w:rFonts w:eastAsiaTheme="minorEastAsia" w:cstheme="minorBidi"/>
              <w:b w:val="0"/>
              <w:bCs w:val="0"/>
              <w:i w:val="0"/>
              <w:iCs w:val="0"/>
              <w:lang w:val="en-US" w:eastAsia="zh-CN"/>
            </w:rPr>
          </w:pPr>
          <w:r>
            <w:fldChar w:fldCharType="begin"/>
          </w:r>
          <w:r>
            <w:instrText xml:space="preserve"> HYPERLINK \l "_Toc84709380" </w:instrText>
          </w:r>
          <w:r>
            <w:fldChar w:fldCharType="separate"/>
          </w:r>
          <w:r>
            <w:rPr>
              <w:rStyle w:val="38"/>
            </w:rPr>
            <w:t>3</w:t>
          </w:r>
          <w:r>
            <w:rPr>
              <w:rFonts w:eastAsiaTheme="minorEastAsia" w:cstheme="minorBidi"/>
              <w:b w:val="0"/>
              <w:bCs w:val="0"/>
              <w:i w:val="0"/>
              <w:iCs w:val="0"/>
              <w:lang w:val="en-US" w:eastAsia="zh-CN"/>
            </w:rPr>
            <w:tab/>
          </w:r>
          <w:r>
            <w:rPr>
              <w:rStyle w:val="38"/>
            </w:rPr>
            <w:t>Early indication of RedCap UEs</w:t>
          </w:r>
          <w:r>
            <w:tab/>
          </w:r>
          <w:r>
            <w:fldChar w:fldCharType="begin"/>
          </w:r>
          <w:r>
            <w:instrText xml:space="preserve"> PAGEREF _Toc84709380 \h </w:instrText>
          </w:r>
          <w:r>
            <w:fldChar w:fldCharType="separate"/>
          </w:r>
          <w:r>
            <w:t>2</w:t>
          </w:r>
          <w:r>
            <w:fldChar w:fldCharType="end"/>
          </w:r>
          <w:r>
            <w:fldChar w:fldCharType="end"/>
          </w:r>
        </w:p>
        <w:p>
          <w:pPr>
            <w:pStyle w:val="16"/>
            <w:tabs>
              <w:tab w:val="left" w:pos="800"/>
              <w:tab w:val="right" w:leader="dot" w:pos="9630"/>
            </w:tabs>
            <w:rPr>
              <w:rFonts w:eastAsiaTheme="minorEastAsia" w:cstheme="minorBidi"/>
              <w:b w:val="0"/>
              <w:bCs w:val="0"/>
              <w:sz w:val="24"/>
              <w:szCs w:val="24"/>
              <w:lang w:val="en-US" w:eastAsia="zh-CN"/>
            </w:rPr>
          </w:pPr>
          <w:r>
            <w:fldChar w:fldCharType="begin"/>
          </w:r>
          <w:r>
            <w:instrText xml:space="preserve"> HYPERLINK \l "_Toc84709381" </w:instrText>
          </w:r>
          <w:r>
            <w:fldChar w:fldCharType="separate"/>
          </w:r>
          <w:r>
            <w:rPr>
              <w:rStyle w:val="38"/>
            </w:rPr>
            <w:t>3.1</w:t>
          </w:r>
          <w:r>
            <w:rPr>
              <w:rFonts w:eastAsiaTheme="minorEastAsia" w:cstheme="minorBidi"/>
              <w:b w:val="0"/>
              <w:bCs w:val="0"/>
              <w:sz w:val="24"/>
              <w:szCs w:val="24"/>
              <w:lang w:val="en-US" w:eastAsia="zh-CN"/>
            </w:rPr>
            <w:tab/>
          </w:r>
          <w:r>
            <w:rPr>
              <w:rStyle w:val="38"/>
            </w:rPr>
            <w:t>Early indication in 2-step RACH</w:t>
          </w:r>
          <w:r>
            <w:tab/>
          </w:r>
          <w:r>
            <w:fldChar w:fldCharType="begin"/>
          </w:r>
          <w:r>
            <w:instrText xml:space="preserve"> PAGEREF _Toc84709381 \h </w:instrText>
          </w:r>
          <w:r>
            <w:fldChar w:fldCharType="separate"/>
          </w:r>
          <w:r>
            <w:t>2</w:t>
          </w:r>
          <w:r>
            <w:fldChar w:fldCharType="end"/>
          </w:r>
          <w:r>
            <w:fldChar w:fldCharType="end"/>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"_Toc84709382" </w:instrText>
          </w:r>
          <w:r>
            <w:fldChar w:fldCharType="separate"/>
          </w:r>
          <w:r>
            <w:rPr>
              <w:rStyle w:val="38"/>
              <w:lang w:eastAsia="ja-JP"/>
            </w:rPr>
            <w:t>Issue 1: Early indication for Redcap by MsgA PRACH in 2-Step RACH</w:t>
          </w:r>
          <w:r>
            <w:tab/>
          </w:r>
          <w:r>
            <w:fldChar w:fldCharType="end"/>
          </w:r>
          <w:r>
            <w:rPr>
              <w:highlight w:val="yellow"/>
            </w:rPr>
            <w:t>Proposals</w:t>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"_Toc84709383" </w:instrText>
          </w:r>
          <w:r>
            <w:fldChar w:fldCharType="separate"/>
          </w:r>
          <w:r>
            <w:rPr>
              <w:rStyle w:val="38"/>
              <w:lang w:eastAsia="ja-JP"/>
            </w:rPr>
            <w:t>Issue 2: Early indication for Redcap by MsgA PUSCH in 2-Step RACH</w:t>
          </w:r>
          <w:r>
            <w:tab/>
          </w:r>
          <w:r>
            <w:rPr>
              <w:highlight w:val="yellow"/>
            </w:rPr>
            <w:t>Discussion</w:t>
          </w:r>
          <w:r>
            <w:rPr>
              <w:rStyle w:val="38"/>
            </w:rPr>
            <w:t xml:space="preserve"> </w:t>
          </w:r>
          <w:r>
            <w:rPr>
              <w:rStyle w:val="38"/>
            </w:rPr>
            <w:fldChar w:fldCharType="end"/>
          </w:r>
        </w:p>
        <w:p>
          <w:pPr>
            <w:pStyle w:val="16"/>
            <w:tabs>
              <w:tab w:val="left" w:pos="800"/>
              <w:tab w:val="right" w:leader="dot" w:pos="9630"/>
            </w:tabs>
            <w:rPr>
              <w:rFonts w:eastAsiaTheme="minorEastAsia" w:cstheme="minorBidi"/>
              <w:b w:val="0"/>
              <w:bCs w:val="0"/>
              <w:sz w:val="24"/>
              <w:szCs w:val="24"/>
              <w:lang w:val="en-US" w:eastAsia="zh-CN"/>
            </w:rPr>
          </w:pPr>
          <w:r>
            <w:fldChar w:fldCharType="begin"/>
          </w:r>
          <w:r>
            <w:instrText xml:space="preserve"> HYPERLINK \l "_Toc84709384" </w:instrText>
          </w:r>
          <w:r>
            <w:fldChar w:fldCharType="separate"/>
          </w:r>
          <w:r>
            <w:rPr>
              <w:rStyle w:val="38"/>
              <w:lang w:eastAsia="ja-JP"/>
            </w:rPr>
            <w:t>3.2</w:t>
          </w:r>
          <w:r>
            <w:rPr>
              <w:rFonts w:eastAsiaTheme="minorEastAsia" w:cstheme="minorBidi"/>
              <w:b w:val="0"/>
              <w:bCs w:val="0"/>
              <w:sz w:val="24"/>
              <w:szCs w:val="24"/>
              <w:lang w:val="en-US" w:eastAsia="zh-CN"/>
            </w:rPr>
            <w:tab/>
          </w:r>
          <w:r>
            <w:rPr>
              <w:rStyle w:val="38"/>
              <w:lang w:eastAsia="ja-JP"/>
            </w:rPr>
            <w:t>Early indication in 4-step RACH</w:t>
          </w:r>
          <w:r>
            <w:tab/>
          </w:r>
          <w:r>
            <w:fldChar w:fldCharType="begin"/>
          </w:r>
          <w:r>
            <w:instrText xml:space="preserve"> PAGEREF _Toc84709384 \h </w:instrText>
          </w:r>
          <w:r>
            <w:fldChar w:fldCharType="separate"/>
          </w:r>
          <w:r>
            <w:t>4</w:t>
          </w:r>
          <w:r>
            <w:fldChar w:fldCharType="end"/>
          </w:r>
          <w:r>
            <w:fldChar w:fldCharType="end"/>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"_Toc84709385" </w:instrText>
          </w:r>
          <w:r>
            <w:fldChar w:fldCharType="separate"/>
          </w:r>
          <w:r>
            <w:rPr>
              <w:rStyle w:val="38"/>
              <w:lang w:eastAsia="ja-JP"/>
            </w:rPr>
            <w:t>Issue 3: Configuration of Msg1-based and Msg3-based early indication</w:t>
          </w:r>
          <w:r>
            <w:tab/>
          </w:r>
          <w:r>
            <w:rPr>
              <w:highlight w:val="yellow"/>
            </w:rPr>
            <w:t>Discussion</w:t>
          </w:r>
          <w:r>
            <w:t xml:space="preserve"> </w:t>
          </w:r>
          <w:r>
            <w:fldChar w:fldCharType="end"/>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"_Toc84709386" </w:instrText>
          </w:r>
          <w:r>
            <w:fldChar w:fldCharType="separate"/>
          </w:r>
          <w:r>
            <w:rPr>
              <w:rStyle w:val="38"/>
              <w:lang w:eastAsia="ja-JP"/>
            </w:rPr>
            <w:t xml:space="preserve">Issue 4: </w:t>
          </w:r>
          <w:r>
            <w:rPr>
              <w:rStyle w:val="38"/>
              <w:rFonts w:eastAsia="Times New Roman"/>
            </w:rPr>
            <w:t>PRACH preamble partitioning for</w:t>
          </w:r>
          <w:r>
            <w:rPr>
              <w:rStyle w:val="38"/>
              <w:lang w:eastAsia="ja-JP"/>
            </w:rPr>
            <w:t xml:space="preserve"> Msg1-based early indication</w:t>
          </w:r>
          <w:r>
            <w:tab/>
          </w:r>
          <w:r>
            <w:rPr>
              <w:highlight w:val="cyan"/>
            </w:rPr>
            <w:t>Discussion</w:t>
          </w:r>
          <w:r>
            <w:rPr>
              <w:rStyle w:val="38"/>
              <w:color w:val="auto"/>
              <w:u w:val="none"/>
            </w:rPr>
            <w:t xml:space="preserve"> </w:t>
          </w:r>
          <w:r>
            <w:rPr>
              <w:rStyle w:val="38"/>
              <w:color w:val="auto"/>
              <w:u w:val="none"/>
            </w:rPr>
            <w:fldChar w:fldCharType="end"/>
          </w:r>
        </w:p>
        <w:p>
          <w:pPr>
            <w:pStyle w:val="17"/>
            <w:tabs>
              <w:tab w:val="left" w:pos="400"/>
              <w:tab w:val="right" w:leader="dot" w:pos="9630"/>
            </w:tabs>
            <w:rPr>
              <w:rFonts w:eastAsiaTheme="minorEastAsia" w:cstheme="minorBidi"/>
              <w:b w:val="0"/>
              <w:bCs w:val="0"/>
              <w:i w:val="0"/>
              <w:iCs w:val="0"/>
              <w:lang w:val="en-US" w:eastAsia="zh-CN"/>
            </w:rPr>
          </w:pPr>
          <w:r>
            <w:fldChar w:fldCharType="begin"/>
          </w:r>
          <w:r>
            <w:instrText xml:space="preserve"> HYPERLINK \l "_Toc84709387" </w:instrText>
          </w:r>
          <w:r>
            <w:fldChar w:fldCharType="separate"/>
          </w:r>
          <w:r>
            <w:rPr>
              <w:rStyle w:val="38"/>
            </w:rPr>
            <w:t>4</w:t>
          </w:r>
          <w:r>
            <w:rPr>
              <w:rFonts w:eastAsiaTheme="minorEastAsia" w:cstheme="minorBidi"/>
              <w:b w:val="0"/>
              <w:bCs w:val="0"/>
              <w:i w:val="0"/>
              <w:iCs w:val="0"/>
              <w:lang w:val="en-US" w:eastAsia="zh-CN"/>
            </w:rPr>
            <w:tab/>
          </w:r>
          <w:r>
            <w:rPr>
              <w:rStyle w:val="38"/>
            </w:rPr>
            <w:t>Definition of Redcap UE Type</w:t>
          </w:r>
          <w:r>
            <w:tab/>
          </w:r>
          <w:r>
            <w:fldChar w:fldCharType="begin"/>
          </w:r>
          <w:r>
            <w:instrText xml:space="preserve"> PAGEREF _Toc84709387 \h </w:instrText>
          </w:r>
          <w:r>
            <w:fldChar w:fldCharType="separate"/>
          </w:r>
          <w:r>
            <w:t>7</w:t>
          </w:r>
          <w:r>
            <w:fldChar w:fldCharType="end"/>
          </w:r>
          <w: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"_Toc84709388" </w:instrText>
          </w:r>
          <w:r>
            <w:fldChar w:fldCharType="separate"/>
          </w:r>
          <w:r>
            <w:rPr>
              <w:rStyle w:val="38"/>
            </w:rPr>
            <w:t>Issue 4:  Redcap UE Type Definition</w:t>
          </w:r>
          <w:r>
            <w:tab/>
          </w:r>
          <w:r>
            <w:rPr>
              <w:highlight w:val="yellow"/>
            </w:rPr>
            <w:t>Proposals</w:t>
          </w:r>
          <w:r>
            <w:rPr>
              <w:rStyle w:val="38"/>
            </w:rPr>
            <w:t xml:space="preserve"> </w:t>
          </w:r>
          <w:r>
            <w:rPr>
              <w:rStyle w:val="38"/>
            </w:rP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"_Toc84709389" </w:instrText>
          </w:r>
          <w:r>
            <w:fldChar w:fldCharType="separate"/>
          </w:r>
          <w:r>
            <w:rPr>
              <w:rStyle w:val="38"/>
            </w:rPr>
            <w:t>4. Cell Access Restriction</w:t>
          </w:r>
          <w:r>
            <w:tab/>
          </w:r>
          <w:r>
            <w:fldChar w:fldCharType="begin"/>
          </w:r>
          <w:r>
            <w:instrText xml:space="preserve"> PAGEREF _Toc84709389 \h </w:instrText>
          </w:r>
          <w:r>
            <w:fldChar w:fldCharType="separate"/>
          </w:r>
          <w:r>
            <w:t>9</w:t>
          </w:r>
          <w:r>
            <w:fldChar w:fldCharType="end"/>
          </w:r>
          <w: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"_Toc84709390" </w:instrText>
          </w:r>
          <w:r>
            <w:fldChar w:fldCharType="separate"/>
          </w:r>
          <w:r>
            <w:rPr>
              <w:rStyle w:val="38"/>
            </w:rPr>
            <w:t>Issue 5:  Cell Access Restriction</w:t>
          </w:r>
          <w:r>
            <w:tab/>
          </w:r>
          <w:r>
            <w:rPr>
              <w:highlight w:val="cyan"/>
            </w:rPr>
            <w:t>Discussion</w:t>
          </w:r>
          <w:r>
            <w:rPr>
              <w:rStyle w:val="38"/>
              <w:color w:val="auto"/>
              <w:u w:val="none"/>
            </w:rPr>
            <w:t xml:space="preserve"> </w:t>
          </w:r>
          <w:r>
            <w:rPr>
              <w:rStyle w:val="38"/>
              <w:color w:val="auto"/>
              <w:u w:val="none"/>
            </w:rP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"_Toc84709391" </w:instrText>
          </w:r>
          <w:r>
            <w:fldChar w:fldCharType="separate"/>
          </w:r>
          <w:r>
            <w:rPr>
              <w:rStyle w:val="38"/>
            </w:rPr>
            <w:t>5. Other aspects</w:t>
          </w:r>
          <w:r>
            <w:tab/>
          </w:r>
          <w:r>
            <w:fldChar w:fldCharType="begin"/>
          </w:r>
          <w:r>
            <w:instrText xml:space="preserve"> PAGEREF _Toc84709391 \h </w:instrText>
          </w:r>
          <w:r>
            <w:fldChar w:fldCharType="separate"/>
          </w:r>
          <w:r>
            <w:t>9</w:t>
          </w:r>
          <w:r>
            <w:fldChar w:fldCharType="end"/>
          </w:r>
          <w: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"_Toc84709392" </w:instrText>
          </w:r>
          <w:r>
            <w:fldChar w:fldCharType="separate"/>
          </w:r>
          <w:r>
            <w:rPr>
              <w:rStyle w:val="38"/>
            </w:rPr>
            <w:t>Issue 6:  Need of separate SIB1 for Redcap</w:t>
          </w:r>
          <w:r>
            <w:tab/>
          </w:r>
          <w:r>
            <w:rPr>
              <w:highlight w:val="cyan"/>
            </w:rPr>
            <w:t>Discussion</w:t>
          </w:r>
          <w:r>
            <w:rPr>
              <w:rStyle w:val="38"/>
              <w:color w:val="auto"/>
              <w:u w:val="none"/>
            </w:rPr>
            <w:t xml:space="preserve"> </w:t>
          </w:r>
          <w:r>
            <w:rPr>
              <w:rStyle w:val="38"/>
              <w:color w:val="auto"/>
              <w:u w:val="none"/>
            </w:rP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"_Toc84709393" </w:instrText>
          </w:r>
          <w:r>
            <w:fldChar w:fldCharType="separate"/>
          </w:r>
          <w:r>
            <w:rPr>
              <w:rStyle w:val="38"/>
            </w:rPr>
            <w:t>Issue 7:  Measurements for Redcap with reduced number of Rx branches</w:t>
          </w:r>
          <w:r>
            <w:tab/>
          </w:r>
          <w:r>
            <w:rPr>
              <w:highlight w:val="cyan"/>
            </w:rPr>
            <w:t>Discussion</w:t>
          </w:r>
          <w:r>
            <w:rPr>
              <w:rStyle w:val="38"/>
              <w:color w:val="auto"/>
              <w:u w:val="none"/>
            </w:rPr>
            <w:t xml:space="preserve"> </w:t>
          </w:r>
          <w:r>
            <w:rPr>
              <w:rStyle w:val="38"/>
              <w:color w:val="auto"/>
              <w:u w:val="none"/>
            </w:rP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"_Toc84709394" </w:instrText>
          </w:r>
          <w:r>
            <w:fldChar w:fldCharType="separate"/>
          </w:r>
          <w:r>
            <w:rPr>
              <w:rStyle w:val="38"/>
            </w:rPr>
            <w:t>6. Conclusion</w:t>
          </w:r>
          <w:r>
            <w:tab/>
          </w:r>
          <w:r>
            <w:fldChar w:fldCharType="begin"/>
          </w:r>
          <w:r>
            <w:instrText xml:space="preserve"> PAGEREF _Toc84709394 \h </w:instrText>
          </w:r>
          <w:r>
            <w:fldChar w:fldCharType="separate"/>
          </w:r>
          <w:r>
            <w:t>11</w:t>
          </w:r>
          <w:r>
            <w:fldChar w:fldCharType="end"/>
          </w:r>
          <w: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"_Toc84709395" </w:instrText>
          </w:r>
          <w:r>
            <w:fldChar w:fldCharType="separate"/>
          </w:r>
          <w:r>
            <w:rPr>
              <w:rStyle w:val="38"/>
            </w:rPr>
            <w:t>Annex: Companies’ point of contact</w:t>
          </w:r>
          <w:r>
            <w:tab/>
          </w:r>
          <w:r>
            <w:fldChar w:fldCharType="begin"/>
          </w:r>
          <w:r>
            <w:instrText xml:space="preserve"> PAGEREF _Toc84709395 \h </w:instrText>
          </w:r>
          <w:r>
            <w:fldChar w:fldCharType="separate"/>
          </w:r>
          <w:r>
            <w:t>11</w:t>
          </w:r>
          <w:r>
            <w:fldChar w:fldCharType="end"/>
          </w:r>
          <w: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"_Toc84709396" </w:instrText>
          </w:r>
          <w:r>
            <w:fldChar w:fldCharType="separate"/>
          </w:r>
          <w:r>
            <w:rPr>
              <w:rStyle w:val="38"/>
            </w:rPr>
            <w:t>References</w:t>
          </w:r>
          <w:r>
            <w:tab/>
          </w:r>
          <w:r>
            <w:fldChar w:fldCharType="begin"/>
          </w:r>
          <w:r>
            <w:instrText xml:space="preserve"> PAGEREF _Toc84709396 \h </w:instrText>
          </w:r>
          <w:r>
            <w:fldChar w:fldCharType="separate"/>
          </w:r>
          <w:r>
            <w:t>12</w:t>
          </w:r>
          <w:r>
            <w:fldChar w:fldCharType="end"/>
          </w:r>
          <w:r>
            <w:fldChar w:fldCharType="end"/>
          </w:r>
        </w:p>
        <w:p>
          <w:r>
            <w:rPr>
              <w:b/>
              <w:bCs/>
            </w:rPr>
            <w:fldChar w:fldCharType="end"/>
          </w:r>
        </w:p>
      </w:sdtContent>
    </w:sdt>
    <w:p>
      <w:pPr>
        <w:spacing w:after="100" w:afterAutospacing="1"/>
        <w:jc w:val="both"/>
        <w:rPr>
          <w:lang w:val="en-US"/>
        </w:rPr>
      </w:pPr>
    </w:p>
    <w:p>
      <w:pPr>
        <w:pStyle w:val="2"/>
      </w:pPr>
      <w:bookmarkStart w:id="6" w:name="_Toc84709380"/>
      <w:r>
        <w:t>Early indication of RedCap UEs</w:t>
      </w:r>
      <w:bookmarkEnd w:id="6"/>
    </w:p>
    <w:p>
      <w:pPr>
        <w:pStyle w:val="3"/>
      </w:pPr>
      <w:bookmarkStart w:id="7" w:name="_Toc84709381"/>
      <w:r>
        <w:t>Early indication in 2-step RACH</w:t>
      </w:r>
      <w:bookmarkEnd w:id="7"/>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pPr>
        <w:tabs>
          <w:tab w:val="left" w:pos="1410"/>
        </w:tabs>
        <w:spacing w:after="0"/>
        <w:jc w:val="both"/>
        <w:rPr>
          <w:szCs w:val="24"/>
        </w:rPr>
      </w:pPr>
      <w:r>
        <w:rPr>
          <w:szCs w:val="24"/>
        </w:rPr>
        <w:t xml:space="preserve">The following was agreed in RAN1 105 e-meeting that 2-step RACH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highlight w:val="green"/>
                <w:lang w:eastAsia="ja-JP"/>
              </w:rPr>
            </w:pPr>
            <w:r>
              <w:rPr>
                <w:highlight w:val="green"/>
                <w:lang w:eastAsia="ja-JP"/>
              </w:rPr>
              <w:t>Agreements:</w:t>
            </w:r>
          </w:p>
          <w:p>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pPr>
              <w:numPr>
                <w:ilvl w:val="1"/>
                <w:numId w:val="12"/>
              </w:numPr>
              <w:spacing w:after="0" w:line="252" w:lineRule="auto"/>
              <w:contextualSpacing/>
              <w:rPr>
                <w:lang w:eastAsia="ja-JP"/>
              </w:rPr>
            </w:pPr>
            <w:r>
              <w:rPr>
                <w:lang w:eastAsia="zh-CN"/>
              </w:rPr>
              <w:t>FFS details of early indication in MsgA, e.g.:</w:t>
            </w:r>
          </w:p>
          <w:p>
            <w:pPr>
              <w:numPr>
                <w:ilvl w:val="2"/>
                <w:numId w:val="13"/>
              </w:numPr>
              <w:spacing w:after="0" w:line="252" w:lineRule="auto"/>
              <w:contextualSpacing/>
              <w:jc w:val="both"/>
              <w:rPr>
                <w:lang w:eastAsia="ja-JP"/>
              </w:rPr>
            </w:pPr>
            <w:r>
              <w:rPr>
                <w:lang w:eastAsia="ja-JP"/>
              </w:rPr>
              <w:t>Separation of 2-step RACH resources or MsgA preambles</w:t>
            </w:r>
          </w:p>
          <w:p>
            <w:pPr>
              <w:numPr>
                <w:ilvl w:val="2"/>
                <w:numId w:val="13"/>
              </w:numPr>
              <w:spacing w:after="0" w:line="252" w:lineRule="auto"/>
              <w:contextualSpacing/>
              <w:jc w:val="both"/>
              <w:rPr>
                <w:lang w:eastAsia="ja-JP"/>
              </w:rPr>
            </w:pPr>
            <w:r>
              <w:rPr>
                <w:lang w:eastAsia="ja-JP"/>
              </w:rPr>
              <w:t>Separation of initial UL BWP</w:t>
            </w:r>
          </w:p>
          <w:p>
            <w:pPr>
              <w:numPr>
                <w:ilvl w:val="2"/>
                <w:numId w:val="13"/>
              </w:numPr>
              <w:spacing w:after="0" w:line="252" w:lineRule="auto"/>
              <w:contextualSpacing/>
              <w:jc w:val="both"/>
              <w:rPr>
                <w:lang w:val="en-US" w:eastAsia="ja-JP"/>
              </w:rPr>
            </w:pPr>
            <w:r>
              <w:rPr>
                <w:lang w:eastAsia="ja-JP"/>
              </w:rPr>
              <w:t>Using a new indication in MsgA PUSCH part</w:t>
            </w:r>
          </w:p>
          <w:p>
            <w:pPr>
              <w:numPr>
                <w:ilvl w:val="1"/>
                <w:numId w:val="12"/>
              </w:numPr>
              <w:spacing w:after="0" w:line="252" w:lineRule="auto"/>
              <w:contextualSpacing/>
              <w:rPr>
                <w:lang w:eastAsia="ja-JP"/>
              </w:rPr>
            </w:pPr>
            <w:r>
              <w:rPr>
                <w:lang w:eastAsia="ja-JP"/>
              </w:rPr>
              <w:t>Note: Discussion on 4-step RACH for early indication should be prioritised</w:t>
            </w:r>
          </w:p>
          <w:p>
            <w:pPr>
              <w:tabs>
                <w:tab w:val="left" w:pos="1410"/>
              </w:tabs>
              <w:spacing w:after="100" w:afterAutospacing="1"/>
              <w:jc w:val="both"/>
              <w:rPr>
                <w:szCs w:val="24"/>
              </w:rPr>
            </w:pPr>
          </w:p>
        </w:tc>
      </w:tr>
    </w:tbl>
    <w:p>
      <w:pPr>
        <w:tabs>
          <w:tab w:val="left" w:pos="1410"/>
        </w:tabs>
        <w:spacing w:before="180"/>
        <w:jc w:val="both"/>
        <w:rPr>
          <w:szCs w:val="24"/>
        </w:rPr>
      </w:pPr>
    </w:p>
    <w:p>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highlight w:val="green"/>
                <w:lang w:eastAsia="ja-JP"/>
              </w:rPr>
            </w:pPr>
            <w:r>
              <w:rPr>
                <w:highlight w:val="green"/>
                <w:lang w:eastAsia="ja-JP"/>
              </w:rPr>
              <w:t>Agreements:</w:t>
            </w:r>
          </w:p>
          <w:p>
            <w:pPr>
              <w:spacing w:line="252" w:lineRule="auto"/>
              <w:contextualSpacing/>
              <w:rPr>
                <w:lang w:val="en-US"/>
              </w:rPr>
            </w:pPr>
            <w:r>
              <w:rPr>
                <w:bCs/>
              </w:rPr>
              <w:t>Confirm the following working assumption with the modifications in red:</w:t>
            </w:r>
          </w:p>
          <w:p>
            <w:pPr>
              <w:numPr>
                <w:ilvl w:val="0"/>
                <w:numId w:val="13"/>
              </w:numPr>
              <w:spacing w:after="0" w:line="252" w:lineRule="auto"/>
              <w:contextualSpacing/>
              <w:rPr>
                <w:lang w:val="en-US"/>
              </w:rPr>
            </w:pPr>
            <w:r>
              <w:t>For 4-step RACH, support the early indication of RedCap UEs at least in Msg1.</w:t>
            </w:r>
          </w:p>
          <w:p>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14:textFill>
                  <w14:solidFill>
                    <w14:schemeClr w14:val="tx1"/>
                  </w14:solidFill>
                </w14:textFill>
              </w:rPr>
              <w:t>disabled via SIB</w:t>
            </w:r>
          </w:p>
          <w:p>
            <w:pPr>
              <w:numPr>
                <w:ilvl w:val="1"/>
                <w:numId w:val="13"/>
              </w:numPr>
              <w:spacing w:after="0" w:line="252" w:lineRule="auto"/>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rPr>
            </w:pPr>
            <w:r>
              <w:rPr>
                <w:rFonts w:eastAsia="Times New Roman"/>
              </w:rPr>
              <w:t>separate PRACH resource</w:t>
            </w:r>
          </w:p>
          <w:p>
            <w:pPr>
              <w:numPr>
                <w:ilvl w:val="2"/>
                <w:numId w:val="13"/>
              </w:numPr>
              <w:spacing w:after="0" w:line="252" w:lineRule="auto"/>
              <w:jc w:val="both"/>
              <w:rPr>
                <w:rFonts w:eastAsia="Times New Roman"/>
              </w:rPr>
            </w:pPr>
            <w:r>
              <w:rPr>
                <w:rFonts w:eastAsia="Times New Roman"/>
              </w:rPr>
              <w:t>PRACH preamble partitioning</w:t>
            </w:r>
          </w:p>
          <w:p>
            <w:pPr>
              <w:spacing w:line="252" w:lineRule="auto"/>
              <w:contextualSpacing/>
              <w:rPr>
                <w:bCs/>
              </w:rPr>
            </w:pPr>
          </w:p>
          <w:p>
            <w:pPr>
              <w:spacing w:line="252" w:lineRule="auto"/>
              <w:contextualSpacing/>
              <w:rPr>
                <w:bCs/>
              </w:rPr>
            </w:pPr>
            <w:r>
              <w:rPr>
                <w:bCs/>
              </w:rPr>
              <w:t>Whether/how to support early indication of RedCap UEs in Msg3 in Rel-17 is up to RAN2.</w:t>
            </w:r>
          </w:p>
          <w:p>
            <w:pPr>
              <w:tabs>
                <w:tab w:val="left" w:pos="1410"/>
              </w:tabs>
              <w:spacing w:after="100" w:afterAutospacing="1"/>
              <w:jc w:val="both"/>
              <w:rPr>
                <w:szCs w:val="24"/>
              </w:rPr>
            </w:pPr>
          </w:p>
        </w:tc>
      </w:tr>
    </w:tbl>
    <w:p>
      <w:pPr>
        <w:tabs>
          <w:tab w:val="left" w:pos="1410"/>
        </w:tabs>
        <w:spacing w:before="180"/>
        <w:jc w:val="both"/>
        <w:rPr>
          <w:rFonts w:eastAsia="Yu Mincho"/>
          <w:lang w:eastAsia="ja-JP"/>
        </w:rPr>
      </w:pPr>
    </w:p>
    <w:p>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pPr>
        <w:tabs>
          <w:tab w:val="left" w:pos="1410"/>
        </w:tabs>
        <w:spacing w:before="180"/>
        <w:jc w:val="center"/>
        <w:rPr>
          <w:b/>
          <w:bCs/>
          <w:szCs w:val="24"/>
        </w:rPr>
      </w:pPr>
      <w:r>
        <w:rPr>
          <w:b/>
          <w:bCs/>
          <w:szCs w:val="24"/>
        </w:rPr>
        <w:t>Table 1: Early indication of RedCap UEs in PRACH resource of 2-step RACH</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2070"/>
        <w:gridCol w:w="1800"/>
        <w:gridCol w:w="14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Merge w:val="restart"/>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25" w:type="dxa"/>
            <w:vMerge w:val="continue"/>
          </w:tcPr>
          <w:p>
            <w:pPr>
              <w:pStyle w:val="48"/>
              <w:numPr>
                <w:ilvl w:val="0"/>
                <w:numId w:val="14"/>
              </w:numPr>
              <w:tabs>
                <w:tab w:val="left" w:pos="1410"/>
              </w:tabs>
              <w:spacing w:after="100" w:afterAutospacing="1"/>
              <w:rPr>
                <w:rFonts w:ascii="Times New Roman" w:hAnsi="Times New Roman" w:cs="Times New Roman"/>
                <w:sz w:val="20"/>
                <w:szCs w:val="20"/>
              </w:rPr>
            </w:pPr>
          </w:p>
        </w:tc>
        <w:tc>
          <w:tcPr>
            <w:tcW w:w="2070" w:type="dxa"/>
          </w:tcPr>
          <w:p>
            <w:pPr>
              <w:tabs>
                <w:tab w:val="left" w:pos="1410"/>
              </w:tabs>
              <w:spacing w:after="100" w:afterAutospacing="1"/>
              <w:rPr>
                <w:rFonts w:ascii="Times" w:hAnsi="Times"/>
                <w:szCs w:val="24"/>
              </w:rPr>
            </w:pPr>
            <w:r>
              <w:rPr>
                <w:rFonts w:ascii="Times" w:hAnsi="Times"/>
                <w:szCs w:val="24"/>
              </w:rPr>
              <w:t>Companies</w:t>
            </w:r>
          </w:p>
        </w:tc>
        <w:tc>
          <w:tcPr>
            <w:tcW w:w="1800" w:type="dxa"/>
          </w:tcPr>
          <w:p>
            <w:pPr>
              <w:tabs>
                <w:tab w:val="left" w:pos="1410"/>
              </w:tabs>
              <w:spacing w:after="100" w:afterAutospacing="1"/>
              <w:rPr>
                <w:rFonts w:ascii="Times" w:hAnsi="Times"/>
                <w:szCs w:val="24"/>
              </w:rPr>
            </w:pPr>
            <w:r>
              <w:rPr>
                <w:rFonts w:ascii="Times" w:hAnsi="Times"/>
                <w:szCs w:val="24"/>
              </w:rPr>
              <w:t>Num. of companies</w:t>
            </w:r>
          </w:p>
        </w:tc>
        <w:tc>
          <w:tcPr>
            <w:tcW w:w="1440" w:type="dxa"/>
          </w:tcPr>
          <w:p>
            <w:pPr>
              <w:tabs>
                <w:tab w:val="left" w:pos="1410"/>
              </w:tabs>
              <w:spacing w:after="100" w:afterAutospacing="1"/>
              <w:rPr>
                <w:rFonts w:ascii="Times" w:hAnsi="Times"/>
                <w:szCs w:val="24"/>
              </w:rPr>
            </w:pPr>
            <w:r>
              <w:rPr>
                <w:rFonts w:ascii="Times" w:hAnsi="Times"/>
                <w:szCs w:val="24"/>
              </w:rPr>
              <w:t>Companies</w:t>
            </w:r>
          </w:p>
        </w:tc>
        <w:tc>
          <w:tcPr>
            <w:tcW w:w="1800" w:type="dxa"/>
          </w:tcPr>
          <w:p>
            <w:pPr>
              <w:tabs>
                <w:tab w:val="left" w:pos="1410"/>
              </w:tabs>
              <w:spacing w:after="100" w:afterAutospacing="1"/>
              <w:rPr>
                <w:rFonts w:ascii="Times" w:hAnsi="Times"/>
                <w:szCs w:val="24"/>
              </w:rPr>
            </w:pPr>
            <w:r>
              <w:rPr>
                <w:rFonts w:ascii="Times" w:hAnsi="Times"/>
                <w:szCs w:val="24"/>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425" w:type="dxa"/>
          </w:tcPr>
          <w:p>
            <w:pPr>
              <w:pStyle w:val="48"/>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pPr>
              <w:pStyle w:val="48"/>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pPr>
              <w:tabs>
                <w:tab w:val="left" w:pos="1410"/>
              </w:tabs>
              <w:spacing w:after="100" w:afterAutospacing="1"/>
              <w:rPr>
                <w:rFonts w:ascii="Times" w:hAnsi="Times"/>
                <w:szCs w:val="24"/>
              </w:rPr>
            </w:pPr>
            <w:r>
              <w:rPr>
                <w:rFonts w:ascii="Times" w:hAnsi="Times"/>
                <w:szCs w:val="24"/>
              </w:rPr>
              <w:t>12</w:t>
            </w:r>
          </w:p>
        </w:tc>
        <w:tc>
          <w:tcPr>
            <w:tcW w:w="1440" w:type="dxa"/>
          </w:tcPr>
          <w:p>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pPr>
              <w:tabs>
                <w:tab w:val="left" w:pos="1410"/>
              </w:tabs>
              <w:spacing w:after="100" w:afterAutospacing="1"/>
              <w:rPr>
                <w:rFonts w:ascii="Times" w:hAnsi="Times"/>
                <w:szCs w:val="24"/>
              </w:rPr>
            </w:pPr>
            <w:r>
              <w:rPr>
                <w:rFonts w:ascii="Times" w:hAnsi="Times"/>
                <w:szCs w:val="24"/>
              </w:rPr>
              <w:t>1</w:t>
            </w:r>
          </w:p>
        </w:tc>
      </w:tr>
    </w:tbl>
    <w:p>
      <w:pPr>
        <w:tabs>
          <w:tab w:val="left" w:pos="1410"/>
        </w:tabs>
        <w:spacing w:after="100" w:afterAutospacing="1"/>
        <w:jc w:val="both"/>
        <w:rPr>
          <w:rFonts w:ascii="Times" w:hAnsi="Times"/>
          <w:szCs w:val="24"/>
        </w:rPr>
      </w:pPr>
    </w:p>
    <w:p>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pPr>
        <w:pStyle w:val="229"/>
        <w:numPr>
          <w:ilvl w:val="0"/>
          <w:numId w:val="15"/>
        </w:numPr>
        <w:outlineLvl w:val="3"/>
      </w:pPr>
      <w:bookmarkStart w:id="9" w:name="_Toc79688484"/>
      <w:bookmarkStart w:id="10" w:name="_Toc79688790"/>
      <w:r>
        <w:t>&lt;1st Round Comments&gt;</w:t>
      </w:r>
      <w:bookmarkEnd w:id="9"/>
      <w:bookmarkEnd w:id="10"/>
      <w:r>
        <w:t xml:space="preserve"> </w:t>
      </w:r>
    </w:p>
    <w:p>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pPr>
        <w:tabs>
          <w:tab w:val="left" w:pos="1410"/>
        </w:tabs>
        <w:spacing w:after="0"/>
        <w:jc w:val="both"/>
        <w:rPr>
          <w:b/>
          <w:bCs/>
          <w:lang w:val="en-US"/>
        </w:rPr>
      </w:pPr>
      <w:r>
        <w:rPr>
          <w:b/>
          <w:highlight w:val="yellow"/>
          <w:lang w:val="en-US"/>
        </w:rPr>
        <w:t>FL1 High Priority Proposal 1-1</w:t>
      </w:r>
      <w:r>
        <w:rPr>
          <w:b/>
          <w:bCs/>
          <w:lang w:val="en-US"/>
        </w:rPr>
        <w:t>:</w:t>
      </w:r>
    </w:p>
    <w:p>
      <w:pPr>
        <w:numPr>
          <w:ilvl w:val="0"/>
          <w:numId w:val="13"/>
        </w:numPr>
        <w:spacing w:after="0" w:line="252" w:lineRule="auto"/>
        <w:contextualSpacing/>
        <w:rPr>
          <w:b/>
          <w:bCs/>
          <w:lang w:val="en-US"/>
        </w:rPr>
      </w:pPr>
      <w:r>
        <w:rPr>
          <w:b/>
          <w:bCs/>
        </w:rPr>
        <w:t>For 2-step RACH, support the early indication of RedCap UEs at least in MsgA PRACH.</w:t>
      </w:r>
    </w:p>
    <w:p>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14:textFill>
            <w14:solidFill>
              <w14:schemeClr w14:val="tx1"/>
            </w14:solidFill>
          </w14:textFill>
        </w:rPr>
        <w:t>disabled via SIB</w:t>
      </w:r>
    </w:p>
    <w:p>
      <w:pPr>
        <w:numPr>
          <w:ilvl w:val="1"/>
          <w:numId w:val="13"/>
        </w:numPr>
        <w:spacing w:after="0" w:line="252" w:lineRule="auto"/>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b/>
          <w:bCs/>
        </w:rPr>
      </w:pPr>
      <w:r>
        <w:rPr>
          <w:rFonts w:eastAsia="Times New Roman"/>
          <w:b/>
          <w:bCs/>
        </w:rPr>
        <w:t>separate MsgA PRACH resource</w:t>
      </w:r>
    </w:p>
    <w:p>
      <w:pPr>
        <w:numPr>
          <w:ilvl w:val="2"/>
          <w:numId w:val="13"/>
        </w:numPr>
        <w:spacing w:after="0" w:line="252" w:lineRule="auto"/>
        <w:jc w:val="both"/>
        <w:rPr>
          <w:rFonts w:eastAsia="Times New Roman"/>
          <w:b/>
          <w:bCs/>
        </w:rPr>
      </w:pPr>
      <w:r>
        <w:rPr>
          <w:rFonts w:eastAsia="Times New Roman"/>
          <w:b/>
          <w:bCs/>
        </w:rPr>
        <w:t>MsgA PRACH preamble partitioning</w:t>
      </w:r>
    </w:p>
    <w:p>
      <w:pPr>
        <w:spacing w:after="0" w:line="252" w:lineRule="auto"/>
        <w:jc w:val="both"/>
      </w:pPr>
    </w:p>
    <w:p>
      <w:pPr>
        <w:spacing w:after="0" w:line="252" w:lineRule="auto"/>
        <w:jc w:val="both"/>
      </w:pPr>
    </w:p>
    <w:p>
      <w:pPr>
        <w:spacing w:after="0" w:line="252" w:lineRule="auto"/>
        <w:jc w:val="both"/>
        <w:rPr>
          <w:rFonts w:eastAsia="Times New Roman"/>
        </w:rPr>
      </w:pPr>
      <w:r>
        <w:t xml:space="preserve">Companies are invited to provide feedback with briefly justification if change is needed. </w:t>
      </w:r>
    </w:p>
    <w:p>
      <w:pPr>
        <w:spacing w:after="0" w:line="252" w:lineRule="auto"/>
        <w:jc w:val="both"/>
        <w:rPr>
          <w:rFonts w:eastAsia="Times New Roman"/>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Though early indication in MsgA PUSCH is possible, the gNB may fail to decode MsgA PUSCH and use fallback scheduling of Msg3. In this case, early indication in MsgA PRACH is more robust.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1" w:name="_Toc84709383"/>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pPr>
              <w:rPr>
                <w:rFonts w:eastAsia="Yu Mincho"/>
                <w:lang w:val="en-US" w:eastAsia="ja-JP"/>
              </w:rPr>
            </w:pPr>
            <w:r>
              <w:rPr>
                <w:rFonts w:eastAsia="Yu Mincho"/>
                <w:lang w:val="en-US" w:eastAsia="ja-JP"/>
              </w:rPr>
              <w:t>Also, based on the following agreement in RAN1#106-e, “(if supported)” in the proposal can be deleted.</w:t>
            </w:r>
          </w:p>
          <w:p>
            <w:pPr>
              <w:autoSpaceDN w:val="0"/>
              <w:spacing w:line="252" w:lineRule="auto"/>
              <w:rPr>
                <w:lang w:val="en-US"/>
              </w:rPr>
            </w:pPr>
            <w:r>
              <w:rPr>
                <w:highlight w:val="green"/>
                <w:lang w:val="en-US"/>
              </w:rPr>
              <w:t>Agreements:</w:t>
            </w:r>
          </w:p>
          <w:p>
            <w:pPr>
              <w:autoSpaceDN w:val="0"/>
              <w:spacing w:line="252" w:lineRule="auto"/>
              <w:rPr>
                <w:lang w:val="en-US"/>
              </w:rPr>
            </w:pPr>
            <w:r>
              <w:rPr>
                <w:lang w:val="en-US"/>
              </w:rPr>
              <w:t>Confirm the following working assumption from RAN1#105-e regarding RACH occasions.</w:t>
            </w:r>
          </w:p>
          <w:p>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6"/>
              </w:numPr>
              <w:autoSpaceDN w:val="0"/>
              <w:spacing w:after="0" w:line="252" w:lineRule="auto"/>
              <w:rPr>
                <w:lang w:val="en-US"/>
              </w:rPr>
            </w:pPr>
            <w:r>
              <w:rPr>
                <w:lang w:val="en-US"/>
              </w:rPr>
              <w:t>Note: these ROs can be dedicated for RedCap UEs or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lang w:val="en-US" w:eastAsia="ko-KR"/>
              </w:rPr>
              <w:t>Ericsson</w:t>
            </w:r>
          </w:p>
        </w:tc>
        <w:tc>
          <w:tcPr>
            <w:tcW w:w="1372" w:type="dxa"/>
          </w:tcPr>
          <w:p>
            <w:pPr>
              <w:tabs>
                <w:tab w:val="left" w:pos="551"/>
              </w:tabs>
              <w:rPr>
                <w:rFonts w:eastAsia="宋体"/>
                <w:lang w:val="en-US" w:eastAsia="zh-CN"/>
              </w:rPr>
            </w:pPr>
            <w:r>
              <w:rPr>
                <w:lang w:val="en-US" w:eastAsia="ko-KR"/>
              </w:rPr>
              <w:t>Y, with modification</w:t>
            </w:r>
          </w:p>
        </w:tc>
        <w:tc>
          <w:tcPr>
            <w:tcW w:w="6780" w:type="dxa"/>
          </w:tcPr>
          <w:p>
            <w:pPr>
              <w:rPr>
                <w:lang w:val="en-US" w:eastAsia="ko-KR"/>
              </w:rPr>
            </w:pPr>
            <w:r>
              <w:rPr>
                <w:lang w:val="en-US" w:eastAsia="ko-KR"/>
              </w:rPr>
              <w:t>We are fine with the proposal with the following note:</w:t>
            </w:r>
          </w:p>
          <w:p>
            <w:pPr>
              <w:pStyle w:val="48"/>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r>
              <w:rPr>
                <w:rFonts w:eastAsia="Yu Mincho"/>
                <w:lang w:val="en-US" w:eastAsia="ja-JP"/>
              </w:rPr>
              <w:t xml:space="preserve">But as suggested during the GTW session, with the additional comment below.  </w:t>
            </w:r>
          </w:p>
          <w:p>
            <w:pPr>
              <w:rPr>
                <w:rFonts w:eastAsia="Yu Mincho"/>
                <w:lang w:val="en-US" w:eastAsia="ja-JP"/>
              </w:rPr>
            </w:pPr>
            <w:r>
              <w:rPr>
                <w:bCs/>
                <w:i/>
                <w:iCs/>
                <w:color w:val="FF0000"/>
              </w:rPr>
              <w:t>Whether/how to support early indication of RedCap UEs in MsgA PUSCH in Rel-17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p>
        </w:tc>
        <w:tc>
          <w:tcPr>
            <w:tcW w:w="6780" w:type="dxa"/>
          </w:tcPr>
          <w:p>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rFonts w:eastAsia="宋体"/>
                <w:lang w:val="en-US" w:eastAsia="zh-CN"/>
              </w:rPr>
            </w:pPr>
          </w:p>
        </w:tc>
        <w:tc>
          <w:tcPr>
            <w:tcW w:w="6780" w:type="dxa"/>
          </w:tcPr>
          <w:p>
            <w:pPr>
              <w:jc w:val="both"/>
              <w:rPr>
                <w:lang w:eastAsia="ja-JP"/>
              </w:rPr>
            </w:pPr>
            <w:r>
              <w:rPr>
                <w:lang w:eastAsia="ja-JP"/>
              </w:rPr>
              <w:t xml:space="preserve">We ACK that FFS part talks about early identification, but main bullet does NOT </w:t>
            </w:r>
          </w:p>
          <w:p>
            <w:pPr>
              <w:jc w:val="both"/>
              <w:rPr>
                <w:highlight w:val="green"/>
                <w:lang w:eastAsia="ja-JP"/>
              </w:rPr>
            </w:pPr>
            <w:r>
              <w:rPr>
                <w:highlight w:val="green"/>
                <w:lang w:eastAsia="ja-JP"/>
              </w:rPr>
              <w:t>Agreement:</w:t>
            </w:r>
          </w:p>
          <w:p>
            <w:pPr>
              <w:pStyle w:val="48"/>
              <w:numPr>
                <w:ilvl w:val="0"/>
                <w:numId w:val="13"/>
              </w:numPr>
              <w:jc w:val="both"/>
              <w:rPr>
                <w:szCs w:val="20"/>
                <w:highlight w:val="yellow"/>
              </w:rPr>
            </w:pPr>
            <w:r>
              <w:rPr>
                <w:szCs w:val="20"/>
                <w:highlight w:val="yellow"/>
                <w:lang w:eastAsia="zh-CN"/>
              </w:rPr>
              <w:t>Support 2-step RACH for RedCap UEs as an optional feature</w:t>
            </w:r>
          </w:p>
          <w:p>
            <w:pPr>
              <w:pStyle w:val="48"/>
              <w:numPr>
                <w:ilvl w:val="1"/>
                <w:numId w:val="13"/>
              </w:numPr>
              <w:jc w:val="both"/>
              <w:rPr>
                <w:szCs w:val="20"/>
              </w:rPr>
            </w:pPr>
            <w:r>
              <w:rPr>
                <w:szCs w:val="20"/>
                <w:lang w:eastAsia="zh-CN"/>
              </w:rPr>
              <w:t>FFS details of early indication in MsgA, e.g.:</w:t>
            </w:r>
          </w:p>
          <w:p>
            <w:pPr>
              <w:pStyle w:val="48"/>
              <w:numPr>
                <w:ilvl w:val="2"/>
                <w:numId w:val="13"/>
              </w:numPr>
              <w:jc w:val="both"/>
              <w:rPr>
                <w:szCs w:val="20"/>
              </w:rPr>
            </w:pPr>
            <w:r>
              <w:rPr>
                <w:szCs w:val="20"/>
              </w:rPr>
              <w:t>Separation of 2-step RACH resources or MsgA preambles</w:t>
            </w:r>
          </w:p>
          <w:p>
            <w:pPr>
              <w:pStyle w:val="48"/>
              <w:numPr>
                <w:ilvl w:val="2"/>
                <w:numId w:val="13"/>
              </w:numPr>
              <w:jc w:val="both"/>
              <w:rPr>
                <w:szCs w:val="20"/>
              </w:rPr>
            </w:pPr>
            <w:r>
              <w:rPr>
                <w:szCs w:val="20"/>
              </w:rPr>
              <w:t>Separation of initial UL BWP</w:t>
            </w:r>
          </w:p>
          <w:p>
            <w:pPr>
              <w:pStyle w:val="48"/>
              <w:numPr>
                <w:ilvl w:val="2"/>
                <w:numId w:val="13"/>
              </w:numPr>
              <w:jc w:val="both"/>
              <w:rPr>
                <w:rFonts w:ascii="Segoe UI" w:hAnsi="Segoe UI" w:cs="Segoe UI"/>
                <w:szCs w:val="20"/>
                <w:lang w:val="en-US"/>
              </w:rPr>
            </w:pPr>
            <w:r>
              <w:rPr>
                <w:szCs w:val="20"/>
              </w:rPr>
              <w:t>Using a new indication in MsgA PUSCH part</w:t>
            </w:r>
          </w:p>
          <w:p>
            <w:pPr>
              <w:pStyle w:val="48"/>
              <w:numPr>
                <w:ilvl w:val="1"/>
                <w:numId w:val="13"/>
              </w:numPr>
              <w:jc w:val="both"/>
              <w:rPr>
                <w:rFonts w:ascii="Segoe UI" w:hAnsi="Segoe UI" w:cs="Segoe UI"/>
                <w:szCs w:val="20"/>
              </w:rPr>
            </w:pPr>
            <w:r>
              <w:rPr>
                <w:szCs w:val="20"/>
              </w:rPr>
              <w:t>Note: Discussion on 4-step RACH for early indication should be prioritised</w:t>
            </w:r>
          </w:p>
          <w:p>
            <w:pPr>
              <w:rPr>
                <w:rFonts w:eastAsia="Yu Mincho"/>
                <w:lang w:val="en-US" w:eastAsia="ja-JP"/>
              </w:rPr>
            </w:pPr>
          </w:p>
          <w:p>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pPr>
              <w:rPr>
                <w:rFonts w:eastAsia="Yu Mincho"/>
                <w:lang w:val="en-US" w:eastAsia="ja-JP"/>
              </w:rPr>
            </w:pPr>
          </w:p>
          <w:p>
            <w:pPr>
              <w:rPr>
                <w:rFonts w:eastAsia="Yu Mincho"/>
                <w:lang w:val="sv-SE" w:eastAsia="ja-JP"/>
              </w:rPr>
            </w:pP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pPr>
              <w:jc w:val="both"/>
              <w:rPr>
                <w:lang w:eastAsia="ja-JP"/>
              </w:rPr>
            </w:pPr>
            <w:r>
              <w:rPr>
                <w:lang w:eastAsia="ja-JP"/>
              </w:rPr>
              <w:t>We would also be fine to add the note suggested by some regarding leaving the support of indication via MsgA PUSCH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N</w:t>
            </w:r>
          </w:p>
        </w:tc>
        <w:tc>
          <w:tcPr>
            <w:tcW w:w="6780" w:type="dxa"/>
          </w:tcPr>
          <w:p>
            <w:pPr>
              <w:jc w:val="both"/>
              <w:rPr>
                <w:lang w:eastAsia="ja-JP"/>
              </w:rPr>
            </w:pPr>
            <w:r>
              <w:rPr>
                <w:rFonts w:hint="eastAsia" w:eastAsia="Yu Mincho"/>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SPRD</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jc w:val="both"/>
              <w:rPr>
                <w:rFonts w:eastAsia="Yu Mincho"/>
                <w:lang w:val="en-US" w:eastAsia="ja-JP"/>
              </w:rPr>
            </w:pPr>
            <w:r>
              <w:rPr>
                <w:rFonts w:eastAsia="宋体"/>
                <w:lang w:eastAsia="zh-CN"/>
              </w:rPr>
              <w:t>If only early indication in Msg1 for 4-step RACH is configured, early indication in MsgA PRACH is needed for 2-step RACH considering UE may fall back to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Yu Mincho"/>
                <w:lang w:val="en-US" w:eastAsia="ja-JP"/>
              </w:rPr>
              <w:t>Sierra Wireless</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CMCC</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jc w:val="both"/>
              <w:rPr>
                <w:rFonts w:eastAsia="宋体"/>
                <w:lang w:val="en-US" w:eastAsia="zh-CN"/>
              </w:rPr>
            </w:pPr>
            <w:r>
              <w:rPr>
                <w:rFonts w:hint="eastAsia" w:eastAsia="宋体"/>
                <w:lang w:val="en-US" w:eastAsia="zh-CN"/>
              </w:rPr>
              <w:t xml:space="preserve">According to agreements in </w:t>
            </w:r>
            <w:r>
              <w:rPr>
                <w:rFonts w:hint="eastAsia" w:eastAsia="Times New Roman"/>
                <w:lang w:val="en-US" w:eastAsia="zh-CN"/>
              </w:rPr>
              <w:t>RAN2#115e, solution for early identification for 2-step RACH will be specified. To so keep commonality with 4-step RACH, we can support the proposal. And we are also OK with the note suggested by Ericsson and Nokia.</w:t>
            </w:r>
          </w:p>
          <w:p>
            <w:pPr>
              <w:pStyle w:val="290"/>
              <w:pBdr>
                <w:top w:val="single" w:color="auto" w:sz="4" w:space="1"/>
                <w:left w:val="single" w:color="auto" w:sz="4" w:space="4"/>
                <w:bottom w:val="single" w:color="auto" w:sz="4" w:space="1"/>
                <w:right w:val="single" w:color="auto" w:sz="4" w:space="4"/>
              </w:pBdr>
            </w:pPr>
            <w:r>
              <w:t>Agreements:</w:t>
            </w:r>
          </w:p>
          <w:p>
            <w:pPr>
              <w:pStyle w:val="290"/>
              <w:numPr>
                <w:ilvl w:val="0"/>
                <w:numId w:val="18"/>
              </w:numPr>
              <w:pBdr>
                <w:top w:val="single" w:color="auto" w:sz="4" w:space="1"/>
                <w:left w:val="single" w:color="auto" w:sz="4" w:space="4"/>
                <w:bottom w:val="single" w:color="auto" w:sz="4" w:space="1"/>
                <w:right w:val="single" w:color="auto" w:sz="4" w:space="4"/>
              </w:pBdr>
              <w:rPr>
                <w:lang w:val="en-US"/>
              </w:rPr>
            </w:pPr>
            <w:r>
              <w:rPr>
                <w:lang w:val="en-US"/>
              </w:rPr>
              <w:t>Msg1 identification which can be configured to be enabled/disabled can be specified from RAN2 point of view.</w:t>
            </w:r>
          </w:p>
          <w:p>
            <w:pPr>
              <w:pStyle w:val="290"/>
              <w:numPr>
                <w:ilvl w:val="0"/>
                <w:numId w:val="18"/>
              </w:numPr>
              <w:pBdr>
                <w:top w:val="single" w:color="auto" w:sz="4" w:space="1"/>
                <w:left w:val="single" w:color="auto" w:sz="4" w:space="4"/>
                <w:bottom w:val="single" w:color="auto" w:sz="4" w:space="1"/>
                <w:right w:val="single" w:color="auto" w:sz="4" w:space="4"/>
              </w:pBdr>
              <w:rPr>
                <w:highlight w:val="yellow"/>
                <w:lang w:val="en-US"/>
              </w:rPr>
            </w:pPr>
            <w:r>
              <w:rPr>
                <w:highlight w:val="yellow"/>
                <w:lang w:val="en-US"/>
              </w:rPr>
              <w:t>Solution for early identification for 2-step RACH will be specified.</w:t>
            </w:r>
          </w:p>
          <w:p>
            <w:pPr>
              <w:pStyle w:val="290"/>
              <w:numPr>
                <w:ilvl w:val="0"/>
                <w:numId w:val="18"/>
              </w:numPr>
              <w:pBdr>
                <w:top w:val="single" w:color="auto" w:sz="4" w:space="1"/>
                <w:left w:val="single" w:color="auto" w:sz="4" w:space="4"/>
                <w:bottom w:val="single" w:color="auto" w:sz="4" w:space="1"/>
                <w:right w:val="single" w:color="auto" w:sz="4" w:space="4"/>
              </w:pBdr>
              <w:rPr>
                <w:lang w:val="en-US"/>
              </w:rPr>
            </w:pPr>
            <w:r>
              <w:rPr>
                <w:lang w:val="en-US"/>
              </w:rPr>
              <w:t>Specify separate indications in SIB1 for barring RedCap UEs with 1 Rx chain and 2 Rx chains.</w:t>
            </w:r>
          </w:p>
          <w:p>
            <w:pPr>
              <w:pStyle w:val="290"/>
              <w:numPr>
                <w:ilvl w:val="0"/>
                <w:numId w:val="18"/>
              </w:numPr>
              <w:pBdr>
                <w:top w:val="single" w:color="auto" w:sz="4" w:space="1"/>
                <w:left w:val="single" w:color="auto" w:sz="4" w:space="4"/>
                <w:bottom w:val="single" w:color="auto" w:sz="4" w:space="1"/>
                <w:right w:val="single" w:color="auto" w:sz="4" w:space="4"/>
              </w:pBdr>
              <w:rPr>
                <w:lang w:val="en-US"/>
              </w:rPr>
            </w:pPr>
            <w:r>
              <w:rPr>
                <w:lang w:val="en-US"/>
              </w:rPr>
              <w:t>Specify a RedCap specific IFRI in SIB1.</w:t>
            </w:r>
          </w:p>
          <w:p>
            <w:pPr>
              <w:jc w:val="both"/>
              <w:rPr>
                <w:rFonts w:eastAsia="宋体"/>
                <w:lang w:eastAsia="zh-CN"/>
              </w:rPr>
            </w:pPr>
          </w:p>
        </w:tc>
      </w:tr>
    </w:tbl>
    <w:p>
      <w:pPr>
        <w:rPr>
          <w:rFonts w:eastAsiaTheme="minorEastAsia"/>
          <w:lang w:val="en-US" w:eastAsia="ja-JP"/>
        </w:rPr>
      </w:pPr>
    </w:p>
    <w:p>
      <w:pPr>
        <w:pStyle w:val="229"/>
        <w:numPr>
          <w:ilvl w:val="0"/>
          <w:numId w:val="15"/>
        </w:numPr>
        <w:outlineLvl w:val="3"/>
      </w:pPr>
      <w:r>
        <w:t xml:space="preserve">&lt;1st Round Summary&gt; </w:t>
      </w:r>
    </w:p>
    <w:p>
      <w:pPr>
        <w:pStyle w:val="22"/>
        <w:rPr>
          <w:lang w:val="en-GB" w:eastAsia="en-U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522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D0CECE" w:themeFill="background2" w:themeFillShade="E6"/>
          </w:tcPr>
          <w:p>
            <w:pPr>
              <w:pStyle w:val="22"/>
              <w:rPr>
                <w:rFonts w:ascii="Times New Roman" w:hAnsi="Times New Roman"/>
                <w:lang w:val="en-GB" w:eastAsia="en-US"/>
              </w:rPr>
            </w:pPr>
          </w:p>
        </w:tc>
        <w:tc>
          <w:tcPr>
            <w:tcW w:w="5220" w:type="dxa"/>
            <w:shd w:val="clear" w:color="auto" w:fill="D0CECE" w:themeFill="background2" w:themeFillShade="E6"/>
          </w:tcPr>
          <w:p>
            <w:pPr>
              <w:pStyle w:val="22"/>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pPr>
              <w:pStyle w:val="22"/>
              <w:rPr>
                <w:rFonts w:ascii="Times New Roman" w:hAnsi="Times New Roman"/>
                <w:lang w:val="en-GB" w:eastAsia="en-US"/>
              </w:rPr>
            </w:pPr>
            <w:r>
              <w:rPr>
                <w:rFonts w:ascii="Times New Roman" w:hAnsi="Times New Roman"/>
                <w:lang w:val="en-GB" w:eastAsia="en-US"/>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22"/>
              <w:rPr>
                <w:rFonts w:ascii="Times New Roman" w:hAnsi="Times New Roman"/>
                <w:lang w:val="en-GB" w:eastAsia="en-US"/>
              </w:rPr>
            </w:pPr>
            <w:r>
              <w:rPr>
                <w:rFonts w:ascii="Times New Roman" w:hAnsi="Times New Roman"/>
                <w:lang w:val="en-GB" w:eastAsia="en-US"/>
              </w:rPr>
              <w:t xml:space="preserve">Supportive </w:t>
            </w:r>
          </w:p>
        </w:tc>
        <w:tc>
          <w:tcPr>
            <w:tcW w:w="5220" w:type="dxa"/>
          </w:tcPr>
          <w:p>
            <w:pPr>
              <w:pStyle w:val="22"/>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r>
              <w:rPr>
                <w:rFonts w:ascii="Times New Roman" w:hAnsi="Times New Roman" w:eastAsia="宋体"/>
              </w:rPr>
              <w:t>Sanechips, Xiaomi, Ericsson (With Modification), Nokia, NSB, Intel,</w:t>
            </w:r>
            <w:r>
              <w:rPr>
                <w:rFonts w:ascii="Times New Roman" w:hAnsi="Times New Roman" w:eastAsia="Yu Mincho"/>
                <w:lang w:eastAsia="ja-JP"/>
              </w:rPr>
              <w:t xml:space="preserve"> Lenovo, Motorola Mobility, SPRD, China Telecom, NEC, Sierra Wireless, CMCC</w:t>
            </w:r>
            <w:r>
              <w:rPr>
                <w:rFonts w:ascii="Times New Roman" w:hAnsi="Times New Roman" w:eastAsia="宋体"/>
              </w:rPr>
              <w:t xml:space="preserve"> </w:t>
            </w:r>
          </w:p>
        </w:tc>
        <w:tc>
          <w:tcPr>
            <w:tcW w:w="2430" w:type="dxa"/>
          </w:tcPr>
          <w:p>
            <w:pPr>
              <w:pStyle w:val="22"/>
              <w:rPr>
                <w:rFonts w:ascii="Times New Roman" w:hAnsi="Times New Roman"/>
                <w:lang w:val="en-GB" w:eastAsia="en-US"/>
              </w:rPr>
            </w:pPr>
            <w:r>
              <w:rPr>
                <w:rFonts w:ascii="Times New Roman" w:hAnsi="Times New Roman"/>
                <w:lang w:val="en-GB" w:eastAsia="en-U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22"/>
              <w:rPr>
                <w:rFonts w:ascii="Times New Roman" w:hAnsi="Times New Roman"/>
                <w:lang w:val="en-GB" w:eastAsia="en-US"/>
              </w:rPr>
            </w:pPr>
            <w:r>
              <w:rPr>
                <w:rFonts w:ascii="Times New Roman" w:hAnsi="Times New Roman"/>
                <w:lang w:val="en-GB" w:eastAsia="en-US"/>
              </w:rPr>
              <w:t xml:space="preserve">Negative </w:t>
            </w:r>
          </w:p>
        </w:tc>
        <w:tc>
          <w:tcPr>
            <w:tcW w:w="5220" w:type="dxa"/>
          </w:tcPr>
          <w:p>
            <w:pPr>
              <w:pStyle w:val="22"/>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pPr>
              <w:pStyle w:val="22"/>
              <w:rPr>
                <w:rFonts w:ascii="Times New Roman" w:hAnsi="Times New Roman"/>
                <w:lang w:val="en-GB" w:eastAsia="en-US"/>
              </w:rPr>
            </w:pPr>
            <w:r>
              <w:rPr>
                <w:rFonts w:ascii="Times New Roman" w:hAnsi="Times New Roman"/>
                <w:lang w:val="en-GB"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22"/>
              <w:rPr>
                <w:rFonts w:ascii="Times New Roman" w:hAnsi="Times New Roman"/>
                <w:lang w:val="en-GB" w:eastAsia="en-US"/>
              </w:rPr>
            </w:pPr>
            <w:r>
              <w:rPr>
                <w:rFonts w:ascii="Times New Roman" w:hAnsi="Times New Roman"/>
                <w:lang w:val="en-GB" w:eastAsia="en-US"/>
              </w:rPr>
              <w:t xml:space="preserve">Neutral </w:t>
            </w:r>
          </w:p>
        </w:tc>
        <w:tc>
          <w:tcPr>
            <w:tcW w:w="5220" w:type="dxa"/>
          </w:tcPr>
          <w:p>
            <w:pPr>
              <w:pStyle w:val="22"/>
              <w:rPr>
                <w:rFonts w:ascii="Times New Roman" w:hAnsi="Times New Roman"/>
                <w:lang w:val="en-GB" w:eastAsia="en-US"/>
              </w:rPr>
            </w:pPr>
            <w:r>
              <w:rPr>
                <w:rFonts w:ascii="Times New Roman" w:hAnsi="Times New Roman"/>
                <w:lang w:val="en-GB" w:eastAsia="en-US"/>
              </w:rPr>
              <w:t>Futurewei</w:t>
            </w:r>
          </w:p>
        </w:tc>
        <w:tc>
          <w:tcPr>
            <w:tcW w:w="2430" w:type="dxa"/>
          </w:tcPr>
          <w:p>
            <w:pPr>
              <w:pStyle w:val="22"/>
              <w:rPr>
                <w:rFonts w:ascii="Times New Roman" w:hAnsi="Times New Roman"/>
                <w:lang w:val="en-GB" w:eastAsia="en-US"/>
              </w:rPr>
            </w:pPr>
            <w:r>
              <w:rPr>
                <w:rFonts w:ascii="Times New Roman" w:hAnsi="Times New Roman"/>
                <w:lang w:val="en-GB" w:eastAsia="en-US"/>
              </w:rPr>
              <w:t>1</w:t>
            </w:r>
          </w:p>
        </w:tc>
      </w:tr>
    </w:tbl>
    <w:p>
      <w:pPr>
        <w:pStyle w:val="22"/>
        <w:rPr>
          <w:lang w:val="en-GB" w:eastAsia="en-US"/>
        </w:rPr>
      </w:pPr>
    </w:p>
    <w:p>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pPr>
        <w:rPr>
          <w:rFonts w:eastAsiaTheme="minorEastAsia"/>
          <w:lang w:eastAsia="ja-JP"/>
        </w:rPr>
      </w:pPr>
    </w:p>
    <w:p>
      <w:pPr>
        <w:pStyle w:val="229"/>
        <w:numPr>
          <w:ilvl w:val="0"/>
          <w:numId w:val="15"/>
        </w:numPr>
        <w:ind w:left="270" w:hanging="270"/>
        <w:outlineLvl w:val="3"/>
      </w:pPr>
      <w:r>
        <w:t>&lt;2</w:t>
      </w:r>
      <w:r>
        <w:rPr>
          <w:vertAlign w:val="superscript"/>
        </w:rPr>
        <w:t>nd</w:t>
      </w:r>
      <w:r>
        <w:t xml:space="preserve"> Round Comments&gt; </w:t>
      </w:r>
    </w:p>
    <w:p>
      <w:pPr>
        <w:tabs>
          <w:tab w:val="left" w:pos="1410"/>
        </w:tabs>
        <w:spacing w:after="0"/>
        <w:jc w:val="both"/>
        <w:rPr>
          <w:b/>
          <w:bCs/>
          <w:lang w:val="en-US"/>
        </w:rPr>
      </w:pPr>
      <w:r>
        <w:rPr>
          <w:b/>
          <w:highlight w:val="yellow"/>
          <w:lang w:val="en-US"/>
        </w:rPr>
        <w:t>FL2 High Priority Proposal 1-2:</w:t>
      </w:r>
    </w:p>
    <w:p>
      <w:pPr>
        <w:numPr>
          <w:ilvl w:val="0"/>
          <w:numId w:val="13"/>
        </w:numPr>
        <w:spacing w:after="0" w:line="252" w:lineRule="auto"/>
        <w:contextualSpacing/>
        <w:rPr>
          <w:b/>
          <w:bCs/>
          <w:lang w:val="en-US"/>
        </w:rPr>
      </w:pPr>
      <w:r>
        <w:rPr>
          <w:b/>
          <w:bCs/>
        </w:rPr>
        <w:t>Alt.1: For 2-step RACH, support the early indication of RedCap UEs at least in MsgA PRACH.</w:t>
      </w:r>
    </w:p>
    <w:p>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14:textFill>
            <w14:solidFill>
              <w14:schemeClr w14:val="tx1"/>
            </w14:solidFill>
          </w14:textFill>
        </w:rPr>
        <w:t>disabled via SIB</w:t>
      </w:r>
    </w:p>
    <w:p>
      <w:pPr>
        <w:numPr>
          <w:ilvl w:val="1"/>
          <w:numId w:val="13"/>
        </w:numPr>
        <w:spacing w:after="0" w:line="252" w:lineRule="auto"/>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From RAN1 perspective, the following methods can be used for early indication both for shared initial UL BWP and separate initial UL BWP </w:t>
      </w:r>
      <w:r>
        <w:rPr>
          <w:rFonts w:eastAsia="Times New Roman"/>
          <w:b/>
          <w:bCs/>
          <w:strike/>
          <w:color w:val="FF0000"/>
        </w:rPr>
        <w:t>(if supported)</w:t>
      </w:r>
    </w:p>
    <w:p>
      <w:pPr>
        <w:numPr>
          <w:ilvl w:val="2"/>
          <w:numId w:val="13"/>
        </w:numPr>
        <w:spacing w:after="0" w:line="252" w:lineRule="auto"/>
        <w:jc w:val="both"/>
        <w:rPr>
          <w:rFonts w:eastAsia="Times New Roman"/>
          <w:b/>
          <w:bCs/>
        </w:rPr>
      </w:pPr>
      <w:r>
        <w:rPr>
          <w:rFonts w:eastAsia="Times New Roman"/>
          <w:b/>
          <w:bCs/>
        </w:rPr>
        <w:t>separate MsgA PRACH resource</w:t>
      </w:r>
    </w:p>
    <w:p>
      <w:pPr>
        <w:numPr>
          <w:ilvl w:val="2"/>
          <w:numId w:val="13"/>
        </w:numPr>
        <w:spacing w:after="0" w:line="252" w:lineRule="auto"/>
        <w:jc w:val="both"/>
        <w:rPr>
          <w:rFonts w:eastAsia="Times New Roman"/>
          <w:b/>
          <w:bCs/>
        </w:rPr>
      </w:pPr>
      <w:r>
        <w:rPr>
          <w:rFonts w:eastAsia="Times New Roman"/>
          <w:b/>
          <w:bCs/>
        </w:rPr>
        <w:t>MsgA PRACH preamble partitioning</w:t>
      </w:r>
    </w:p>
    <w:p>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pPr>
        <w:pStyle w:val="22"/>
        <w:rPr>
          <w:lang w:val="en-GB" w:eastAsia="en-US"/>
        </w:rPr>
      </w:pPr>
    </w:p>
    <w:p>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pPr>
        <w:spacing w:after="0" w:line="252" w:lineRule="auto"/>
        <w:jc w:val="both"/>
        <w:rPr>
          <w:rFonts w:eastAsia="Times New Roman"/>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don’t  think Alt 2 is needed if Alt 1 is agreed, since early indication by msgA PRACH can be enabled/disabled by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And 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宋体"/>
                <w:lang w:val="en-US" w:eastAsia="zh-CN"/>
              </w:rPr>
            </w:pPr>
            <w:r>
              <w:rPr>
                <w:rFonts w:hint="eastAsia" w:eastAsia="宋体"/>
                <w:lang w:val="en-US" w:eastAsia="zh-CN"/>
              </w:rPr>
              <w:t>Y</w:t>
            </w:r>
          </w:p>
        </w:tc>
        <w:tc>
          <w:tcPr>
            <w:tcW w:w="6780" w:type="dxa"/>
          </w:tcPr>
          <w:p>
            <w:pPr>
              <w:rPr>
                <w:rFonts w:hint="default" w:eastAsiaTheme="minorEastAsia"/>
                <w:lang w:val="en-US" w:eastAsia="zh-CN"/>
              </w:rPr>
            </w:pPr>
            <w:r>
              <w:rPr>
                <w:rFonts w:hint="eastAsia" w:eastAsiaTheme="minorEastAsia"/>
                <w:lang w:val="en-US" w:eastAsia="zh-CN"/>
              </w:rPr>
              <w:t>Alt.1 is supported and Alt.2 should be removed.</w:t>
            </w:r>
          </w:p>
        </w:tc>
      </w:tr>
    </w:tbl>
    <w:p>
      <w:pPr>
        <w:rPr>
          <w:rFonts w:eastAsiaTheme="minorEastAsia"/>
          <w:lang w:eastAsia="ja-JP"/>
        </w:rPr>
      </w:pPr>
    </w:p>
    <w:p>
      <w:pPr>
        <w:rPr>
          <w:rFonts w:eastAsiaTheme="minorEastAsia"/>
          <w:lang w:eastAsia="ja-JP"/>
        </w:rPr>
      </w:pPr>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pPr>
        <w:tabs>
          <w:tab w:val="left" w:pos="1410"/>
        </w:tabs>
        <w:spacing w:before="180"/>
        <w:jc w:val="center"/>
        <w:rPr>
          <w:b/>
          <w:bCs/>
          <w:szCs w:val="24"/>
        </w:rPr>
      </w:pPr>
      <w:r>
        <w:rPr>
          <w:b/>
          <w:bCs/>
          <w:szCs w:val="24"/>
        </w:rPr>
        <w:t>Table 2: Early indication of RedCap Ues in MsgA PUSCH of 2-step RACH</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44"/>
        <w:gridCol w:w="54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shd w:val="clear" w:color="auto" w:fill="BEBEBE" w:themeFill="background1" w:themeFillShade="BF"/>
          </w:tcPr>
          <w:p>
            <w:pPr>
              <w:tabs>
                <w:tab w:val="left" w:pos="1410"/>
              </w:tabs>
              <w:spacing w:after="100" w:afterAutospacing="1"/>
              <w:jc w:val="both"/>
              <w:rPr>
                <w:rFonts w:ascii="Times" w:hAnsi="Times"/>
                <w:szCs w:val="24"/>
              </w:rPr>
            </w:pPr>
          </w:p>
        </w:tc>
        <w:tc>
          <w:tcPr>
            <w:tcW w:w="1344" w:type="dxa"/>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pPr>
              <w:tabs>
                <w:tab w:val="left" w:pos="1410"/>
              </w:tabs>
              <w:spacing w:after="100" w:afterAutospacing="1"/>
              <w:rPr>
                <w:rFonts w:ascii="Times" w:hAnsi="Times"/>
                <w:szCs w:val="24"/>
              </w:rPr>
            </w:pPr>
            <w:r>
              <w:rPr>
                <w:rFonts w:ascii="Times" w:hAnsi="Times"/>
                <w:szCs w:val="24"/>
              </w:rPr>
              <w:t xml:space="preserve">Alt.1: </w:t>
            </w:r>
          </w:p>
        </w:tc>
        <w:tc>
          <w:tcPr>
            <w:tcW w:w="1344" w:type="dxa"/>
          </w:tcPr>
          <w:p>
            <w:pPr>
              <w:tabs>
                <w:tab w:val="left" w:pos="1410"/>
              </w:tabs>
              <w:spacing w:after="100" w:afterAutospacing="1"/>
              <w:rPr>
                <w:rFonts w:ascii="Times" w:hAnsi="Times"/>
                <w:szCs w:val="24"/>
              </w:rPr>
            </w:pPr>
            <w:r>
              <w:rPr>
                <w:rFonts w:ascii="Times" w:hAnsi="Times"/>
                <w:szCs w:val="24"/>
              </w:rPr>
              <w:t>Up to RAN2</w:t>
            </w:r>
          </w:p>
        </w:tc>
        <w:tc>
          <w:tcPr>
            <w:tcW w:w="5490" w:type="dxa"/>
          </w:tcPr>
          <w:p>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pPr>
              <w:tabs>
                <w:tab w:val="left" w:pos="1410"/>
              </w:tabs>
              <w:spacing w:after="100" w:afterAutospacing="1"/>
              <w:rPr>
                <w:rFonts w:ascii="Times" w:hAnsi="Times"/>
                <w:szCs w:val="24"/>
              </w:rPr>
            </w:pPr>
            <w:r>
              <w:rPr>
                <w:rFonts w:ascii="Times" w:hAnsi="Times"/>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pPr>
              <w:tabs>
                <w:tab w:val="left" w:pos="1410"/>
              </w:tabs>
              <w:spacing w:after="100" w:afterAutospacing="1"/>
              <w:rPr>
                <w:rFonts w:ascii="Times" w:hAnsi="Times"/>
                <w:szCs w:val="24"/>
              </w:rPr>
            </w:pPr>
            <w:r>
              <w:rPr>
                <w:rFonts w:ascii="Times" w:hAnsi="Times"/>
                <w:szCs w:val="24"/>
              </w:rPr>
              <w:t>Alt.2</w:t>
            </w:r>
          </w:p>
        </w:tc>
        <w:tc>
          <w:tcPr>
            <w:tcW w:w="1344" w:type="dxa"/>
          </w:tcPr>
          <w:p>
            <w:pPr>
              <w:tabs>
                <w:tab w:val="left" w:pos="1410"/>
              </w:tabs>
              <w:spacing w:after="100" w:afterAutospacing="1"/>
              <w:rPr>
                <w:rFonts w:ascii="Times" w:hAnsi="Times"/>
                <w:szCs w:val="24"/>
              </w:rPr>
            </w:pPr>
            <w:r>
              <w:rPr>
                <w:rFonts w:ascii="Times" w:hAnsi="Times"/>
                <w:szCs w:val="24"/>
              </w:rPr>
              <w:t>Support</w:t>
            </w:r>
          </w:p>
        </w:tc>
        <w:tc>
          <w:tcPr>
            <w:tcW w:w="5490" w:type="dxa"/>
          </w:tcPr>
          <w:p>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pPr>
              <w:tabs>
                <w:tab w:val="left" w:pos="1410"/>
              </w:tabs>
              <w:spacing w:after="100" w:afterAutospacing="1"/>
              <w:rPr>
                <w:rFonts w:ascii="Times" w:hAnsi="Times"/>
                <w:szCs w:val="24"/>
              </w:rPr>
            </w:pPr>
            <w:r>
              <w:rPr>
                <w:rFonts w:ascii="Times" w:hAnsi="Times"/>
                <w:szCs w:val="24"/>
              </w:rPr>
              <w:t>6</w:t>
            </w:r>
          </w:p>
        </w:tc>
      </w:tr>
    </w:tbl>
    <w:p>
      <w:pPr>
        <w:tabs>
          <w:tab w:val="left" w:pos="1410"/>
        </w:tabs>
        <w:spacing w:after="0"/>
        <w:jc w:val="both"/>
        <w:rPr>
          <w:rFonts w:ascii="Times" w:hAnsi="Times"/>
          <w:szCs w:val="24"/>
        </w:rPr>
      </w:pPr>
    </w:p>
    <w:p>
      <w:pPr>
        <w:pStyle w:val="229"/>
        <w:numPr>
          <w:ilvl w:val="0"/>
          <w:numId w:val="15"/>
        </w:numPr>
        <w:outlineLvl w:val="3"/>
      </w:pPr>
      <w:r>
        <w:t>&lt;1</w:t>
      </w:r>
      <w:r>
        <w:rPr>
          <w:vertAlign w:val="superscript"/>
        </w:rPr>
        <w:t>st</w:t>
      </w:r>
      <w:r>
        <w:t xml:space="preserve"> Round Comments&gt; </w:t>
      </w:r>
    </w:p>
    <w:p>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pPr>
        <w:pStyle w:val="48"/>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pPr>
        <w:pStyle w:val="48"/>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pPr>
        <w:pStyle w:val="48"/>
        <w:tabs>
          <w:tab w:val="left" w:pos="1410"/>
        </w:tabs>
        <w:spacing w:after="0"/>
        <w:jc w:val="both"/>
        <w:rPr>
          <w:rFonts w:ascii="Times New Roman" w:hAnsi="Times New Roman" w:cs="Times New Roman"/>
          <w:sz w:val="20"/>
          <w:szCs w:val="20"/>
        </w:rPr>
      </w:pPr>
    </w:p>
    <w:p>
      <w:pPr>
        <w:tabs>
          <w:tab w:val="left" w:pos="1410"/>
        </w:tabs>
        <w:spacing w:after="0"/>
        <w:jc w:val="both"/>
      </w:pPr>
      <w:r>
        <w:t xml:space="preserve">Please provide brief justification for the preferred alternative. </w:t>
      </w:r>
    </w:p>
    <w:p>
      <w:pPr>
        <w:tabs>
          <w:tab w:val="left" w:pos="1410"/>
        </w:tabs>
        <w:spacing w:after="0"/>
        <w:jc w:val="both"/>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Alternative</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1</w:t>
            </w:r>
          </w:p>
        </w:tc>
        <w:tc>
          <w:tcPr>
            <w:tcW w:w="6780" w:type="dxa"/>
          </w:tcPr>
          <w:p>
            <w:pPr>
              <w:rPr>
                <w:lang w:val="en-US" w:eastAsia="ko-KR"/>
              </w:rPr>
            </w:pPr>
            <w:r>
              <w:rPr>
                <w:lang w:val="en-US" w:eastAsia="ko-KR"/>
              </w:rPr>
              <w:t>gNB may not receive msgA PUSCH when msgA PRACH is detected. CCCH and LCID are not relevant to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lt1</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Alt.2</w:t>
            </w:r>
          </w:p>
        </w:tc>
        <w:tc>
          <w:tcPr>
            <w:tcW w:w="6780" w:type="dxa"/>
          </w:tcPr>
          <w:p>
            <w:pPr>
              <w:rPr>
                <w:rFonts w:eastAsiaTheme="minorEastAsia"/>
                <w:lang w:val="en-US" w:eastAsia="zh-CN"/>
              </w:rPr>
            </w:pPr>
            <w:r>
              <w:rPr>
                <w:rFonts w:hint="eastAsia" w:eastAsiaTheme="minorEastAsia"/>
                <w:lang w:val="en-US" w:eastAsia="zh-CN"/>
              </w:rPr>
              <w:t>Alt.2 should be workable and consistent with 4-step RACH. Also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 2, slightly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lt.1</w:t>
            </w:r>
          </w:p>
        </w:tc>
        <w:tc>
          <w:tcPr>
            <w:tcW w:w="6780" w:type="dxa"/>
          </w:tcPr>
          <w:p>
            <w:pPr>
              <w:rPr>
                <w:rFonts w:eastAsia="Yu Mincho"/>
                <w:lang w:val="en-US" w:eastAsia="ja-JP"/>
              </w:rPr>
            </w:pPr>
            <w:r>
              <w:rPr>
                <w:rFonts w:hint="eastAsia" w:eastAsia="Yu Mincho"/>
                <w:lang w:val="en-US" w:eastAsia="ja-JP"/>
              </w:rPr>
              <w:t>F</w:t>
            </w:r>
            <w:r>
              <w:rPr>
                <w:rFonts w:eastAsia="Yu Mincho"/>
                <w:lang w:val="en-US" w:eastAsia="ja-JP"/>
              </w:rPr>
              <w:t>or the consistency with 4-step RACH, RAN1 can defer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F</w:t>
            </w:r>
            <w:r>
              <w:rPr>
                <w:rFonts w:eastAsia="Yu Mincho"/>
                <w:lang w:val="en-US" w:eastAsia="ja-JP"/>
              </w:rPr>
              <w:t>ine with either one</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Alt.1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Alt 1</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Alt1.</w:t>
            </w:r>
          </w:p>
        </w:tc>
        <w:tc>
          <w:tcPr>
            <w:tcW w:w="6780" w:type="dxa"/>
          </w:tcPr>
          <w:p>
            <w:pPr>
              <w:rPr>
                <w:rFonts w:eastAsia="宋体"/>
                <w:lang w:val="en-US" w:eastAsia="ko-KR"/>
              </w:rPr>
            </w:pPr>
            <w:r>
              <w:rPr>
                <w:rFonts w:hint="eastAsia" w:eastAsia="宋体"/>
                <w:lang w:val="en-US" w:eastAsia="zh-CN"/>
              </w:rPr>
              <w:t xml:space="preserve"> Similar as msg3 identification, it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A</w:t>
            </w:r>
            <w:r>
              <w:rPr>
                <w:rFonts w:eastAsia="宋体"/>
                <w:lang w:val="en-US" w:eastAsia="zh-CN"/>
              </w:rPr>
              <w:t>lt.1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1 or 2</w:t>
            </w:r>
          </w:p>
        </w:tc>
        <w:tc>
          <w:tcPr>
            <w:tcW w:w="6780" w:type="dxa"/>
          </w:tcPr>
          <w:p>
            <w:pPr>
              <w:rPr>
                <w:lang w:val="en-US" w:eastAsia="ko-KR"/>
              </w:rPr>
            </w:pPr>
            <w:r>
              <w:rPr>
                <w:lang w:val="en-US" w:eastAsia="ko-KR"/>
              </w:rPr>
              <w:t>We would be fine with either alternative, with a slight preference for Alt. 1 since we think that such discussion should be left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w:t>
            </w:r>
          </w:p>
        </w:tc>
        <w:tc>
          <w:tcPr>
            <w:tcW w:w="6780" w:type="dxa"/>
          </w:tcPr>
          <w:p>
            <w:pPr>
              <w:rPr>
                <w:rFonts w:eastAsia="宋体"/>
                <w:lang w:val="en-US" w:eastAsia="zh-CN"/>
              </w:rPr>
            </w:pPr>
            <w:r>
              <w:rPr>
                <w:rFonts w:eastAsia="宋体"/>
                <w:lang w:val="en-US" w:eastAsia="zh-CN"/>
              </w:rPr>
              <w:t>Alt.1 but added as a note to the previous proposal/agreement.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w:t>
            </w:r>
          </w:p>
        </w:tc>
        <w:tc>
          <w:tcPr>
            <w:tcW w:w="6780" w:type="dxa"/>
          </w:tcPr>
          <w:p>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RedCap but also OK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Alt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Alt 1</w:t>
            </w:r>
          </w:p>
        </w:tc>
        <w:tc>
          <w:tcPr>
            <w:tcW w:w="6780" w:type="dxa"/>
          </w:tcPr>
          <w:p>
            <w:pPr>
              <w:pStyle w:val="48"/>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pPr>
              <w:pStyle w:val="48"/>
              <w:autoSpaceDN w:val="0"/>
              <w:spacing w:after="160" w:line="256" w:lineRule="auto"/>
              <w:ind w:left="360"/>
              <w:rPr>
                <w:lang w:val="en-US" w:eastAsia="zh-CN"/>
              </w:rPr>
            </w:pPr>
          </w:p>
          <w:p>
            <w:pPr>
              <w:pStyle w:val="48"/>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A</w:t>
            </w:r>
            <w:r>
              <w:rPr>
                <w:rFonts w:eastAsia="Yu Mincho"/>
                <w:lang w:val="en-US" w:eastAsia="ja-JP"/>
              </w:rPr>
              <w:t xml:space="preserve">lt.1 </w:t>
            </w:r>
          </w:p>
        </w:tc>
        <w:tc>
          <w:tcPr>
            <w:tcW w:w="6780" w:type="dxa"/>
          </w:tcPr>
          <w:p>
            <w:pPr>
              <w:autoSpaceDN w:val="0"/>
              <w:spacing w:after="160" w:line="256"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Alt.1</w:t>
            </w:r>
          </w:p>
        </w:tc>
        <w:tc>
          <w:tcPr>
            <w:tcW w:w="6780" w:type="dxa"/>
          </w:tcPr>
          <w:p>
            <w:pPr>
              <w:autoSpaceDN w:val="0"/>
              <w:spacing w:after="160" w:line="256"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PRD</w:t>
            </w:r>
          </w:p>
        </w:tc>
        <w:tc>
          <w:tcPr>
            <w:tcW w:w="1372" w:type="dxa"/>
          </w:tcPr>
          <w:p>
            <w:pPr>
              <w:tabs>
                <w:tab w:val="left" w:pos="551"/>
              </w:tabs>
              <w:rPr>
                <w:rFonts w:eastAsia="Yu Mincho"/>
                <w:lang w:val="en-US" w:eastAsia="ja-JP"/>
              </w:rPr>
            </w:pPr>
            <w:r>
              <w:rPr>
                <w:rFonts w:hint="eastAsia" w:eastAsiaTheme="minorEastAsia"/>
                <w:lang w:val="en-US" w:eastAsia="zh-CN"/>
              </w:rPr>
              <w:t>Alt.2</w:t>
            </w:r>
          </w:p>
        </w:tc>
        <w:tc>
          <w:tcPr>
            <w:tcW w:w="6780" w:type="dxa"/>
          </w:tcPr>
          <w:p>
            <w:pPr>
              <w:autoSpaceDN w:val="0"/>
              <w:spacing w:after="160" w:line="256" w:lineRule="auto"/>
              <w:rPr>
                <w:rFonts w:eastAsiaTheme="minorEastAsia"/>
                <w:lang w:val="en-US" w:eastAsia="zh-CN"/>
              </w:rPr>
            </w:pPr>
            <w:r>
              <w:rPr>
                <w:rFonts w:eastAsia="宋体"/>
                <w:lang w:eastAsia="zh-CN"/>
              </w:rPr>
              <w:t>If early indication in Msg3 for 4-step RACH is configured, it is better to use early indication in MsgA PUSCH for 2-step RACH.  We are also fine to leave it to RAN2</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Alt</w:t>
            </w:r>
            <w:r>
              <w:rPr>
                <w:rFonts w:eastAsiaTheme="minorEastAsia"/>
                <w:lang w:val="en-US" w:eastAsia="zh-CN"/>
              </w:rPr>
              <w:t>.1</w:t>
            </w:r>
          </w:p>
        </w:tc>
        <w:tc>
          <w:tcPr>
            <w:tcW w:w="6780" w:type="dxa"/>
          </w:tcPr>
          <w:p>
            <w:pPr>
              <w:autoSpaceDN w:val="0"/>
              <w:spacing w:after="160" w:line="256" w:lineRule="auto"/>
              <w:rPr>
                <w:rFonts w:eastAsia="宋体"/>
                <w:lang w:eastAsia="zh-CN"/>
              </w:rPr>
            </w:pPr>
            <w:r>
              <w:rPr>
                <w:rFonts w:hint="eastAsia" w:eastAsia="宋体"/>
                <w:lang w:eastAsia="zh-CN"/>
              </w:rPr>
              <w:t>I</w:t>
            </w:r>
            <w:r>
              <w:rPr>
                <w:rFonts w:eastAsia="宋体"/>
                <w:lang w:eastAsia="zh-CN"/>
              </w:rPr>
              <w:t xml:space="preserve">t is up to RAN2, which is similar to early identification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Alt. 1</w:t>
            </w:r>
          </w:p>
        </w:tc>
        <w:tc>
          <w:tcPr>
            <w:tcW w:w="6780" w:type="dxa"/>
          </w:tcPr>
          <w:p>
            <w:pPr>
              <w:autoSpaceDN w:val="0"/>
              <w:spacing w:after="160"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Sierra Wireless</w:t>
            </w:r>
          </w:p>
        </w:tc>
        <w:tc>
          <w:tcPr>
            <w:tcW w:w="1372" w:type="dxa"/>
          </w:tcPr>
          <w:p>
            <w:pPr>
              <w:tabs>
                <w:tab w:val="left" w:pos="551"/>
              </w:tabs>
              <w:rPr>
                <w:rFonts w:eastAsiaTheme="minorEastAsia"/>
                <w:lang w:val="en-US" w:eastAsia="zh-CN"/>
              </w:rPr>
            </w:pPr>
            <w:r>
              <w:rPr>
                <w:lang w:val="en-US" w:eastAsia="ko-KR"/>
              </w:rPr>
              <w:t>Alt. 1</w:t>
            </w:r>
          </w:p>
        </w:tc>
        <w:tc>
          <w:tcPr>
            <w:tcW w:w="6780" w:type="dxa"/>
          </w:tcPr>
          <w:p>
            <w:pPr>
              <w:autoSpaceDN w:val="0"/>
              <w:spacing w:after="160" w:line="256" w:lineRule="auto"/>
              <w:rPr>
                <w:rFonts w:eastAsia="宋体"/>
                <w:lang w:eastAsia="zh-CN"/>
              </w:rPr>
            </w:pPr>
            <w:r>
              <w:rPr>
                <w:rFonts w:eastAsiaTheme="minorEastAsia"/>
                <w:lang w:val="en-US" w:eastAsia="zh-CN"/>
              </w:rPr>
              <w:t>This can be up to RAN2 as in the case of 4-step.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CMCC</w:t>
            </w:r>
          </w:p>
        </w:tc>
        <w:tc>
          <w:tcPr>
            <w:tcW w:w="1372" w:type="dxa"/>
          </w:tcPr>
          <w:p>
            <w:pPr>
              <w:tabs>
                <w:tab w:val="left" w:pos="551"/>
              </w:tabs>
              <w:rPr>
                <w:lang w:val="en-US" w:eastAsia="ko-KR"/>
              </w:rPr>
            </w:pPr>
            <w:r>
              <w:rPr>
                <w:rFonts w:hint="eastAsia" w:eastAsiaTheme="minorEastAsia"/>
                <w:lang w:val="en-US" w:eastAsia="zh-CN"/>
              </w:rPr>
              <w:t>Alt.1</w:t>
            </w:r>
          </w:p>
        </w:tc>
        <w:tc>
          <w:tcPr>
            <w:tcW w:w="6780" w:type="dxa"/>
          </w:tcPr>
          <w:p>
            <w:pPr>
              <w:autoSpaceDN w:val="0"/>
              <w:spacing w:after="160" w:line="256" w:lineRule="auto"/>
              <w:rPr>
                <w:rFonts w:eastAsiaTheme="minorEastAsia"/>
                <w:lang w:val="en-US" w:eastAsia="zh-CN"/>
              </w:rPr>
            </w:pP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pStyle w:val="3"/>
        <w:rPr>
          <w:lang w:eastAsia="ja-JP"/>
        </w:rPr>
      </w:pPr>
      <w:bookmarkStart w:id="12" w:name="_Toc84709384"/>
      <w:r>
        <w:rPr>
          <w:lang w:eastAsia="ja-JP"/>
        </w:rPr>
        <w:t>Early indication in 4-step RACH</w:t>
      </w:r>
      <w:bookmarkEnd w:id="12"/>
    </w:p>
    <w:p>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highlight w:val="green"/>
                <w:lang w:eastAsia="ja-JP"/>
              </w:rPr>
            </w:pPr>
            <w:r>
              <w:rPr>
                <w:highlight w:val="green"/>
                <w:lang w:eastAsia="ja-JP"/>
              </w:rPr>
              <w:t>Agreements:</w:t>
            </w:r>
          </w:p>
          <w:p>
            <w:pPr>
              <w:spacing w:line="252" w:lineRule="auto"/>
              <w:contextualSpacing/>
              <w:jc w:val="both"/>
              <w:rPr>
                <w:lang w:val="en-US"/>
              </w:rPr>
            </w:pPr>
            <w:r>
              <w:rPr>
                <w:bCs/>
              </w:rPr>
              <w:t>Confirm the following working assumption with the modifications in red:</w:t>
            </w:r>
          </w:p>
          <w:p>
            <w:pPr>
              <w:numPr>
                <w:ilvl w:val="0"/>
                <w:numId w:val="13"/>
              </w:numPr>
              <w:spacing w:after="0" w:line="252" w:lineRule="auto"/>
              <w:contextualSpacing/>
              <w:jc w:val="both"/>
              <w:rPr>
                <w:lang w:val="en-US"/>
              </w:rPr>
            </w:pPr>
            <w:r>
              <w:t>For 4-step RACH, support the early indication of RedCap UEs at least in Msg1.</w:t>
            </w:r>
          </w:p>
          <w:p>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14:textFill>
                  <w14:solidFill>
                    <w14:schemeClr w14:val="tx1"/>
                  </w14:solidFill>
                </w14:textFill>
              </w:rPr>
              <w:t>disabled via SIB</w:t>
            </w:r>
          </w:p>
          <w:p>
            <w:pPr>
              <w:numPr>
                <w:ilvl w:val="1"/>
                <w:numId w:val="13"/>
              </w:numPr>
              <w:spacing w:after="0" w:line="252" w:lineRule="auto"/>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rPr>
            </w:pPr>
            <w:r>
              <w:rPr>
                <w:rFonts w:eastAsia="Times New Roman"/>
              </w:rPr>
              <w:t>separate PRACH resource</w:t>
            </w:r>
          </w:p>
          <w:p>
            <w:pPr>
              <w:numPr>
                <w:ilvl w:val="2"/>
                <w:numId w:val="13"/>
              </w:numPr>
              <w:spacing w:after="0" w:line="252" w:lineRule="auto"/>
              <w:jc w:val="both"/>
              <w:rPr>
                <w:rFonts w:eastAsia="Times New Roman"/>
              </w:rPr>
            </w:pPr>
            <w:r>
              <w:rPr>
                <w:rFonts w:eastAsia="Times New Roman"/>
              </w:rPr>
              <w:t>PRACH preamble partitioning</w:t>
            </w:r>
          </w:p>
          <w:p>
            <w:pPr>
              <w:spacing w:line="252" w:lineRule="auto"/>
              <w:contextualSpacing/>
              <w:jc w:val="both"/>
              <w:rPr>
                <w:bCs/>
              </w:rPr>
            </w:pPr>
          </w:p>
          <w:p>
            <w:pPr>
              <w:spacing w:line="252" w:lineRule="auto"/>
              <w:contextualSpacing/>
              <w:jc w:val="both"/>
              <w:rPr>
                <w:bCs/>
              </w:rPr>
            </w:pPr>
            <w:r>
              <w:rPr>
                <w:bCs/>
              </w:rPr>
              <w:t>Whether/how to support early indication of RedCap Ues in Msg3 in Rel-17 is up to RAN2.</w:t>
            </w:r>
          </w:p>
          <w:p>
            <w:pPr>
              <w:tabs>
                <w:tab w:val="left" w:pos="1410"/>
              </w:tabs>
              <w:spacing w:after="100" w:afterAutospacing="1"/>
              <w:jc w:val="both"/>
              <w:rPr>
                <w:rFonts w:ascii="Times" w:hAnsi="Times"/>
                <w:szCs w:val="24"/>
              </w:rPr>
            </w:pPr>
          </w:p>
        </w:tc>
      </w:tr>
    </w:tbl>
    <w:p>
      <w:pPr>
        <w:tabs>
          <w:tab w:val="left" w:pos="1410"/>
        </w:tabs>
        <w:spacing w:after="100" w:afterAutospacing="1"/>
        <w:jc w:val="both"/>
        <w:rPr>
          <w:rFonts w:ascii="Times" w:hAnsi="Times"/>
          <w:szCs w:val="24"/>
        </w:rPr>
      </w:pPr>
    </w:p>
    <w:p>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pPr>
            <w:r>
              <w:rPr>
                <w:highlight w:val="green"/>
              </w:rPr>
              <w:t>Agreements:</w:t>
            </w:r>
          </w:p>
          <w:p>
            <w:pPr>
              <w:pStyle w:val="48"/>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pPr>
              <w:spacing w:before="120" w:after="0"/>
              <w:rPr>
                <w:highlight w:val="green"/>
              </w:rPr>
            </w:pPr>
          </w:p>
          <w:p>
            <w:pPr>
              <w:spacing w:before="120" w:after="0"/>
            </w:pPr>
            <w:r>
              <w:rPr>
                <w:highlight w:val="green"/>
              </w:rPr>
              <w:t>Agreements</w:t>
            </w:r>
            <w:r>
              <w:t xml:space="preserve"> online:</w:t>
            </w:r>
          </w:p>
          <w:p>
            <w:pPr>
              <w:tabs>
                <w:tab w:val="left" w:pos="1410"/>
              </w:tabs>
              <w:rPr>
                <w:rFonts w:ascii="Times" w:hAnsi="Times"/>
                <w:szCs w:val="24"/>
              </w:rPr>
            </w:pPr>
            <w:r>
              <w:t>1. A Msg3 early identification based on dedicated LCID is supported (if SA3 confirms there is no problem)</w:t>
            </w:r>
          </w:p>
        </w:tc>
      </w:tr>
    </w:tbl>
    <w:p>
      <w:pPr>
        <w:tabs>
          <w:tab w:val="left" w:pos="1410"/>
        </w:tabs>
        <w:spacing w:after="100" w:afterAutospacing="1"/>
        <w:jc w:val="both"/>
        <w:rPr>
          <w:rFonts w:ascii="Times" w:hAnsi="Times"/>
          <w:szCs w:val="24"/>
        </w:rPr>
      </w:pPr>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pPr>
        <w:pStyle w:val="48"/>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pPr>
        <w:pStyle w:val="48"/>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pPr>
        <w:pStyle w:val="48"/>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pPr>
        <w:pStyle w:val="48"/>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pPr>
        <w:pStyle w:val="48"/>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pPr>
        <w:pStyle w:val="48"/>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pPr>
        <w:pStyle w:val="48"/>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pPr>
        <w:pStyle w:val="48"/>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pPr>
        <w:pStyle w:val="48"/>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pPr>
        <w:pStyle w:val="48"/>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pPr>
        <w:pStyle w:val="48"/>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pPr>
        <w:pStyle w:val="48"/>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pPr>
        <w:pStyle w:val="48"/>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Style w:val="32"/>
        <w:tblW w:w="9648" w:type="dxa"/>
        <w:jc w:val="center"/>
        <w:tblBorders>
          <w:top w:val="none" w:color="auto" w:sz="0" w:space="0"/>
          <w:left w:val="none" w:color="auto" w:sz="0" w:space="0"/>
          <w:bottom w:val="none" w:color="auto" w:sz="0" w:space="0"/>
          <w:right w:val="none" w:color="auto" w:sz="0" w:space="0"/>
          <w:insideH w:val="single" w:color="FFFFFF" w:sz="4" w:space="0"/>
          <w:insideV w:val="none" w:color="auto" w:sz="0" w:space="0"/>
        </w:tblBorders>
        <w:tblLayout w:type="autofit"/>
        <w:tblCellMar>
          <w:top w:w="0" w:type="dxa"/>
          <w:left w:w="108" w:type="dxa"/>
          <w:bottom w:w="0" w:type="dxa"/>
          <w:right w:w="108" w:type="dxa"/>
        </w:tblCellMar>
      </w:tblPr>
      <w:tblGrid>
        <w:gridCol w:w="3297"/>
        <w:gridCol w:w="6351"/>
      </w:tblGrid>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B4C6E7"/>
          </w:tcPr>
          <w:p>
            <w:pPr>
              <w:spacing w:after="120"/>
              <w:rPr>
                <w:b/>
                <w:bCs/>
              </w:rPr>
            </w:pPr>
            <w:r>
              <w:rPr>
                <w:b/>
                <w:bCs/>
              </w:rPr>
              <w:t>SIB Configurations</w:t>
            </w:r>
          </w:p>
        </w:tc>
        <w:tc>
          <w:tcPr>
            <w:tcW w:w="6351" w:type="dxa"/>
            <w:shd w:val="clear" w:color="auto" w:fill="B4C6E7"/>
          </w:tcPr>
          <w:p>
            <w:pPr>
              <w:spacing w:after="120"/>
              <w:rPr>
                <w:b/>
                <w:bCs/>
                <w:color w:val="000000"/>
              </w:rPr>
            </w:pPr>
            <w:r>
              <w:rPr>
                <w:b/>
                <w:bCs/>
                <w:color w:val="000000"/>
              </w:rPr>
              <w:t>Interpretation</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 xml:space="preserve">Msg 1 and Msg3 are not used </w:t>
            </w:r>
          </w:p>
        </w:tc>
        <w:tc>
          <w:tcPr>
            <w:tcW w:w="6351" w:type="dxa"/>
            <w:shd w:val="clear" w:color="auto" w:fill="B4C6E7"/>
          </w:tcPr>
          <w:p>
            <w:pPr>
              <w:spacing w:after="120"/>
              <w:rPr>
                <w:color w:val="000000"/>
              </w:rPr>
            </w:pPr>
            <w:r>
              <w:rPr>
                <w:color w:val="000000"/>
              </w:rPr>
              <w:t>Network does not need to know RedCap early indication b/c system BW is 20MHz and coverage is not an issue</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Msg 1 – 1 RX RedCap</w:t>
            </w:r>
            <w:r>
              <w:rPr>
                <w:color w:val="FFFFFF"/>
                <w:lang w:val="en-CA"/>
              </w:rPr>
              <w:t xml:space="preserve"> Ues</w:t>
            </w:r>
          </w:p>
          <w:p>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pPr>
              <w:spacing w:after="120"/>
              <w:rPr>
                <w:color w:val="000000"/>
              </w:rPr>
            </w:pPr>
            <w:r>
              <w:rPr>
                <w:color w:val="000000"/>
              </w:rPr>
              <w:t>Network needs to apply additional coverage for 1 RX devices but not for 2 RX device. No issue with scheduling all devices within 20MHz.</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Msg 1 – 1 RX RedCap</w:t>
            </w:r>
            <w:r>
              <w:rPr>
                <w:color w:val="FFFFFF"/>
                <w:lang w:val="en-CA"/>
              </w:rPr>
              <w:t xml:space="preserve"> Ues</w:t>
            </w:r>
          </w:p>
          <w:p>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 xml:space="preserve">Msg 1 – 1 RX RedCap </w:t>
            </w:r>
            <w:r>
              <w:rPr>
                <w:color w:val="FFFFFF"/>
                <w:lang w:val="en-CA"/>
              </w:rPr>
              <w:t>Ues</w:t>
            </w:r>
          </w:p>
          <w:p>
            <w:pPr>
              <w:spacing w:after="120"/>
              <w:rPr>
                <w:color w:val="FFFFFF"/>
                <w:lang w:val="en-CA"/>
              </w:rPr>
            </w:pPr>
            <w:r>
              <w:rPr>
                <w:color w:val="FFFFFF"/>
                <w:lang w:val="en-CA"/>
              </w:rPr>
              <w:t>Msg 3 – HD-FDD RedCap Ues</w:t>
            </w:r>
          </w:p>
        </w:tc>
        <w:tc>
          <w:tcPr>
            <w:tcW w:w="6351" w:type="dxa"/>
            <w:shd w:val="clear" w:color="auto" w:fill="B4C6E7"/>
          </w:tcPr>
          <w:p>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r>
        <w:t>Table 3: Example SIB configurations for Msg1 and Msg3 early indication [19]</w:t>
      </w:r>
    </w:p>
    <w:p>
      <w:pPr>
        <w:pStyle w:val="48"/>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pPr>
        <w:pStyle w:val="48"/>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pPr>
        <w:pStyle w:val="48"/>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pPr>
        <w:pStyle w:val="48"/>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14:textFill>
            <w14:solidFill>
              <w14:schemeClr w14:val="tx1"/>
            </w14:solidFill>
          </w14:textFill>
        </w:rPr>
        <w:t>For 4-step RACH, RedCap UEs shall indicate CCCH using the dedicated LCID in Msg3 PUSCH, regardless of whether the RedCap UEs perform early indication in Msg 1 or not.</w:t>
      </w:r>
    </w:p>
    <w:p>
      <w:pPr>
        <w:pStyle w:val="229"/>
        <w:numPr>
          <w:ilvl w:val="0"/>
          <w:numId w:val="15"/>
        </w:numPr>
        <w:outlineLvl w:val="3"/>
      </w:pPr>
      <w:r>
        <w:t>&lt;1</w:t>
      </w:r>
      <w:r>
        <w:rPr>
          <w:vertAlign w:val="superscript"/>
        </w:rPr>
        <w:t>st</w:t>
      </w:r>
      <w:r>
        <w:t xml:space="preserve"> Round Comments&gt; </w:t>
      </w:r>
    </w:p>
    <w:p>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pPr>
        <w:spacing w:after="100" w:afterAutospacing="1"/>
        <w:jc w:val="both"/>
        <w:rPr>
          <w:lang w:val="en-US"/>
        </w:rPr>
      </w:pPr>
      <w:r>
        <w:rPr>
          <w:lang w:val="en-US"/>
        </w:rPr>
        <w:t xml:space="preserve">Please provide justification for your preference. </w:t>
      </w:r>
    </w:p>
    <w:tbl>
      <w:tblPr>
        <w:tblStyle w:val="33"/>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7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769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7696" w:type="dxa"/>
          </w:tcPr>
          <w:p>
            <w:pPr>
              <w:rPr>
                <w:lang w:val="en-US" w:eastAsia="ko-KR"/>
              </w:rPr>
            </w:pPr>
            <w:r>
              <w:rPr>
                <w:lang w:val="en-US" w:eastAsia="ko-KR"/>
              </w:rPr>
              <w:t xml:space="preserve">P2 can be further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eastAsiaTheme="minorEastAsia"/>
                <w:lang w:val="en-US" w:eastAsia="zh-CN"/>
              </w:rPr>
              <w:t>Vivo</w:t>
            </w:r>
          </w:p>
        </w:tc>
        <w:tc>
          <w:tcPr>
            <w:tcW w:w="769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1 should be discussed in RAN2.</w:t>
            </w:r>
          </w:p>
          <w:p>
            <w:pPr>
              <w:rPr>
                <w:rFonts w:eastAsiaTheme="minorEastAsia"/>
                <w:lang w:val="en-US" w:eastAsia="zh-CN"/>
              </w:rPr>
            </w:pPr>
            <w:r>
              <w:rPr>
                <w:rFonts w:hint="eastAsia" w:eastAsiaTheme="minorEastAsia"/>
                <w:lang w:val="en-US" w:eastAsia="zh-CN"/>
              </w:rPr>
              <w:t>P</w:t>
            </w:r>
            <w:r>
              <w:rPr>
                <w:rFonts w:eastAsiaTheme="minorEastAsia"/>
                <w:lang w:val="en-US" w:eastAsia="zh-CN"/>
              </w:rPr>
              <w:t>2 can be discussed either in RAN1 or RAN2..</w:t>
            </w:r>
          </w:p>
          <w:p>
            <w:pPr>
              <w:rPr>
                <w:rFonts w:eastAsiaTheme="minorEastAsia"/>
                <w:lang w:val="en-US" w:eastAsia="zh-CN"/>
              </w:rPr>
            </w:pPr>
            <w:r>
              <w:rPr>
                <w:rFonts w:hint="eastAsia" w:eastAsiaTheme="minorEastAsia"/>
                <w:lang w:val="en-US" w:eastAsia="zh-CN"/>
              </w:rPr>
              <w:t>P</w:t>
            </w:r>
            <w:r>
              <w:rPr>
                <w:rFonts w:eastAsiaTheme="minorEastAsia"/>
                <w:lang w:val="en-US" w:eastAsia="zh-CN"/>
              </w:rPr>
              <w:t>3 (#Rx part) have been excluded already by the following conclusion</w:t>
            </w:r>
          </w:p>
          <w:p>
            <w:pPr>
              <w:spacing w:after="0"/>
              <w:ind w:left="200" w:leftChars="100" w:firstLine="200" w:firstLineChars="100"/>
              <w:rPr>
                <w:b/>
                <w:bCs/>
                <w:u w:val="single"/>
              </w:rPr>
            </w:pPr>
            <w:r>
              <w:rPr>
                <w:b/>
                <w:bCs/>
                <w:u w:val="single"/>
              </w:rPr>
              <w:t>Conclusion:</w:t>
            </w:r>
          </w:p>
          <w:p>
            <w:pPr>
              <w:numPr>
                <w:ilvl w:val="1"/>
                <w:numId w:val="23"/>
              </w:numPr>
              <w:spacing w:after="0"/>
              <w:ind w:left="600" w:leftChars="300"/>
            </w:pPr>
            <w:r>
              <w:t>No consensus to support early identification of the number of Rx branches in Msg1/Msg3/MsgA for Redcap UE in Rel-17</w:t>
            </w:r>
          </w:p>
          <w:p>
            <w:pPr>
              <w:rPr>
                <w:rFonts w:eastAsiaTheme="minorEastAsia"/>
                <w:lang w:eastAsia="zh-CN"/>
              </w:rPr>
            </w:pPr>
            <w:r>
              <w:rPr>
                <w:rFonts w:hint="eastAsia" w:eastAsiaTheme="minorEastAsia"/>
                <w:lang w:eastAsia="zh-CN"/>
              </w:rPr>
              <w:t>P</w:t>
            </w:r>
            <w:r>
              <w:rPr>
                <w:rFonts w:eastAsiaTheme="minorEastAsia"/>
                <w:lang w:eastAsia="zh-CN"/>
              </w:rPr>
              <w:t xml:space="preserve">4 is beyond the WID scope for early indication. </w:t>
            </w:r>
          </w:p>
          <w:p>
            <w:pPr>
              <w:rPr>
                <w:rFonts w:eastAsiaTheme="minorEastAsia"/>
                <w:lang w:eastAsia="zh-CN"/>
              </w:rPr>
            </w:pPr>
            <w:r>
              <w:rPr>
                <w:rFonts w:hint="eastAsia" w:eastAsiaTheme="minor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7696" w:type="dxa"/>
          </w:tcPr>
          <w:p>
            <w:pPr>
              <w:rPr>
                <w:rFonts w:eastAsiaTheme="minorEastAsia"/>
                <w:lang w:val="en-US" w:eastAsia="zh-CN"/>
              </w:rPr>
            </w:pPr>
            <w:r>
              <w:rPr>
                <w:rFonts w:hint="eastAsia" w:eastAsiaTheme="minor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pPr>
              <w:rPr>
                <w:rFonts w:eastAsiaTheme="minorEastAsia"/>
                <w:lang w:val="en-US" w:eastAsia="zh-CN"/>
              </w:rPr>
            </w:pPr>
            <w:r>
              <w:rPr>
                <w:rFonts w:hint="eastAsia" w:eastAsiaTheme="minorEastAsia"/>
                <w:lang w:val="en-US" w:eastAsia="zh-CN"/>
              </w:rPr>
              <w:t>P3 is against the conclusion and P4 seems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769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7696" w:type="dxa"/>
          </w:tcPr>
          <w:p>
            <w:pPr>
              <w:rPr>
                <w:rFonts w:eastAsia="Yu Mincho"/>
                <w:lang w:val="en-US" w:eastAsia="ja-JP"/>
              </w:rPr>
            </w:pPr>
            <w:r>
              <w:rPr>
                <w:rFonts w:hint="eastAsia" w:eastAsia="Yu Mincho"/>
                <w:lang w:val="en-US" w:eastAsia="ja-JP"/>
              </w:rPr>
              <w:t>N</w:t>
            </w:r>
            <w:r>
              <w:rPr>
                <w:rFonts w:eastAsia="Yu Mincho"/>
                <w:lang w:val="en-US" w:eastAsia="ja-JP"/>
              </w:rPr>
              <w:t>one of them should be discussed in RAN1. If RAN2 needs RAN1 input, it can be communicated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7696" w:type="dxa"/>
          </w:tcPr>
          <w:p>
            <w:pPr>
              <w:rPr>
                <w:rFonts w:eastAsia="Yu Mincho"/>
                <w:lang w:val="en-US" w:eastAsia="ja-JP"/>
              </w:rPr>
            </w:pPr>
            <w:r>
              <w:rPr>
                <w:rFonts w:hint="eastAsia" w:eastAsia="Yu Mincho"/>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pPr>
              <w:rPr>
                <w:rFonts w:eastAsia="Yu Mincho"/>
                <w:lang w:val="en-US" w:eastAsia="ja-JP"/>
              </w:rPr>
            </w:pPr>
            <w:r>
              <w:rPr>
                <w:rFonts w:hint="eastAsia" w:eastAsia="Yu Mincho"/>
                <w:lang w:val="en-US" w:eastAsia="ja-JP"/>
              </w:rPr>
              <w:t>P</w:t>
            </w:r>
            <w:r>
              <w:rPr>
                <w:rFonts w:eastAsia="Yu Mincho"/>
                <w:lang w:val="en-US" w:eastAsia="ja-JP"/>
              </w:rPr>
              <w:t xml:space="preserve">2, P3(first bullet) and P4 can be left to RAN2. </w:t>
            </w:r>
          </w:p>
          <w:p>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0" w:type="dxa"/>
                </w:tcPr>
                <w:p>
                  <w:pPr>
                    <w:rPr>
                      <w:lang w:val="en-US" w:eastAsia="ja-JP"/>
                    </w:rPr>
                  </w:pPr>
                  <w:r>
                    <w:rPr>
                      <w:rFonts w:hint="eastAsia"/>
                    </w:rPr>
                    <w:t>Agreements:</w:t>
                  </w:r>
                </w:p>
                <w:p>
                  <w:pPr>
                    <w:pStyle w:val="48"/>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p>
            <w:pPr>
              <w:rPr>
                <w:rFonts w:eastAsia="Yu Mincho"/>
                <w:lang w:val="en-US" w:eastAsia="ja-JP"/>
              </w:rPr>
            </w:pPr>
            <w:r>
              <w:rPr>
                <w:rFonts w:eastAsia="Yu Mincho"/>
                <w:lang w:val="en-US" w:eastAsia="ja-JP"/>
              </w:rPr>
              <w:t>P3(first bullet) is related to Msg 3 early indication configuration and should be better discussed in RAN2.</w:t>
            </w:r>
            <w:r>
              <w:rPr>
                <w:rFonts w:hint="eastAsia" w:eastAsia="Yu Mincho"/>
                <w:lang w:val="en-US" w:eastAsia="ja-JP"/>
              </w:rPr>
              <w:t xml:space="preserve"> </w:t>
            </w:r>
            <w:r>
              <w:rPr>
                <w:rFonts w:eastAsia="Yu Mincho"/>
                <w:lang w:eastAsia="ja-JP"/>
              </w:rPr>
              <w:t>Remaining bullets of P3 are against RAN1 conclusion made in RAN1 105-e, as pointed out by vivo/CATT.</w:t>
            </w:r>
          </w:p>
          <w:p>
            <w:pPr>
              <w:rPr>
                <w:rFonts w:eastAsia="Yu Mincho"/>
                <w:lang w:val="en-US" w:eastAsia="ja-JP"/>
              </w:rPr>
            </w:pPr>
            <w:r>
              <w:rPr>
                <w:rFonts w:hint="eastAsia" w:eastAsia="Yu Mincho"/>
                <w:lang w:eastAsia="ja-JP"/>
              </w:rPr>
              <w:t>O</w:t>
            </w:r>
            <w:r>
              <w:rPr>
                <w:rFonts w:eastAsia="Yu Mincho"/>
                <w:lang w:eastAsia="ja-JP"/>
              </w:rPr>
              <w:t>n P4, LCID design belongs to RAN2’s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MediaTek</w:t>
            </w:r>
          </w:p>
        </w:tc>
        <w:tc>
          <w:tcPr>
            <w:tcW w:w="7696" w:type="dxa"/>
          </w:tcPr>
          <w:p>
            <w:pPr>
              <w:rPr>
                <w:rFonts w:eastAsia="Yu Mincho"/>
                <w:lang w:val="en-US" w:eastAsia="ja-JP"/>
              </w:rPr>
            </w:pPr>
            <w:r>
              <w:rPr>
                <w:lang w:val="en-US" w:eastAsia="ko-KR"/>
              </w:rPr>
              <w:t>The listed issues are best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7696" w:type="dxa"/>
          </w:tcPr>
          <w:p>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7696" w:type="dxa"/>
          </w:tcPr>
          <w:p>
            <w:pPr>
              <w:rPr>
                <w:rFonts w:eastAsia="宋体"/>
                <w:lang w:val="en-US" w:eastAsia="zh-CN"/>
              </w:rPr>
            </w:pPr>
            <w:r>
              <w:rPr>
                <w:rFonts w:hint="eastAsia" w:eastAsia="宋体"/>
                <w:lang w:val="en-US" w:eastAsia="zh-CN"/>
              </w:rPr>
              <w:t>P2 can be discussed in RAN1. Others are RAN2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7696" w:type="dxa"/>
          </w:tcPr>
          <w:p>
            <w:pPr>
              <w:rPr>
                <w:rFonts w:eastAsia="宋体"/>
                <w:lang w:val="en-US" w:eastAsia="zh-CN"/>
              </w:rPr>
            </w:pPr>
            <w:r>
              <w:rPr>
                <w:rFonts w:hint="eastAsia" w:eastAsia="宋体"/>
                <w:lang w:val="en-US" w:eastAsia="zh-CN"/>
              </w:rPr>
              <w:t>P</w:t>
            </w:r>
            <w:r>
              <w:rPr>
                <w:rFonts w:eastAsia="宋体"/>
                <w:lang w:val="en-US" w:eastAsia="zh-CN"/>
              </w:rPr>
              <w:t>1 shall be discussed in RAN1, especially for the following subbullet</w:t>
            </w:r>
          </w:p>
          <w:p>
            <w:pPr>
              <w:pStyle w:val="48"/>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pPr>
              <w:rPr>
                <w:rFonts w:eastAsia="宋体"/>
                <w:lang w:val="sv-SE" w:eastAsia="zh-CN"/>
              </w:rPr>
            </w:pPr>
            <w:r>
              <w:rPr>
                <w:rFonts w:hint="eastAsia" w:eastAsia="宋体"/>
                <w:lang w:val="sv-SE" w:eastAsia="zh-CN"/>
              </w:rPr>
              <w:t>T</w:t>
            </w:r>
            <w:r>
              <w:rPr>
                <w:rFonts w:eastAsia="宋体"/>
                <w:lang w:val="sv-SE" w:eastAsia="zh-CN"/>
              </w:rPr>
              <w:t>his subbullet would impact the reception of the PUCCH carrying HARQ feedback of Msg.4. RAN1 should provide such information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7696" w:type="dxa"/>
          </w:tcPr>
          <w:p>
            <w:pPr>
              <w:rPr>
                <w:lang w:val="en-US" w:eastAsia="ko-KR"/>
              </w:rPr>
            </w:pPr>
            <w:r>
              <w:rPr>
                <w:rFonts w:eastAsia="Yu Mincho"/>
                <w:lang w:val="en-US" w:eastAsia="ja-JP"/>
              </w:rPr>
              <w:t>We agree with DOCOMO and others that none of them should be discussed in RAN1 unless RAN2 explicitly asks RAN1 for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7696" w:type="dxa"/>
          </w:tcPr>
          <w:p>
            <w:pPr>
              <w:rPr>
                <w:rFonts w:eastAsia="Yu Mincho"/>
                <w:lang w:val="en-US" w:eastAsia="ja-JP"/>
              </w:rPr>
            </w:pPr>
            <w:r>
              <w:rPr>
                <w:rFonts w:eastAsia="Yu Mincho"/>
                <w:lang w:val="en-US" w:eastAsia="ja-JP"/>
              </w:rPr>
              <w:t xml:space="preserve">Share the same view as Ericsson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7696" w:type="dxa"/>
          </w:tcPr>
          <w:p>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 xml:space="preserve">Nordic </w:t>
            </w:r>
          </w:p>
        </w:tc>
        <w:tc>
          <w:tcPr>
            <w:tcW w:w="7696" w:type="dxa"/>
          </w:tcPr>
          <w:p>
            <w:pPr>
              <w:rPr>
                <w:rFonts w:eastAsia="Yu Mincho"/>
                <w:lang w:val="en-US" w:eastAsia="ja-JP"/>
              </w:rPr>
            </w:pPr>
            <w:r>
              <w:rPr>
                <w:rFonts w:eastAsia="宋体"/>
                <w:lang w:val="en-US" w:eastAsia="zh-CN"/>
              </w:rPr>
              <w:t xml:space="preserve">We believe that all above issues are in RAN2 competence.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7696" w:type="dxa"/>
          </w:tcPr>
          <w:p>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7696" w:type="dxa"/>
          </w:tcPr>
          <w:p>
            <w:pPr>
              <w:rPr>
                <w:rFonts w:eastAsia="宋体"/>
                <w:lang w:val="en-US" w:eastAsia="zh-CN"/>
              </w:rPr>
            </w:pPr>
            <w:r>
              <w:rPr>
                <w:rFonts w:hint="eastAsia" w:eastAsia="Yu Mincho"/>
                <w:lang w:val="en-US" w:eastAsia="ja-JP"/>
              </w:rPr>
              <w:t>W</w:t>
            </w:r>
            <w:r>
              <w:rPr>
                <w:rFonts w:eastAsia="Yu Mincho"/>
                <w:lang w:val="en-US" w:eastAsia="ja-JP"/>
              </w:rPr>
              <w:t>e think all proposals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7696" w:type="dxa"/>
          </w:tcPr>
          <w:p>
            <w:pPr>
              <w:rPr>
                <w:rFonts w:eastAsia="Yu Mincho"/>
                <w:lang w:val="en-US" w:eastAsia="ja-JP"/>
              </w:rPr>
            </w:pPr>
            <w:r>
              <w:rPr>
                <w:rFonts w:eastAsia="Yu Mincho"/>
                <w:lang w:val="en-US" w:eastAsia="ja-JP"/>
              </w:rPr>
              <w:t>P2 can be discussed in RAN1 or RAN2. Others to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PRD</w:t>
            </w:r>
          </w:p>
        </w:tc>
        <w:tc>
          <w:tcPr>
            <w:tcW w:w="7696" w:type="dxa"/>
          </w:tcPr>
          <w:p>
            <w:pPr>
              <w:rPr>
                <w:rFonts w:eastAsia="Yu Mincho"/>
                <w:lang w:val="en-US" w:eastAsia="ja-JP"/>
              </w:rPr>
            </w:pPr>
            <w:r>
              <w:rPr>
                <w:rFonts w:eastAsiaTheme="minorEastAsia"/>
                <w:lang w:val="en-US" w:eastAsia="zh-CN"/>
              </w:rPr>
              <w:t xml:space="preserve">P3 can be further discussed in RAN1.  </w:t>
            </w:r>
            <w:r>
              <w:rPr>
                <w:rFonts w:hint="eastAsia" w:eastAsiaTheme="minor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Pr>
                <w:rFonts w:eastAsia="宋体"/>
                <w:lang w:eastAsia="ja-JP"/>
              </w:rPr>
              <w:t>RedCap, early indication in Msg3 only works as a duplicated function. It is kind of a waste.</w:t>
            </w:r>
            <w:r>
              <w:rPr>
                <w:rFonts w:hint="eastAsia" w:eastAsiaTheme="minor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Pr>
                <w:rFonts w:eastAsia="宋体"/>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769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above issues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7696" w:type="dxa"/>
          </w:tcPr>
          <w:p>
            <w:pPr>
              <w:rPr>
                <w:rFonts w:eastAsiaTheme="minorEastAsia"/>
                <w:lang w:val="en-US" w:eastAsia="zh-CN"/>
              </w:rPr>
            </w:pPr>
            <w:r>
              <w:rPr>
                <w:rFonts w:eastAsiaTheme="minorEastAsia"/>
                <w:lang w:val="en-US" w:eastAsia="zh-CN"/>
              </w:rPr>
              <w:t>We share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Sierra Wireless</w:t>
            </w:r>
          </w:p>
        </w:tc>
        <w:tc>
          <w:tcPr>
            <w:tcW w:w="7696" w:type="dxa"/>
          </w:tcPr>
          <w:p>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pPr>
              <w:pStyle w:val="246"/>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 xml:space="preserve">Specify functionality that will enable RedCap UEs to be explicitly identifiable to networks through an early indication in Msg1 and/or Msg3, and Msg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pPr>
              <w:rPr>
                <w:rFonts w:eastAsia="Yu Mincho"/>
                <w:lang w:val="en-US" w:eastAsia="ja-JP"/>
              </w:rPr>
            </w:pPr>
          </w:p>
          <w:p>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pPr>
              <w:rPr>
                <w:rFonts w:eastAsia="Yu Mincho"/>
                <w:lang w:val="en-US" w:eastAsia="ja-JP"/>
              </w:rPr>
            </w:pPr>
            <w:r>
              <w:rPr>
                <w:rFonts w:eastAsia="Yu Mincho"/>
                <w:lang w:val="en-US" w:eastAsia="ja-JP"/>
              </w:rPr>
              <w:t>P4 can be consider by RAN2.</w:t>
            </w:r>
          </w:p>
          <w:p>
            <w:pPr>
              <w:spacing w:after="0"/>
              <w:rPr>
                <w:rFonts w:eastAsia="Yu Mincho"/>
                <w:lang w:val="en-US" w:eastAsia="ja-JP"/>
              </w:rPr>
            </w:pPr>
            <w:r>
              <w:rPr>
                <w:rFonts w:eastAsia="Yu Mincho"/>
                <w:lang w:val="en-US" w:eastAsia="ja-JP"/>
              </w:rPr>
              <w:t xml:space="preserve">WRT P3, we feel this is NOT contradicting this conclusion: </w:t>
            </w:r>
          </w:p>
          <w:p>
            <w:pPr>
              <w:spacing w:after="0"/>
              <w:ind w:left="200" w:leftChars="100" w:firstLine="200" w:firstLineChars="100"/>
              <w:rPr>
                <w:b/>
                <w:bCs/>
                <w:i/>
                <w:iCs/>
                <w:u w:val="single"/>
              </w:rPr>
            </w:pPr>
            <w:r>
              <w:rPr>
                <w:b/>
                <w:bCs/>
                <w:i/>
                <w:iCs/>
                <w:u w:val="single"/>
              </w:rPr>
              <w:t>Conclusion:</w:t>
            </w:r>
          </w:p>
          <w:p>
            <w:pPr>
              <w:numPr>
                <w:ilvl w:val="1"/>
                <w:numId w:val="23"/>
              </w:numPr>
              <w:spacing w:after="0"/>
              <w:ind w:left="600" w:leftChars="300"/>
              <w:rPr>
                <w:i/>
                <w:iCs/>
              </w:rPr>
            </w:pPr>
            <w:r>
              <w:rPr>
                <w:i/>
                <w:iCs/>
              </w:rPr>
              <w:t>No consensus to support early identification of the number of Rx branches in Msg1/Msg3/MsgA for Redcap UE in Rel-17</w:t>
            </w:r>
          </w:p>
          <w:p>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CMCC</w:t>
            </w:r>
          </w:p>
        </w:tc>
        <w:tc>
          <w:tcPr>
            <w:tcW w:w="7696" w:type="dxa"/>
          </w:tcPr>
          <w:p>
            <w:pPr>
              <w:rPr>
                <w:rFonts w:eastAsiaTheme="minorEastAsia"/>
                <w:lang w:val="en-US" w:eastAsia="zh-CN"/>
              </w:rPr>
            </w:pPr>
            <w:r>
              <w:rPr>
                <w:rFonts w:hint="eastAsia" w:eastAsiaTheme="minorEastAsia"/>
                <w:lang w:val="en-US" w:eastAsia="zh-CN"/>
              </w:rPr>
              <w:t>P1,P2 and P3(first sub-bullet) are all about explicit or implicit enable and disable of Msg1 or Msg3 based early indication. The detail signaling is up to RAN2, RAN1 can discuss this and make some information for RAN2.</w:t>
            </w:r>
          </w:p>
          <w:p>
            <w:pPr>
              <w:rPr>
                <w:rFonts w:eastAsiaTheme="minorEastAsia"/>
                <w:lang w:val="en-US" w:eastAsia="zh-CN"/>
              </w:rPr>
            </w:pPr>
            <w:r>
              <w:rPr>
                <w:rFonts w:hint="eastAsia" w:eastAsiaTheme="minorEastAsia"/>
                <w:lang w:val="en-US" w:eastAsia="zh-CN"/>
              </w:rPr>
              <w:t>From our understanding, enable of early indication will be based on explicit signaling, no matter for Msg1 and Msg3 based solution. While disable of early indication can be either a explicit or an implicit way.</w:t>
            </w:r>
          </w:p>
          <w:p>
            <w:pPr>
              <w:rPr>
                <w:rFonts w:eastAsiaTheme="minorEastAsia"/>
                <w:lang w:val="en-US" w:eastAsia="ja-JP"/>
              </w:rPr>
            </w:pPr>
            <w:r>
              <w:rPr>
                <w:rFonts w:hint="eastAsia" w:eastAsiaTheme="minorEastAsia"/>
                <w:lang w:val="en-US" w:eastAsia="zh-CN"/>
              </w:rPr>
              <w:t>P4 and P5 is up to RAN2.</w:t>
            </w:r>
          </w:p>
        </w:tc>
      </w:tr>
    </w:tbl>
    <w:p>
      <w:pPr>
        <w:spacing w:after="100" w:afterAutospacing="1"/>
        <w:jc w:val="both"/>
      </w:pPr>
    </w:p>
    <w:p>
      <w:pPr>
        <w:pStyle w:val="229"/>
        <w:numPr>
          <w:ilvl w:val="0"/>
          <w:numId w:val="15"/>
        </w:numPr>
        <w:outlineLvl w:val="3"/>
      </w:pPr>
      <w:r>
        <w:t xml:space="preserve">&lt;1st Round Summary&gt;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662"/>
        <w:gridCol w:w="1657"/>
        <w:gridCol w:w="1674"/>
        <w:gridCol w:w="1657"/>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D0CECE" w:themeFill="background2" w:themeFillShade="E6"/>
          </w:tcPr>
          <w:p>
            <w:pPr>
              <w:spacing w:after="100" w:afterAutospacing="1"/>
            </w:pPr>
          </w:p>
        </w:tc>
        <w:tc>
          <w:tcPr>
            <w:tcW w:w="1662" w:type="dxa"/>
            <w:shd w:val="clear" w:color="auto" w:fill="D0CECE" w:themeFill="background2" w:themeFillShade="E6"/>
          </w:tcPr>
          <w:p>
            <w:pPr>
              <w:spacing w:after="100" w:afterAutospacing="1"/>
            </w:pPr>
            <w:r>
              <w:t>P1</w:t>
            </w:r>
          </w:p>
        </w:tc>
        <w:tc>
          <w:tcPr>
            <w:tcW w:w="1657" w:type="dxa"/>
            <w:shd w:val="clear" w:color="auto" w:fill="D0CECE" w:themeFill="background2" w:themeFillShade="E6"/>
          </w:tcPr>
          <w:p>
            <w:pPr>
              <w:spacing w:after="100" w:afterAutospacing="1"/>
            </w:pPr>
            <w:r>
              <w:t>P2</w:t>
            </w:r>
          </w:p>
        </w:tc>
        <w:tc>
          <w:tcPr>
            <w:tcW w:w="1674" w:type="dxa"/>
            <w:shd w:val="clear" w:color="auto" w:fill="D0CECE" w:themeFill="background2" w:themeFillShade="E6"/>
          </w:tcPr>
          <w:p>
            <w:pPr>
              <w:spacing w:after="100" w:afterAutospacing="1"/>
            </w:pPr>
            <w:r>
              <w:t>P3</w:t>
            </w:r>
          </w:p>
        </w:tc>
        <w:tc>
          <w:tcPr>
            <w:tcW w:w="1657" w:type="dxa"/>
            <w:shd w:val="clear" w:color="auto" w:fill="D0CECE" w:themeFill="background2" w:themeFillShade="E6"/>
          </w:tcPr>
          <w:p>
            <w:pPr>
              <w:spacing w:after="100" w:afterAutospacing="1"/>
            </w:pPr>
            <w:r>
              <w:t>P4</w:t>
            </w:r>
          </w:p>
        </w:tc>
        <w:tc>
          <w:tcPr>
            <w:tcW w:w="1662" w:type="dxa"/>
            <w:shd w:val="clear" w:color="auto" w:fill="D0CECE" w:themeFill="background2" w:themeFillShade="E6"/>
          </w:tcPr>
          <w:p>
            <w:pPr>
              <w:spacing w:after="100" w:afterAutospacing="1"/>
            </w:pPr>
            <w:r>
              <w:t>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spacing w:after="100" w:afterAutospacing="1"/>
            </w:pPr>
            <w:r>
              <w:t>RAN1</w:t>
            </w:r>
          </w:p>
        </w:tc>
        <w:tc>
          <w:tcPr>
            <w:tcW w:w="1662" w:type="dxa"/>
          </w:tcPr>
          <w:p>
            <w:pPr>
              <w:spacing w:after="100" w:afterAutospacing="1"/>
            </w:pPr>
            <w:r>
              <w:rPr>
                <w:rFonts w:hint="eastAsia" w:eastAsiaTheme="minor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pPr>
              <w:spacing w:after="100" w:afterAutospacing="1"/>
            </w:pPr>
            <w:r>
              <w:rPr>
                <w:rFonts w:eastAsiaTheme="minorEastAsia"/>
                <w:lang w:val="en-US" w:eastAsia="zh-CN"/>
              </w:rPr>
              <w:t xml:space="preserve">Vivo, OPPO, LGe, ZTE, Lenovo, </w:t>
            </w:r>
            <w:r>
              <w:rPr>
                <w:rFonts w:eastAsia="Yu Mincho"/>
                <w:lang w:val="en-US" w:eastAsia="ja-JP"/>
              </w:rPr>
              <w:t>Sierra Wireless, CMCC</w:t>
            </w:r>
          </w:p>
        </w:tc>
        <w:tc>
          <w:tcPr>
            <w:tcW w:w="1674" w:type="dxa"/>
          </w:tcPr>
          <w:p>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pPr>
              <w:spacing w:after="100" w:afterAutospacing="1"/>
            </w:pPr>
          </w:p>
        </w:tc>
        <w:tc>
          <w:tcPr>
            <w:tcW w:w="1662" w:type="dxa"/>
          </w:tcPr>
          <w:p>
            <w:pPr>
              <w:spacing w:after="100" w:afterAutospacing="1"/>
            </w:pPr>
            <w:r>
              <w:rPr>
                <w:rFonts w:eastAsiaTheme="minorEastAsia"/>
                <w:lang w:val="en-US" w:eastAsia="zh-CN"/>
              </w:rPr>
              <w:t xml:space="preserve">Vivo, Sharp, </w:t>
            </w:r>
            <w:r>
              <w:rPr>
                <w:rFonts w:eastAsia="Yu Mincho"/>
                <w:lang w:val="en-US" w:eastAsia="ja-JP"/>
              </w:rPr>
              <w:t>Sierra Wireless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spacing w:after="100" w:afterAutospacing="1"/>
            </w:pPr>
            <w:r>
              <w:t>RAN2</w:t>
            </w:r>
          </w:p>
        </w:tc>
        <w:tc>
          <w:tcPr>
            <w:tcW w:w="1662" w:type="dxa"/>
          </w:tcPr>
          <w:p>
            <w:pPr>
              <w:spacing w:after="100" w:afterAutospacing="1"/>
            </w:pPr>
            <w:r>
              <w:rPr>
                <w:rFonts w:eastAsiaTheme="minorEastAsia"/>
                <w:lang w:val="en-US" w:eastAsia="zh-CN"/>
              </w:rPr>
              <w:t xml:space="preserve">Vivo, </w:t>
            </w:r>
            <w:r>
              <w:rPr>
                <w:rFonts w:hint="eastAsia" w:eastAsiaTheme="minor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spacing w:after="100" w:afterAutospacing="1"/>
            </w:pPr>
            <w:r>
              <w:t>All in RAN2</w:t>
            </w:r>
          </w:p>
        </w:tc>
        <w:tc>
          <w:tcPr>
            <w:tcW w:w="8312" w:type="dxa"/>
            <w:gridSpan w:val="5"/>
          </w:tcPr>
          <w:p>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hint="eastAsia" w:eastAsiaTheme="minorEastAsia"/>
                <w:lang w:val="en-US" w:eastAsia="zh-CN"/>
              </w:rPr>
              <w:t>C</w:t>
            </w:r>
            <w:r>
              <w:rPr>
                <w:rFonts w:eastAsiaTheme="minorEastAsia"/>
                <w:lang w:val="en-US" w:eastAsia="zh-CN"/>
              </w:rPr>
              <w:t>hina Telecom,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spacing w:after="100" w:afterAutospacing="1"/>
            </w:pPr>
            <w:r>
              <w:t>Others</w:t>
            </w:r>
          </w:p>
        </w:tc>
        <w:tc>
          <w:tcPr>
            <w:tcW w:w="1662" w:type="dxa"/>
          </w:tcPr>
          <w:p>
            <w:pPr>
              <w:spacing w:after="100" w:afterAutospacing="1"/>
              <w:rPr>
                <w:rFonts w:eastAsiaTheme="minorEastAsia"/>
                <w:lang w:val="en-US" w:eastAsia="zh-CN"/>
              </w:rPr>
            </w:pPr>
          </w:p>
        </w:tc>
        <w:tc>
          <w:tcPr>
            <w:tcW w:w="1657" w:type="dxa"/>
          </w:tcPr>
          <w:p>
            <w:pPr>
              <w:spacing w:after="100" w:afterAutospacing="1"/>
              <w:rPr>
                <w:rFonts w:eastAsiaTheme="minorEastAsia"/>
                <w:lang w:val="en-US" w:eastAsia="zh-CN"/>
              </w:rPr>
            </w:pPr>
          </w:p>
        </w:tc>
        <w:tc>
          <w:tcPr>
            <w:tcW w:w="1674" w:type="dxa"/>
          </w:tcPr>
          <w:p>
            <w:pPr>
              <w:spacing w:after="100" w:afterAutospacing="1"/>
            </w:pPr>
            <w:r>
              <w:rPr>
                <w:rFonts w:eastAsiaTheme="minorEastAsia"/>
                <w:lang w:val="en-US" w:eastAsia="zh-CN"/>
              </w:rPr>
              <w:t xml:space="preserve">Vivo (Not #Rx part), </w:t>
            </w:r>
            <w:r>
              <w:rPr>
                <w:rFonts w:hint="eastAsia" w:eastAsiaTheme="minorEastAsia"/>
                <w:lang w:val="en-US" w:eastAsia="zh-CN"/>
              </w:rPr>
              <w:t>CATT</w:t>
            </w:r>
            <w:r>
              <w:rPr>
                <w:rFonts w:eastAsiaTheme="minorEastAsia"/>
                <w:lang w:val="en-US" w:eastAsia="zh-CN"/>
              </w:rPr>
              <w:t xml:space="preserve"> (against conclusion), </w:t>
            </w:r>
          </w:p>
        </w:tc>
        <w:tc>
          <w:tcPr>
            <w:tcW w:w="1657" w:type="dxa"/>
          </w:tcPr>
          <w:p>
            <w:pPr>
              <w:spacing w:after="100" w:afterAutospacing="1"/>
            </w:pPr>
            <w:r>
              <w:rPr>
                <w:rFonts w:eastAsiaTheme="minorEastAsia"/>
                <w:lang w:val="en-US" w:eastAsia="zh-CN"/>
              </w:rPr>
              <w:t xml:space="preserve">Vivo (beyond scope), CATT (out of scope), </w:t>
            </w:r>
          </w:p>
        </w:tc>
        <w:tc>
          <w:tcPr>
            <w:tcW w:w="1662" w:type="dxa"/>
          </w:tcPr>
          <w:p>
            <w:pPr>
              <w:spacing w:after="100" w:afterAutospacing="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318" w:type="dxa"/>
            <w:shd w:val="clear" w:color="auto" w:fill="FEF2CC" w:themeFill="accent4" w:themeFillTint="33"/>
          </w:tcPr>
          <w:p>
            <w:pPr>
              <w:spacing w:after="100" w:afterAutospacing="1"/>
            </w:pPr>
            <w:r>
              <w:t>Num. of Companies</w:t>
            </w:r>
          </w:p>
        </w:tc>
        <w:tc>
          <w:tcPr>
            <w:tcW w:w="1662" w:type="dxa"/>
            <w:shd w:val="clear" w:color="auto" w:fill="FEF2CC" w:themeFill="accent4" w:themeFillTint="33"/>
          </w:tcPr>
          <w:p>
            <w:pPr>
              <w:spacing w:after="0"/>
              <w:rPr>
                <w:rFonts w:eastAsiaTheme="minorEastAsia"/>
                <w:lang w:val="en-US" w:eastAsia="zh-CN"/>
              </w:rPr>
            </w:pPr>
            <w:r>
              <w:rPr>
                <w:rFonts w:eastAsiaTheme="minorEastAsia"/>
                <w:lang w:val="en-US" w:eastAsia="zh-CN"/>
              </w:rPr>
              <w:t>RAN1: 6</w:t>
            </w:r>
          </w:p>
          <w:p>
            <w:pPr>
              <w:spacing w:after="0"/>
              <w:rPr>
                <w:rFonts w:eastAsiaTheme="minorEastAsia"/>
                <w:lang w:val="en-US" w:eastAsia="zh-CN"/>
              </w:rPr>
            </w:pPr>
            <w:r>
              <w:rPr>
                <w:rFonts w:eastAsiaTheme="minorEastAsia"/>
                <w:lang w:val="en-US" w:eastAsia="zh-CN"/>
              </w:rPr>
              <w:t>RAN2: 15</w:t>
            </w:r>
          </w:p>
        </w:tc>
        <w:tc>
          <w:tcPr>
            <w:tcW w:w="1657" w:type="dxa"/>
            <w:shd w:val="clear" w:color="auto" w:fill="FEF2CC" w:themeFill="accent4" w:themeFillTint="33"/>
          </w:tcPr>
          <w:p>
            <w:pPr>
              <w:spacing w:after="0"/>
              <w:rPr>
                <w:rFonts w:eastAsiaTheme="minorEastAsia"/>
                <w:lang w:val="en-US" w:eastAsia="zh-CN"/>
              </w:rPr>
            </w:pPr>
            <w:r>
              <w:rPr>
                <w:rFonts w:eastAsiaTheme="minorEastAsia"/>
                <w:lang w:val="en-US" w:eastAsia="zh-CN"/>
              </w:rPr>
              <w:t>RAN1: 7</w:t>
            </w:r>
          </w:p>
          <w:p>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EF2CC" w:themeFill="accent4" w:themeFillTint="33"/>
          </w:tcPr>
          <w:p>
            <w:pPr>
              <w:spacing w:after="0"/>
              <w:rPr>
                <w:rFonts w:eastAsiaTheme="minorEastAsia"/>
                <w:lang w:val="en-US" w:eastAsia="zh-CN"/>
              </w:rPr>
            </w:pPr>
            <w:r>
              <w:rPr>
                <w:rFonts w:eastAsiaTheme="minorEastAsia"/>
                <w:lang w:val="en-US" w:eastAsia="zh-CN"/>
              </w:rPr>
              <w:t>RAN1: 5</w:t>
            </w:r>
          </w:p>
          <w:p>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EF2CC" w:themeFill="accent4" w:themeFillTint="33"/>
          </w:tcPr>
          <w:p>
            <w:pPr>
              <w:spacing w:after="0"/>
              <w:rPr>
                <w:rFonts w:eastAsiaTheme="minorEastAsia"/>
                <w:lang w:val="en-US" w:eastAsia="zh-CN"/>
              </w:rPr>
            </w:pPr>
            <w:r>
              <w:rPr>
                <w:rFonts w:eastAsiaTheme="minorEastAsia"/>
                <w:lang w:val="en-US" w:eastAsia="zh-CN"/>
              </w:rPr>
              <w:t>RAN1: 0</w:t>
            </w:r>
          </w:p>
          <w:p>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EF2CC" w:themeFill="accent4" w:themeFillTint="33"/>
          </w:tcPr>
          <w:p>
            <w:pPr>
              <w:spacing w:after="0"/>
              <w:rPr>
                <w:rFonts w:eastAsiaTheme="minorEastAsia"/>
                <w:lang w:val="en-US" w:eastAsia="zh-CN"/>
              </w:rPr>
            </w:pPr>
            <w:r>
              <w:rPr>
                <w:rFonts w:eastAsiaTheme="minorEastAsia"/>
                <w:lang w:val="en-US" w:eastAsia="zh-CN"/>
              </w:rPr>
              <w:t>RAN1: 3</w:t>
            </w:r>
          </w:p>
          <w:p>
            <w:pPr>
              <w:spacing w:after="100" w:afterAutospacing="1"/>
            </w:pPr>
            <w:r>
              <w:rPr>
                <w:rFonts w:eastAsiaTheme="minorEastAsia"/>
                <w:lang w:val="en-US" w:eastAsia="zh-CN"/>
              </w:rPr>
              <w:t>RAN2: 15</w:t>
            </w:r>
          </w:p>
        </w:tc>
      </w:tr>
    </w:tbl>
    <w:p>
      <w:pPr>
        <w:spacing w:after="100" w:afterAutospacing="1"/>
        <w:jc w:val="both"/>
      </w:pPr>
    </w:p>
    <w:p>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pPr>
        <w:spacing w:after="100" w:afterAutospacing="1"/>
        <w:jc w:val="both"/>
      </w:pPr>
    </w:p>
    <w:p>
      <w:pPr>
        <w:spacing w:after="100" w:afterAutospacing="1"/>
        <w:jc w:val="both"/>
      </w:pPr>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b/>
                <w:bCs/>
              </w:rPr>
            </w:pPr>
            <w:r>
              <w:rPr>
                <w:b/>
                <w:highlight w:val="green"/>
              </w:rPr>
              <w:t>Agreements</w:t>
            </w:r>
            <w:r>
              <w:rPr>
                <w:b/>
                <w:bCs/>
              </w:rPr>
              <w:t>:</w:t>
            </w:r>
          </w:p>
          <w:p>
            <w:pPr>
              <w:pStyle w:val="290"/>
              <w:ind w:left="363"/>
              <w:jc w:val="both"/>
              <w:rPr>
                <w:rFonts w:ascii="Times New Roman" w:hAnsi="Times New Roman" w:cs="Times New Roman"/>
                <w:lang w:val="en-US"/>
              </w:rPr>
            </w:pPr>
            <w:r>
              <w:rPr>
                <w:lang w:val="en-US"/>
              </w:rPr>
              <w:t>1.</w:t>
            </w:r>
            <w:r>
              <w:rPr>
                <w:rFonts w:ascii="Times New Roman" w:hAnsi="Times New Roman" w:cs="Times New Roman"/>
                <w:lang w:val="en-US"/>
              </w:rPr>
              <w:tab/>
            </w:r>
            <w:r>
              <w:rPr>
                <w:rFonts w:ascii="Times New Roman" w:hAnsi="Times New Roman" w:cs="Times New Roman"/>
                <w:lang w:val="en-US"/>
              </w:rPr>
              <w:t>Preamble partitioning is defined on a feature and/or feature combination basis.  FFS on signalling.  2step RA and CE is excluded, if RAN1 decided to exclude</w:t>
            </w:r>
          </w:p>
          <w:p>
            <w:pPr>
              <w:pStyle w:val="290"/>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Pr>
                <w:rFonts w:ascii="Times New Roman" w:hAnsi="Times New Roman" w:cs="Times New Roman"/>
                <w:lang w:val="en-US"/>
              </w:rPr>
              <w:t xml:space="preserve">Preambles associated with a Rel-17 feature should never be chosen by legacy UEs in the case of RO sharing.  </w:t>
            </w:r>
          </w:p>
          <w:p>
            <w:pPr>
              <w:pStyle w:val="290"/>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Pr>
                <w:rFonts w:ascii="Times New Roman" w:hAnsi="Times New Roman" w:cs="Times New Roman"/>
                <w:lang w:val="en-US"/>
              </w:rPr>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pPr>
              <w:pStyle w:val="290"/>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Pr>
                <w:rFonts w:ascii="Times New Roman" w:hAnsi="Times New Roman" w:cs="Times New Roman"/>
                <w:lang w:val="en-US"/>
              </w:rPr>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pPr>
              <w:pStyle w:val="290"/>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Pr>
                <w:rFonts w:ascii="Times New Roman" w:hAnsi="Times New Roman" w:cs="Times New Roman"/>
                <w:lang w:val="en-US"/>
              </w:rPr>
              <w:t>A common MAC CR capturing the changes to sections 5.1.1 and section 5.1.1a of the MAC spec can also be considered and if agreeable, this CR should also be maintained as part of the common RACH agenda item.</w:t>
            </w:r>
          </w:p>
          <w:p>
            <w:pPr>
              <w:pStyle w:val="290"/>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r>
            <w:r>
              <w:rPr>
                <w:rFonts w:ascii="Times New Roman" w:hAnsi="Times New Roman" w:cs="Times New Roman"/>
                <w:lang w:val="en-US"/>
              </w:rPr>
              <w:t xml:space="preserve">As a baseline, the RA procedure design for Rel-17 should adhere to the following general principles: </w:t>
            </w:r>
          </w:p>
          <w:p>
            <w:pPr>
              <w:pStyle w:val="290"/>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pPr>
              <w:pStyle w:val="290"/>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pPr>
              <w:pStyle w:val="290"/>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pPr>
              <w:spacing w:after="100" w:afterAutospacing="1"/>
              <w:jc w:val="both"/>
            </w:pPr>
          </w:p>
        </w:tc>
      </w:tr>
    </w:tbl>
    <w:p>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pPr>
        <w:pStyle w:val="229"/>
        <w:numPr>
          <w:ilvl w:val="0"/>
          <w:numId w:val="15"/>
        </w:numPr>
        <w:outlineLvl w:val="3"/>
      </w:pPr>
      <w:r>
        <w:t>&lt;1</w:t>
      </w:r>
      <w:r>
        <w:rPr>
          <w:vertAlign w:val="superscript"/>
        </w:rPr>
        <w:t>st</w:t>
      </w:r>
      <w:r>
        <w:t xml:space="preserve"> Round Comments&gt; </w:t>
      </w:r>
    </w:p>
    <w:p>
      <w:pPr>
        <w:tabs>
          <w:tab w:val="left" w:pos="1410"/>
        </w:tabs>
        <w:spacing w:after="0"/>
        <w:rPr>
          <w:b/>
          <w:bCs/>
          <w:lang w:val="en-US"/>
        </w:rPr>
      </w:pPr>
      <w:r>
        <w:rPr>
          <w:b/>
          <w:highlight w:val="yellow"/>
          <w:lang w:val="en-US"/>
        </w:rPr>
        <w:t>FL2 High Priority Proposal 4-1:</w:t>
      </w:r>
      <w:r>
        <w:rPr>
          <w:b/>
          <w:bCs/>
          <w:lang w:val="en-US"/>
        </w:rPr>
        <w:t xml:space="preserve"> </w:t>
      </w:r>
    </w:p>
    <w:p>
      <w:pPr>
        <w:pStyle w:val="48"/>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pPr>
        <w:pStyle w:val="48"/>
        <w:tabs>
          <w:tab w:val="left" w:pos="1410"/>
        </w:tabs>
        <w:spacing w:after="0"/>
        <w:rPr>
          <w:b/>
          <w:bCs/>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p>
        </w:tc>
        <w:tc>
          <w:tcPr>
            <w:tcW w:w="6780" w:type="dxa"/>
          </w:tcPr>
          <w:p>
            <w:pPr>
              <w:rPr>
                <w:rFonts w:eastAsia="宋体"/>
                <w:lang w:val="en-US" w:eastAsia="zh-CN"/>
              </w:rPr>
            </w:pPr>
            <w:r>
              <w:rPr>
                <w:rFonts w:hint="eastAsia" w:eastAsia="宋体"/>
                <w:lang w:val="en-US" w:eastAsia="zh-CN"/>
              </w:rPr>
              <w:t>In order to avoid the signalling wasting and duplicated work, which cases are supported or excluded should be discussed in RAN1.</w:t>
            </w:r>
          </w:p>
          <w:p>
            <w:pPr>
              <w:rPr>
                <w:rFonts w:eastAsia="宋体"/>
                <w:lang w:val="en-US" w:eastAsia="zh-CN"/>
              </w:rPr>
            </w:pPr>
            <w:r>
              <w:rPr>
                <w:rFonts w:hint="eastAsia" w:eastAsia="宋体"/>
                <w:lang w:val="en-US" w:eastAsia="zh-CN"/>
              </w:rPr>
              <w:t>From RAN1 perspective, we already have decided the following cases for PRACH resource configuration are supported:</w:t>
            </w:r>
          </w:p>
          <w:p>
            <w:pPr>
              <w:spacing w:before="120" w:beforeLines="50" w:after="120" w:afterLines="5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pPr>
              <w:spacing w:before="120" w:beforeLines="50" w:after="120" w:afterLines="5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RedCap UE with CE and non-RedCap UE with CE share PRACH resources, RedCap UE without CE and non-RedCap UE with CE have different PRACH resources.</w:t>
            </w:r>
          </w:p>
          <w:p>
            <w:pPr>
              <w:spacing w:before="120" w:beforeLines="50" w:after="120" w:afterLines="50" w:line="276" w:lineRule="auto"/>
              <w:jc w:val="both"/>
              <w:rPr>
                <w:rFonts w:eastAsia="宋体"/>
                <w:kern w:val="2"/>
                <w:lang w:val="en-US" w:eastAsia="zh-CN" w:bidi="ar"/>
              </w:rPr>
            </w:pPr>
            <w:r>
              <w:rPr>
                <w:rFonts w:hint="eastAsia" w:eastAsia="宋体"/>
                <w:kern w:val="2"/>
                <w:lang w:val="en-US" w:eastAsia="zh-CN" w:bidi="ar"/>
              </w:rPr>
              <w:t>We can further discuss whether the following cases for PRACH resource configuration are supported:</w:t>
            </w:r>
          </w:p>
          <w:p>
            <w:pPr>
              <w:spacing w:before="120" w:beforeLines="50" w:after="120" w:afterLines="5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PRACH resources</w:t>
            </w:r>
          </w:p>
          <w:p>
            <w:pPr>
              <w:spacing w:before="120" w:beforeLines="50" w:after="120" w:afterLines="5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pPr>
              <w:spacing w:before="120" w:beforeLines="50" w:after="120" w:afterLines="50" w:line="276" w:lineRule="auto"/>
              <w:jc w:val="both"/>
              <w:rPr>
                <w:rFonts w:eastAsia="宋体"/>
                <w:lang w:val="en-US" w:eastAsia="ko-KR"/>
              </w:rPr>
            </w:pPr>
            <w:r>
              <w:rPr>
                <w:rFonts w:hint="eastAsia" w:eastAsia="宋体"/>
                <w:kern w:val="2"/>
                <w:lang w:val="en-US" w:eastAsia="zh-CN" w:bidi="ar"/>
              </w:rPr>
              <w:t>The details can be found in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r>
              <w:t>RAN2 has email discussion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120"/>
              <w:ind w:right="-101"/>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120"/>
              <w:ind w:right="-101"/>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120"/>
              <w:ind w:right="-101"/>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120"/>
              <w:ind w:right="-101"/>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120"/>
              <w:ind w:right="-101"/>
              <w:jc w:val="both"/>
            </w:pPr>
          </w:p>
        </w:tc>
      </w:tr>
    </w:tbl>
    <w:p>
      <w:pPr>
        <w:spacing w:after="100" w:afterAutospacing="1"/>
        <w:jc w:val="both"/>
      </w:pPr>
    </w:p>
    <w:p>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pPr>
        <w:spacing w:after="100" w:afterAutospacing="1"/>
        <w:jc w:val="both"/>
      </w:pPr>
    </w:p>
    <w:p>
      <w:pPr>
        <w:pStyle w:val="2"/>
      </w:pPr>
      <w:bookmarkStart w:id="15" w:name="_Toc84709387"/>
      <w:r>
        <w:t>Definition of Redcap UE Type</w:t>
      </w:r>
      <w:bookmarkEnd w:id="15"/>
    </w:p>
    <w:p>
      <w:pPr>
        <w:pStyle w:val="3"/>
        <w:numPr>
          <w:ilvl w:val="0"/>
          <w:numId w:val="0"/>
        </w:numPr>
        <w:ind w:left="576" w:hanging="576"/>
      </w:pPr>
      <w:bookmarkStart w:id="16" w:name="_Toc84709388"/>
      <w:r>
        <w:t>Issue 5:  Redcap UE Type Definition</w:t>
      </w:r>
      <w:bookmarkEnd w:id="16"/>
      <w:r>
        <w:t xml:space="preserve"> </w:t>
      </w:r>
    </w:p>
    <w:p>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fldChar w:fldCharType="separate"/>
      </w:r>
      <w:r>
        <w:rPr>
          <w:rFonts w:cs="Arial"/>
        </w:rPr>
        <w:t>[3]</w:t>
      </w:r>
      <w:r>
        <w:rPr>
          <w:rFonts w:cs="Arial"/>
        </w:rPr>
        <w:fldChar w:fldCharType="end"/>
      </w:r>
      <w:r>
        <w:rPr>
          <w:rFonts w:cs="Arial"/>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90"/>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290"/>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pPr>
              <w:pStyle w:val="290"/>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pPr>
              <w:pStyle w:val="290"/>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pPr>
        <w:jc w:val="both"/>
        <w:rPr>
          <w:rFonts w:cs="Arial"/>
        </w:rPr>
      </w:pPr>
    </w:p>
    <w:p>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fldChar w:fldCharType="separate"/>
      </w:r>
      <w:r>
        <w:rPr>
          <w:rFonts w:cs="Arial"/>
        </w:rPr>
        <w:t>[4]</w:t>
      </w:r>
      <w:r>
        <w:rPr>
          <w:rFonts w:cs="Arial"/>
        </w:rPr>
        <w:fldChar w:fldCharType="end"/>
      </w:r>
      <w:r>
        <w:rPr>
          <w:rFonts w:cs="Arial"/>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cs="Arial"/>
                <w:highlight w:val="green"/>
                <w:lang w:eastAsia="ja-JP"/>
              </w:rPr>
            </w:pPr>
            <w:r>
              <w:rPr>
                <w:rFonts w:cs="Arial"/>
                <w:highlight w:val="green"/>
                <w:lang w:eastAsia="ja-JP"/>
              </w:rPr>
              <w:t>Agreements:</w:t>
            </w:r>
          </w:p>
          <w:p>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pPr>
              <w:numPr>
                <w:ilvl w:val="1"/>
                <w:numId w:val="13"/>
              </w:numPr>
              <w:spacing w:after="0" w:line="252" w:lineRule="auto"/>
              <w:contextualSpacing/>
              <w:rPr>
                <w:rFonts w:cs="Arial"/>
              </w:rPr>
            </w:pPr>
            <w:r>
              <w:rPr>
                <w:rFonts w:cs="Arial"/>
              </w:rPr>
              <w:t>Supports either 1 or 2 Rx branches and corresponding maximum DL MIMO layers</w:t>
            </w:r>
          </w:p>
          <w:p>
            <w:pPr>
              <w:numPr>
                <w:ilvl w:val="1"/>
                <w:numId w:val="13"/>
              </w:numPr>
              <w:spacing w:after="0" w:line="252" w:lineRule="auto"/>
              <w:contextualSpacing/>
              <w:rPr>
                <w:rFonts w:cs="Arial"/>
              </w:rPr>
            </w:pPr>
            <w:r>
              <w:rPr>
                <w:rFonts w:cs="Arial"/>
              </w:rPr>
              <w:t>Supports either FD-FDD or Type A HD-FDD operation for FR1 FDD bands</w:t>
            </w:r>
          </w:p>
          <w:p>
            <w:pPr>
              <w:numPr>
                <w:ilvl w:val="1"/>
                <w:numId w:val="13"/>
              </w:numPr>
              <w:spacing w:after="0" w:line="252" w:lineRule="auto"/>
              <w:contextualSpacing/>
              <w:rPr>
                <w:rFonts w:cs="Arial"/>
              </w:rPr>
            </w:pPr>
            <w:r>
              <w:rPr>
                <w:rFonts w:cs="Arial"/>
              </w:rPr>
              <w:t>Supports either DL up to 64 QAM or up to 256 QAM for FR1</w:t>
            </w:r>
          </w:p>
          <w:p>
            <w:pPr>
              <w:numPr>
                <w:ilvl w:val="1"/>
                <w:numId w:val="13"/>
              </w:numPr>
              <w:spacing w:after="0" w:line="252" w:lineRule="auto"/>
              <w:contextualSpacing/>
            </w:pPr>
            <w:r>
              <w:rPr>
                <w:rFonts w:cs="Arial"/>
              </w:rPr>
              <w:t>Does not support CA/DC</w:t>
            </w:r>
          </w:p>
        </w:tc>
      </w:tr>
    </w:tbl>
    <w:p/>
    <w:p>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pPr>
        <w:tabs>
          <w:tab w:val="left" w:pos="1410"/>
        </w:tabs>
        <w:spacing w:before="180" w:after="0"/>
        <w:jc w:val="center"/>
        <w:rPr>
          <w:b/>
          <w:bCs/>
          <w:szCs w:val="24"/>
        </w:rPr>
      </w:pPr>
      <w:r>
        <w:rPr>
          <w:b/>
          <w:bCs/>
          <w:szCs w:val="24"/>
        </w:rPr>
        <w:t>Table 3: Definition of Redcap UE Type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2520"/>
        <w:gridCol w:w="2196"/>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BEBEBE" w:themeFill="background1" w:themeFillShade="BF"/>
          </w:tcPr>
          <w:p>
            <w:pPr>
              <w:tabs>
                <w:tab w:val="left" w:pos="1410"/>
              </w:tabs>
              <w:jc w:val="both"/>
              <w:rPr>
                <w:rFonts w:ascii="Times" w:hAnsi="Times"/>
                <w:szCs w:val="24"/>
              </w:rPr>
            </w:pPr>
            <w:r>
              <w:rPr>
                <w:rFonts w:ascii="Times" w:hAnsi="Times"/>
                <w:szCs w:val="24"/>
              </w:rPr>
              <w:t>Proposal</w:t>
            </w:r>
          </w:p>
        </w:tc>
        <w:tc>
          <w:tcPr>
            <w:tcW w:w="2520" w:type="dxa"/>
            <w:shd w:val="clear" w:color="auto" w:fill="BEBEBE" w:themeFill="background1" w:themeFillShade="BF"/>
          </w:tcPr>
          <w:p>
            <w:pPr>
              <w:tabs>
                <w:tab w:val="left" w:pos="1410"/>
              </w:tabs>
              <w:jc w:val="both"/>
              <w:rPr>
                <w:rFonts w:ascii="Times" w:hAnsi="Times"/>
                <w:szCs w:val="24"/>
              </w:rPr>
            </w:pPr>
            <w:r>
              <w:rPr>
                <w:rFonts w:ascii="Times" w:hAnsi="Times"/>
                <w:szCs w:val="24"/>
              </w:rPr>
              <w:t>‘Yes’, or Partially ‘Yes’</w:t>
            </w:r>
          </w:p>
        </w:tc>
        <w:tc>
          <w:tcPr>
            <w:tcW w:w="2196" w:type="dxa"/>
            <w:shd w:val="clear" w:color="auto" w:fill="BEBEBE" w:themeFill="background1" w:themeFillShade="BF"/>
          </w:tcPr>
          <w:p>
            <w:pPr>
              <w:tabs>
                <w:tab w:val="left" w:pos="1410"/>
              </w:tabs>
              <w:jc w:val="both"/>
              <w:rPr>
                <w:rFonts w:ascii="Times" w:hAnsi="Times"/>
                <w:szCs w:val="24"/>
              </w:rPr>
            </w:pPr>
            <w:r>
              <w:rPr>
                <w:rFonts w:ascii="Times" w:hAnsi="Times"/>
                <w:szCs w:val="24"/>
              </w:rPr>
              <w:t>‘No’</w:t>
            </w:r>
          </w:p>
        </w:tc>
        <w:tc>
          <w:tcPr>
            <w:tcW w:w="2039" w:type="dxa"/>
            <w:shd w:val="clear" w:color="auto" w:fill="BEBEBE" w:themeFill="background1" w:themeFillShade="BF"/>
          </w:tcPr>
          <w:p>
            <w:pPr>
              <w:tabs>
                <w:tab w:val="left" w:pos="1410"/>
              </w:tabs>
              <w:jc w:val="both"/>
              <w:rPr>
                <w:rFonts w:ascii="Times" w:hAnsi="Times"/>
                <w:szCs w:val="24"/>
              </w:rPr>
            </w:pPr>
            <w:r>
              <w:rPr>
                <w:rFonts w:ascii="Times" w:hAnsi="Times"/>
                <w:szCs w:val="24"/>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pPr>
              <w:tabs>
                <w:tab w:val="left" w:pos="1410"/>
              </w:tabs>
              <w:rPr>
                <w:rFonts w:ascii="Times" w:hAnsi="Times"/>
                <w:szCs w:val="24"/>
              </w:rPr>
            </w:pPr>
            <w:r>
              <w:rPr>
                <w:rFonts w:ascii="Times" w:hAnsi="Times"/>
                <w:szCs w:val="24"/>
              </w:rPr>
              <w:t xml:space="preserve">Adding the following components for Redcap device type definition: </w:t>
            </w:r>
          </w:p>
          <w:p>
            <w:pPr>
              <w:numPr>
                <w:ilvl w:val="0"/>
                <w:numId w:val="26"/>
              </w:numPr>
              <w:spacing w:after="0" w:line="252" w:lineRule="auto"/>
              <w:contextualSpacing/>
              <w:rPr>
                <w:rFonts w:cs="Arial"/>
              </w:rPr>
            </w:pPr>
            <w:r>
              <w:rPr>
                <w:rFonts w:cs="Arial"/>
              </w:rPr>
              <w:t>Supports either 1 or 2 Rx branches and corresponding maximum DL MIMO layers</w:t>
            </w:r>
          </w:p>
          <w:p>
            <w:pPr>
              <w:numPr>
                <w:ilvl w:val="0"/>
                <w:numId w:val="26"/>
              </w:numPr>
              <w:spacing w:after="0" w:line="252" w:lineRule="auto"/>
              <w:contextualSpacing/>
              <w:rPr>
                <w:rFonts w:cs="Arial"/>
              </w:rPr>
            </w:pPr>
            <w:r>
              <w:rPr>
                <w:rFonts w:cs="Arial"/>
              </w:rPr>
              <w:t>Supports either FD-FDD or Type A HD-FDD operation for FR1 FDD bands</w:t>
            </w:r>
          </w:p>
          <w:p>
            <w:pPr>
              <w:numPr>
                <w:ilvl w:val="0"/>
                <w:numId w:val="26"/>
              </w:numPr>
              <w:spacing w:after="0" w:line="252" w:lineRule="auto"/>
              <w:contextualSpacing/>
              <w:rPr>
                <w:rFonts w:cs="Arial"/>
              </w:rPr>
            </w:pPr>
            <w:r>
              <w:rPr>
                <w:rFonts w:cs="Arial"/>
              </w:rPr>
              <w:t>Supports either DL up to 64 QAM or up to 256 QAM for FR1</w:t>
            </w:r>
          </w:p>
          <w:p>
            <w:pPr>
              <w:numPr>
                <w:ilvl w:val="0"/>
                <w:numId w:val="26"/>
              </w:numPr>
              <w:spacing w:after="0" w:line="252" w:lineRule="auto"/>
              <w:contextualSpacing/>
              <w:rPr>
                <w:rFonts w:cs="Arial"/>
              </w:rPr>
            </w:pPr>
            <w:r>
              <w:rPr>
                <w:rFonts w:cs="Arial"/>
              </w:rPr>
              <w:t>Does not support CA/DC</w:t>
            </w:r>
          </w:p>
        </w:tc>
        <w:tc>
          <w:tcPr>
            <w:tcW w:w="2520" w:type="dxa"/>
          </w:tcPr>
          <w:p>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pPr>
              <w:tabs>
                <w:tab w:val="left" w:pos="1410"/>
              </w:tabs>
            </w:pPr>
            <w:r>
              <w:rPr>
                <w:lang w:eastAsia="zh-CN"/>
              </w:rPr>
              <w:t>Only capabilities related to initial access procedure need to be included in the minimum capability set for RedCap Ues</w:t>
            </w:r>
            <w:r>
              <w:t xml:space="preserve">: </w:t>
            </w:r>
          </w:p>
          <w:p>
            <w:pPr>
              <w:pStyle w:val="48"/>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pPr>
              <w:pStyle w:val="48"/>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pPr>
        <w:tabs>
          <w:tab w:val="left" w:pos="1410"/>
        </w:tabs>
        <w:jc w:val="both"/>
        <w:rPr>
          <w:rFonts w:ascii="Times" w:hAnsi="Times"/>
          <w:szCs w:val="24"/>
        </w:rPr>
      </w:pPr>
    </w:p>
    <w:p>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pPr>
        <w:tabs>
          <w:tab w:val="left" w:pos="1410"/>
        </w:tabs>
        <w:jc w:val="both"/>
        <w:rPr>
          <w:rFonts w:ascii="Times" w:hAnsi="Times"/>
          <w:szCs w:val="24"/>
        </w:rPr>
      </w:pPr>
      <w:r>
        <w:rPr>
          <w:rFonts w:ascii="Times" w:hAnsi="Times"/>
          <w:szCs w:val="24"/>
        </w:rPr>
        <w:t xml:space="preserve"> </w:t>
      </w:r>
    </w:p>
    <w:p>
      <w:pPr>
        <w:pStyle w:val="229"/>
        <w:numPr>
          <w:ilvl w:val="0"/>
          <w:numId w:val="15"/>
        </w:numPr>
        <w:outlineLvl w:val="3"/>
      </w:pPr>
      <w:r>
        <w:t>&lt;1</w:t>
      </w:r>
      <w:r>
        <w:rPr>
          <w:vertAlign w:val="superscript"/>
        </w:rPr>
        <w:t>st</w:t>
      </w:r>
      <w:r>
        <w:t xml:space="preserve"> Round Comments&gt;</w:t>
      </w:r>
    </w:p>
    <w:p>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pPr>
        <w:pStyle w:val="48"/>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pPr>
        <w:pStyle w:val="48"/>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pPr>
        <w:pStyle w:val="48"/>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pPr>
        <w:pStyle w:val="48"/>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pPr>
        <w:tabs>
          <w:tab w:val="left" w:pos="1410"/>
        </w:tabs>
        <w:spacing w:after="0"/>
        <w:jc w:val="both"/>
        <w:rPr>
          <w:b/>
          <w:lang w:val="en-US"/>
        </w:rPr>
      </w:pPr>
    </w:p>
    <w:p>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pPr>
        <w:tabs>
          <w:tab w:val="left" w:pos="1410"/>
        </w:tabs>
        <w:spacing w:after="0"/>
        <w:rPr>
          <w:bCs/>
          <w:lang w:val="en-US"/>
        </w:rPr>
      </w:pPr>
      <w:r>
        <w:rPr>
          <w:bCs/>
          <w:lang w:val="en-US"/>
        </w:rPr>
        <w:t xml:space="preserve">  </w:t>
      </w:r>
    </w:p>
    <w:p>
      <w:pPr>
        <w:tabs>
          <w:tab w:val="left" w:pos="1410"/>
        </w:tabs>
        <w:spacing w:after="0"/>
        <w:jc w:val="both"/>
        <w:rPr>
          <w:b/>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3</w:t>
            </w:r>
          </w:p>
        </w:tc>
        <w:tc>
          <w:tcPr>
            <w:tcW w:w="6780" w:type="dxa"/>
          </w:tcPr>
          <w:p>
            <w:pPr>
              <w:rPr>
                <w:lang w:val="en-US" w:eastAsia="ko-KR"/>
              </w:rPr>
            </w:pPr>
            <w:r>
              <w:rPr>
                <w:lang w:val="en-US" w:eastAsia="ko-KR"/>
              </w:rPr>
              <w:t>A RedCap UE type from RAN1 point of view supports a maximum bandwidth of 20MHz for FR1 and 100MHz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Alt3</w:t>
            </w: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Alt.1 or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 2</w:t>
            </w: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lt.2 or Alt.3</w:t>
            </w:r>
          </w:p>
        </w:tc>
        <w:tc>
          <w:tcPr>
            <w:tcW w:w="6780" w:type="dxa"/>
          </w:tcPr>
          <w:p>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Alt.2  is acceptable</w:t>
            </w:r>
          </w:p>
        </w:tc>
        <w:tc>
          <w:tcPr>
            <w:tcW w:w="6780" w:type="dxa"/>
          </w:tcPr>
          <w:p>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Alt. 3 or leave to RAN2</w:t>
            </w:r>
          </w:p>
        </w:tc>
        <w:tc>
          <w:tcPr>
            <w:tcW w:w="6780" w:type="dxa"/>
          </w:tcPr>
          <w:p>
            <w:pPr>
              <w:rPr>
                <w:lang w:val="en-US" w:eastAsia="ko-KR"/>
              </w:rPr>
            </w:pPr>
            <w:r>
              <w:rPr>
                <w:lang w:val="en-US" w:eastAsia="ko-KR"/>
              </w:rPr>
              <w:t xml:space="preserve">The issue mentioned by MTK is a signaling issue that RAN2 can handle. </w:t>
            </w:r>
          </w:p>
          <w:p>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pPr>
              <w:rPr>
                <w:lang w:val="en-US" w:eastAsia="ko-KR"/>
              </w:rPr>
            </w:pPr>
            <w:r>
              <w:rPr>
                <w:lang w:val="en-US" w:eastAsia="ko-KR"/>
              </w:rPr>
              <w:t>From RAN1 perspective, there is no need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Alt 3</w:t>
            </w:r>
          </w:p>
        </w:tc>
        <w:tc>
          <w:tcPr>
            <w:tcW w:w="6780" w:type="dxa"/>
          </w:tcPr>
          <w:p>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Alt. 1 or alt 2.</w:t>
            </w:r>
          </w:p>
        </w:tc>
        <w:tc>
          <w:tcPr>
            <w:tcW w:w="6780" w:type="dxa"/>
          </w:tcPr>
          <w:p>
            <w:pPr>
              <w:rPr>
                <w:rFonts w:eastAsia="宋体"/>
                <w:lang w:val="en-US" w:eastAsia="zh-CN"/>
              </w:rPr>
            </w:pPr>
            <w:r>
              <w:rPr>
                <w:rFonts w:hint="eastAsia" w:eastAsia="宋体"/>
                <w:lang w:val="en-US" w:eastAsia="zh-CN"/>
              </w:rPr>
              <w:t xml:space="preserve">Alt. 1 is preferred. </w:t>
            </w:r>
          </w:p>
          <w:p>
            <w:pPr>
              <w:rPr>
                <w:rFonts w:eastAsia="宋体"/>
                <w:lang w:val="en-US" w:eastAsia="zh-CN"/>
              </w:rPr>
            </w:pPr>
            <w:r>
              <w:rPr>
                <w:rFonts w:hint="eastAsia" w:eastAsia="宋体"/>
                <w:lang w:val="en-US" w:eastAsia="zh-CN"/>
              </w:rPr>
              <w:t>As the WID description, the motivation of RedCap type definition is to identify a RedCap UE or preclude a non-RedCap UE.</w:t>
            </w:r>
          </w:p>
          <w:p>
            <w:pPr>
              <w:rPr>
                <w:rFonts w:eastAsia="宋体"/>
                <w:lang w:val="en-US" w:eastAsia="zh-CN"/>
              </w:rPr>
            </w:pPr>
            <w:r>
              <w:rPr>
                <w:rFonts w:hint="eastAsia" w:eastAsia="宋体"/>
                <w:lang w:val="en-US" w:eastAsia="zh-CN"/>
              </w:rPr>
              <w:t>Only bandwidth is not enough to declare itself a RedCap UE. For example, a UE with 20M bandwidth also reports 4Rx capability. Therefore, Rx also should be included.</w:t>
            </w:r>
          </w:p>
          <w:p>
            <w:pPr>
              <w:rPr>
                <w:rFonts w:eastAsia="宋体"/>
                <w:lang w:val="en-US" w:eastAsia="ko-KR"/>
              </w:rPr>
            </w:pPr>
            <w:r>
              <w:rPr>
                <w:rFonts w:eastAsia="宋体"/>
                <w:lang w:val="en-US" w:eastAsia="zh-CN"/>
              </w:rPr>
              <w:t>‘</w:t>
            </w:r>
            <w:r>
              <w:rPr>
                <w:rFonts w:hint="eastAsia" w:eastAsia="宋体"/>
                <w:lang w:val="en-US" w:eastAsia="zh-CN"/>
              </w:rPr>
              <w:t>Not support CA/DC</w:t>
            </w:r>
            <w:r>
              <w:rPr>
                <w:rFonts w:eastAsia="宋体"/>
                <w:lang w:val="en-US" w:eastAsia="zh-CN"/>
              </w:rPr>
              <w:t>’</w:t>
            </w:r>
            <w:r>
              <w:rPr>
                <w:rFonts w:hint="eastAsia" w:eastAsia="宋体"/>
                <w:lang w:val="en-US" w:eastAsia="zh-CN"/>
              </w:rPr>
              <w:t xml:space="preserve"> can determine a UE is not RedCap UE, therefore, it also can be considered for the RedCap type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hint="eastAsia" w:eastAsia="宋体"/>
                <w:lang w:val="en-US" w:eastAsia="zh-CN"/>
              </w:rPr>
              <w:t>A</w:t>
            </w:r>
            <w:r>
              <w:rPr>
                <w:rFonts w:eastAsia="宋体"/>
                <w:lang w:val="en-US" w:eastAsia="zh-CN"/>
              </w:rPr>
              <w:t>lt.1</w:t>
            </w:r>
          </w:p>
          <w:p>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RedCap UE type as described in the WID </w:t>
            </w:r>
          </w:p>
          <w:p>
            <w:pPr>
              <w:jc w:val="both"/>
              <w:rPr>
                <w:rFonts w:eastAsia="等线"/>
                <w:sz w:val="22"/>
                <w:lang w:eastAsia="zh-CN"/>
              </w:rPr>
            </w:pPr>
          </w:p>
          <w:p>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r>
            <w:r>
              <w:rPr>
                <w:rFonts w:eastAsia="等线"/>
                <w:sz w:val="22"/>
                <w:lang w:eastAsia="zh-CN"/>
              </w:rPr>
              <w:t>For RedCap UE identification</w:t>
            </w:r>
          </w:p>
          <w:p>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r>
            <w:r>
              <w:rPr>
                <w:rFonts w:eastAsia="等线"/>
                <w:sz w:val="22"/>
                <w:lang w:eastAsia="zh-CN"/>
              </w:rPr>
              <w:t>For constraining the use of those RedCap capabilities only for RedCap Ues</w:t>
            </w:r>
          </w:p>
          <w:p>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r>
            <w:r>
              <w:rPr>
                <w:rFonts w:eastAsia="等线"/>
                <w:sz w:val="22"/>
                <w:lang w:eastAsia="zh-CN"/>
              </w:rPr>
              <w:t>For preventing RedCap Ues from using capabilities not intended for RedCap Ues including at least carrier aggregation, dual connectivity and wider bandwidths</w:t>
            </w:r>
          </w:p>
          <w:p>
            <w:pPr>
              <w:ind w:left="420"/>
              <w:rPr>
                <w:rFonts w:eastAsia="等线"/>
                <w:sz w:val="21"/>
                <w:lang w:eastAsia="zh-CN"/>
              </w:rPr>
            </w:pPr>
          </w:p>
          <w:p>
            <w:pPr>
              <w:jc w:val="both"/>
              <w:rPr>
                <w:rFonts w:eastAsia="等线"/>
                <w:sz w:val="22"/>
                <w:lang w:eastAsia="zh-CN"/>
              </w:rPr>
            </w:pPr>
            <w:r>
              <w:rPr>
                <w:rFonts w:eastAsia="等线"/>
                <w:sz w:val="22"/>
                <w:lang w:eastAsia="zh-CN"/>
              </w:rPr>
              <w:t xml:space="preserve">In our understanding, the second bullet implies that non-RedCap could use the capabilities </w:t>
            </w:r>
            <w:r>
              <w:rPr>
                <w:rFonts w:hint="eastAsia" w:eastAsia="等线"/>
                <w:sz w:val="22"/>
                <w:lang w:eastAsia="zh-CN"/>
              </w:rPr>
              <w:t>not</w:t>
            </w:r>
            <w:r>
              <w:rPr>
                <w:rFonts w:eastAsia="等线"/>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pPr>
              <w:jc w:val="both"/>
              <w:rPr>
                <w:rFonts w:eastAsia="等线"/>
                <w:sz w:val="22"/>
                <w:lang w:eastAsia="zh-CN"/>
              </w:rPr>
            </w:pPr>
          </w:p>
          <w:p>
            <w:pPr>
              <w:jc w:val="both"/>
              <w:rPr>
                <w:rFonts w:eastAsia="等线"/>
                <w:sz w:val="22"/>
                <w:lang w:eastAsia="zh-CN"/>
              </w:rPr>
            </w:pPr>
            <w:r>
              <w:rPr>
                <w:rFonts w:hint="eastAsia" w:eastAsia="等线"/>
                <w:sz w:val="22"/>
                <w:lang w:eastAsia="zh-CN"/>
              </w:rPr>
              <w:t>O</w:t>
            </w:r>
            <w:r>
              <w:rPr>
                <w:rFonts w:eastAsia="等线"/>
                <w:sz w:val="22"/>
                <w:lang w:eastAsia="zh-CN"/>
              </w:rPr>
              <w:t>n the other hand, we are also OK with Alt.2 for progress</w:t>
            </w:r>
          </w:p>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2</w:t>
            </w:r>
          </w:p>
        </w:tc>
        <w:tc>
          <w:tcPr>
            <w:tcW w:w="6780" w:type="dxa"/>
          </w:tcPr>
          <w:p>
            <w:pPr>
              <w:rPr>
                <w:lang w:val="en-US" w:eastAsia="ko-KR"/>
              </w:rPr>
            </w:pPr>
            <w:r>
              <w:rPr>
                <w:lang w:val="en-US" w:eastAsia="ko-KR"/>
              </w:rPr>
              <w:t>This discussion can be handled in the Rel-17 RedCap UE feature list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Alt 1 or Alt 2</w:t>
            </w:r>
          </w:p>
        </w:tc>
        <w:tc>
          <w:tcPr>
            <w:tcW w:w="6780" w:type="dxa"/>
          </w:tcPr>
          <w:p>
            <w:pPr>
              <w:jc w:val="both"/>
              <w:rPr>
                <w:rFonts w:eastAsia="等线"/>
                <w:sz w:val="22"/>
                <w:lang w:eastAsia="zh-CN"/>
              </w:rPr>
            </w:pPr>
            <w:r>
              <w:rPr>
                <w:rFonts w:eastAsia="等线"/>
                <w:sz w:val="22"/>
                <w:lang w:eastAsia="zh-CN"/>
              </w:rPr>
              <w:t>Prefer Alt 1, for reasons quoted by ZTE and Xiaomi.</w:t>
            </w:r>
          </w:p>
          <w:p>
            <w:pPr>
              <w:jc w:val="both"/>
              <w:rPr>
                <w:rFonts w:eastAsia="等线"/>
                <w:sz w:val="22"/>
                <w:lang w:eastAsia="zh-CN"/>
              </w:rPr>
            </w:pPr>
            <w:r>
              <w:rPr>
                <w:rFonts w:eastAsia="等线"/>
                <w:sz w:val="22"/>
                <w:lang w:eastAsia="zh-CN"/>
              </w:rPr>
              <w:t>However, will consider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w:t>
            </w:r>
          </w:p>
        </w:tc>
        <w:tc>
          <w:tcPr>
            <w:tcW w:w="1372" w:type="dxa"/>
          </w:tcPr>
          <w:p>
            <w:pPr>
              <w:tabs>
                <w:tab w:val="left" w:pos="551"/>
              </w:tabs>
              <w:rPr>
                <w:rFonts w:eastAsia="宋体"/>
                <w:lang w:val="en-US" w:eastAsia="zh-CN"/>
              </w:rPr>
            </w:pPr>
            <w:r>
              <w:t>Alt.2 or Alt.1</w:t>
            </w:r>
          </w:p>
        </w:tc>
        <w:tc>
          <w:tcPr>
            <w:tcW w:w="6780" w:type="dxa"/>
          </w:tcPr>
          <w:p>
            <w:pPr>
              <w:jc w:val="both"/>
              <w:rPr>
                <w:rFonts w:eastAsia="等线"/>
                <w:sz w:val="22"/>
                <w:lang w:eastAsia="zh-CN"/>
              </w:rPr>
            </w:pPr>
            <w:r>
              <w:t>The discussion belongs to AI 8.17.6 but it is important to note that without the reduced number of branches, it is then possible for RedCap Ues to support Reduced Bandwidth but NOT Reduced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宋体"/>
                <w:lang w:val="en-US" w:eastAsia="zh-CN"/>
              </w:rPr>
              <w:t xml:space="preserve">Nordic </w:t>
            </w:r>
          </w:p>
        </w:tc>
        <w:tc>
          <w:tcPr>
            <w:tcW w:w="1372" w:type="dxa"/>
          </w:tcPr>
          <w:p>
            <w:pPr>
              <w:tabs>
                <w:tab w:val="left" w:pos="551"/>
              </w:tabs>
            </w:pPr>
            <w:r>
              <w:rPr>
                <w:rFonts w:eastAsia="宋体"/>
                <w:lang w:val="en-US" w:eastAsia="zh-CN"/>
              </w:rPr>
              <w:t>Alt 1</w:t>
            </w:r>
          </w:p>
        </w:tc>
        <w:tc>
          <w:tcPr>
            <w:tcW w:w="6780" w:type="dxa"/>
          </w:tcPr>
          <w:p>
            <w:pPr>
              <w:jc w:val="both"/>
            </w:pPr>
            <w:r>
              <w:rPr>
                <w:rFonts w:eastAsia="宋体"/>
                <w:lang w:val="en-US" w:eastAsia="zh-CN"/>
              </w:rPr>
              <w:t>We do not understand why we could not capture aspects/features  agreed by Plenary for the RedCap UEs.  At least Rx branches should captured since there is reduction from mandatory eMBB requirement in some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Alt 3 (no CA/DC can be added)</w:t>
            </w:r>
          </w:p>
        </w:tc>
        <w:tc>
          <w:tcPr>
            <w:tcW w:w="6780" w:type="dxa"/>
          </w:tcPr>
          <w:p>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pPr>
              <w:pStyle w:val="48"/>
              <w:numPr>
                <w:ilvl w:val="0"/>
                <w:numId w:val="15"/>
              </w:numPr>
              <w:jc w:val="both"/>
              <w:rPr>
                <w:lang w:val="en-US" w:eastAsia="zh-CN"/>
              </w:rPr>
            </w:pPr>
            <w:r>
              <w:rPr>
                <w:b/>
                <w:bCs/>
                <w:lang w:val="en-US" w:eastAsia="zh-CN"/>
              </w:rPr>
              <w:t xml:space="preserve">max single carrier BW </w:t>
            </w:r>
          </w:p>
          <w:p>
            <w:pPr>
              <w:pStyle w:val="48"/>
              <w:numPr>
                <w:ilvl w:val="0"/>
                <w:numId w:val="15"/>
              </w:numPr>
              <w:jc w:val="both"/>
              <w:rPr>
                <w:lang w:val="en-US" w:eastAsia="zh-CN"/>
              </w:rPr>
            </w:pPr>
            <w:r>
              <w:rPr>
                <w:b/>
                <w:bCs/>
                <w:lang w:val="en-US" w:eastAsia="zh-CN"/>
              </w:rPr>
              <w:t>no support of CA/DC</w:t>
            </w:r>
            <w:r>
              <w:rPr>
                <w:lang w:val="en-US" w:eastAsia="zh-CN"/>
              </w:rPr>
              <w:t xml:space="preserve"> </w:t>
            </w:r>
          </w:p>
          <w:p>
            <w:pPr>
              <w:pStyle w:val="48"/>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pPr>
              <w:jc w:val="both"/>
              <w:rPr>
                <w:rFonts w:eastAsia="宋体"/>
                <w:lang w:val="en-US" w:eastAsia="zh-CN"/>
              </w:rPr>
            </w:pPr>
            <w:r>
              <w:rPr>
                <w:rFonts w:eastAsia="宋体"/>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A</w:t>
            </w:r>
            <w:r>
              <w:rPr>
                <w:rFonts w:eastAsia="Yu Mincho"/>
                <w:lang w:val="en-US" w:eastAsia="ja-JP"/>
              </w:rPr>
              <w:t>lt.1</w:t>
            </w:r>
          </w:p>
        </w:tc>
        <w:tc>
          <w:tcPr>
            <w:tcW w:w="6780" w:type="dxa"/>
          </w:tcPr>
          <w:p>
            <w:pPr>
              <w:jc w:val="both"/>
              <w:rPr>
                <w:rFonts w:eastAsia="宋体"/>
                <w:lang w:val="en-US" w:eastAsia="zh-CN"/>
              </w:rPr>
            </w:pPr>
            <w:r>
              <w:rPr>
                <w:rFonts w:hint="eastAsia" w:eastAsia="Yu Mincho"/>
                <w:lang w:val="en-US" w:eastAsia="ja-JP"/>
              </w:rPr>
              <w:t>W</w:t>
            </w:r>
            <w:r>
              <w:rPr>
                <w:rFonts w:eastAsia="Yu Mincho"/>
                <w:lang w:val="en-US" w:eastAsia="ja-JP"/>
              </w:rPr>
              <w:t>e are also ok with Alt.2 as it can be similar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Alt.1 or Alt.2</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PRD</w:t>
            </w:r>
          </w:p>
        </w:tc>
        <w:tc>
          <w:tcPr>
            <w:tcW w:w="1372" w:type="dxa"/>
          </w:tcPr>
          <w:p>
            <w:pPr>
              <w:tabs>
                <w:tab w:val="left" w:pos="551"/>
              </w:tabs>
              <w:rPr>
                <w:rFonts w:eastAsia="Yu Mincho"/>
                <w:lang w:val="en-US" w:eastAsia="ja-JP"/>
              </w:rPr>
            </w:pPr>
            <w:r>
              <w:rPr>
                <w:rFonts w:hint="eastAsia" w:eastAsiaTheme="minorEastAsia"/>
                <w:lang w:val="en-US" w:eastAsia="zh-CN"/>
              </w:rPr>
              <w:t>A</w:t>
            </w:r>
            <w:r>
              <w:rPr>
                <w:rFonts w:eastAsiaTheme="minorEastAsia"/>
                <w:lang w:val="en-US" w:eastAsia="zh-CN"/>
              </w:rPr>
              <w:t>lt.2</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lt.1 or Alt.2</w:t>
            </w:r>
          </w:p>
        </w:tc>
        <w:tc>
          <w:tcPr>
            <w:tcW w:w="6780"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Alt.1 or Alt.2. The RedCap-specific </w:t>
            </w:r>
            <w:r>
              <w:rPr>
                <w:rFonts w:eastAsia="宋体"/>
                <w:szCs w:val="21"/>
              </w:rPr>
              <w:t>capabilities should be added in RedCap UE type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Alt.2 or Alt.3</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Sierra Wireless</w:t>
            </w:r>
          </w:p>
        </w:tc>
        <w:tc>
          <w:tcPr>
            <w:tcW w:w="1372" w:type="dxa"/>
          </w:tcPr>
          <w:p>
            <w:pPr>
              <w:tabs>
                <w:tab w:val="left" w:pos="551"/>
              </w:tabs>
              <w:rPr>
                <w:rFonts w:eastAsiaTheme="minorEastAsia"/>
                <w:lang w:val="en-US" w:eastAsia="zh-CN"/>
              </w:rPr>
            </w:pPr>
            <w:r>
              <w:rPr>
                <w:rFonts w:eastAsia="Yu Mincho"/>
                <w:lang w:val="en-US" w:eastAsia="ja-JP"/>
              </w:rPr>
              <w:t>Alt 3</w:t>
            </w:r>
          </w:p>
        </w:tc>
        <w:tc>
          <w:tcPr>
            <w:tcW w:w="6780" w:type="dxa"/>
          </w:tcPr>
          <w:p>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CMCC</w:t>
            </w:r>
          </w:p>
        </w:tc>
        <w:tc>
          <w:tcPr>
            <w:tcW w:w="1372" w:type="dxa"/>
          </w:tcPr>
          <w:p>
            <w:pPr>
              <w:tabs>
                <w:tab w:val="left" w:pos="551"/>
              </w:tabs>
              <w:rPr>
                <w:rFonts w:eastAsia="Yu Mincho"/>
                <w:lang w:val="en-US" w:eastAsia="ja-JP"/>
              </w:rPr>
            </w:pPr>
            <w:r>
              <w:rPr>
                <w:rFonts w:hint="eastAsia" w:eastAsiaTheme="minorEastAsia"/>
                <w:lang w:val="en-US" w:eastAsia="zh-CN"/>
              </w:rPr>
              <w:t>Alt 1 or alt.2</w:t>
            </w:r>
          </w:p>
        </w:tc>
        <w:tc>
          <w:tcPr>
            <w:tcW w:w="6780" w:type="dxa"/>
          </w:tcPr>
          <w:p>
            <w:pPr>
              <w:jc w:val="both"/>
              <w:rPr>
                <w:rFonts w:eastAsia="等线"/>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宋体"/>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hint="eastAsia" w:eastAsia="等线"/>
                <w:lang w:val="en-US" w:eastAsia="zh-CN"/>
              </w:rPr>
              <w:t>T</w:t>
            </w:r>
            <w:r>
              <w:rPr>
                <w:rFonts w:eastAsia="等线"/>
                <w:lang w:eastAsia="zh-CN"/>
              </w:rPr>
              <w:t>o constrain the use of those RedCap capabilities only for RedCap UEs</w:t>
            </w:r>
            <w:r>
              <w:rPr>
                <w:rFonts w:hint="eastAsia" w:eastAsia="等线"/>
                <w:lang w:val="en-US" w:eastAsia="zh-CN"/>
              </w:rPr>
              <w:t xml:space="preserve"> and prevent </w:t>
            </w:r>
            <w:r>
              <w:rPr>
                <w:rFonts w:eastAsia="等线"/>
                <w:lang w:eastAsia="zh-CN"/>
              </w:rPr>
              <w:t>RedCap UEs</w:t>
            </w:r>
            <w:r>
              <w:rPr>
                <w:rFonts w:hint="eastAsia" w:eastAsia="等线"/>
                <w:lang w:val="en-US" w:eastAsia="zh-CN"/>
              </w:rPr>
              <w:t xml:space="preserve"> from using capabilities not intented for them</w:t>
            </w:r>
            <w:r>
              <w:rPr>
                <w:rFonts w:eastAsia="等线"/>
                <w:lang w:eastAsia="zh-CN"/>
              </w:rPr>
              <w:t>, it should be clear enough that what RedCap capabilities they are supposed to use</w:t>
            </w:r>
            <w:r>
              <w:rPr>
                <w:rFonts w:hint="eastAsia" w:eastAsia="等线"/>
                <w:lang w:val="en-US" w:eastAsia="zh-CN"/>
              </w:rPr>
              <w:t xml:space="preserve"> for </w:t>
            </w:r>
            <w:r>
              <w:rPr>
                <w:rFonts w:eastAsia="等线"/>
                <w:lang w:eastAsia="zh-CN"/>
              </w:rPr>
              <w:t xml:space="preserve">RedCap </w:t>
            </w:r>
            <w:r>
              <w:rPr>
                <w:rFonts w:hint="eastAsia" w:eastAsia="等线"/>
                <w:lang w:val="en-US" w:eastAsia="zh-CN"/>
              </w:rPr>
              <w:t>UEs.</w:t>
            </w:r>
          </w:p>
          <w:p>
            <w:pPr>
              <w:jc w:val="both"/>
              <w:rPr>
                <w:rFonts w:eastAsiaTheme="minorEastAsia"/>
                <w:lang w:val="en-US" w:eastAsia="zh-CN"/>
              </w:rPr>
            </w:pPr>
            <w:r>
              <w:rPr>
                <w:rFonts w:hint="eastAsia" w:eastAsia="等线"/>
                <w:lang w:val="en-US" w:eastAsia="zh-CN"/>
              </w:rPr>
              <w:t>OK with alt.2 considering the Note.</w:t>
            </w:r>
          </w:p>
        </w:tc>
      </w:tr>
    </w:tbl>
    <w:p>
      <w:pPr>
        <w:tabs>
          <w:tab w:val="left" w:pos="1410"/>
        </w:tabs>
        <w:jc w:val="both"/>
        <w:rPr>
          <w:rFonts w:ascii="Times" w:hAnsi="Times"/>
          <w:szCs w:val="24"/>
          <w:lang w:val="en-US"/>
        </w:rPr>
      </w:pPr>
    </w:p>
    <w:p>
      <w:pPr>
        <w:pStyle w:val="229"/>
        <w:numPr>
          <w:ilvl w:val="0"/>
          <w:numId w:val="15"/>
        </w:numPr>
        <w:outlineLvl w:val="3"/>
      </w:pPr>
      <w:r>
        <w:t xml:space="preserve">&lt;1st Round Summary&gt; </w:t>
      </w:r>
    </w:p>
    <w:p>
      <w:pPr>
        <w:pStyle w:val="22"/>
        <w:rPr>
          <w:lang w:val="en-GB" w:eastAsia="en-US"/>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622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shd w:val="clear" w:color="auto" w:fill="D0CECE" w:themeFill="background2" w:themeFillShade="E6"/>
          </w:tcPr>
          <w:p>
            <w:pPr>
              <w:tabs>
                <w:tab w:val="left" w:pos="1410"/>
              </w:tabs>
              <w:rPr>
                <w:szCs w:val="24"/>
                <w:lang w:val="en-US"/>
              </w:rPr>
            </w:pPr>
          </w:p>
        </w:tc>
        <w:tc>
          <w:tcPr>
            <w:tcW w:w="6225" w:type="dxa"/>
            <w:shd w:val="clear" w:color="auto" w:fill="D0CECE" w:themeFill="background2" w:themeFillShade="E6"/>
          </w:tcPr>
          <w:p>
            <w:pPr>
              <w:tabs>
                <w:tab w:val="left" w:pos="1410"/>
              </w:tabs>
              <w:rPr>
                <w:szCs w:val="24"/>
                <w:lang w:val="en-US"/>
              </w:rPr>
            </w:pPr>
            <w:r>
              <w:rPr>
                <w:szCs w:val="24"/>
                <w:lang w:val="en-US"/>
              </w:rPr>
              <w:t>Companies</w:t>
            </w:r>
          </w:p>
        </w:tc>
        <w:tc>
          <w:tcPr>
            <w:tcW w:w="2070" w:type="dxa"/>
            <w:shd w:val="clear" w:color="auto" w:fill="D0CECE" w:themeFill="background2" w:themeFillShade="E6"/>
          </w:tcPr>
          <w:p>
            <w:pPr>
              <w:tabs>
                <w:tab w:val="left" w:pos="1410"/>
              </w:tabs>
              <w:rPr>
                <w:szCs w:val="24"/>
                <w:lang w:val="en-US"/>
              </w:rPr>
            </w:pPr>
            <w:r>
              <w:rPr>
                <w:szCs w:val="24"/>
                <w:lang w:val="en-US"/>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65" w:type="dxa"/>
          </w:tcPr>
          <w:p>
            <w:pPr>
              <w:tabs>
                <w:tab w:val="left" w:pos="1410"/>
              </w:tabs>
              <w:rPr>
                <w:szCs w:val="24"/>
                <w:lang w:val="en-US"/>
              </w:rPr>
            </w:pPr>
            <w:r>
              <w:rPr>
                <w:szCs w:val="24"/>
                <w:lang w:val="en-US"/>
              </w:rPr>
              <w:t>Alt.1</w:t>
            </w:r>
          </w:p>
        </w:tc>
        <w:tc>
          <w:tcPr>
            <w:tcW w:w="6225" w:type="dxa"/>
          </w:tcPr>
          <w:p>
            <w:pPr>
              <w:tabs>
                <w:tab w:val="left" w:pos="1410"/>
              </w:tabs>
              <w:rPr>
                <w:szCs w:val="24"/>
                <w:lang w:val="en-US"/>
              </w:rPr>
            </w:pPr>
            <w:r>
              <w:rPr>
                <w:rFonts w:hint="eastAsia" w:eastAsiaTheme="minorEastAsia"/>
                <w:lang w:val="en-US" w:eastAsia="zh-CN"/>
              </w:rPr>
              <w:t>CATT</w:t>
            </w:r>
            <w:r>
              <w:rPr>
                <w:rFonts w:eastAsiaTheme="minorEastAsia"/>
                <w:lang w:val="en-US" w:eastAsia="zh-CN"/>
              </w:rPr>
              <w:t xml:space="preserve">, ZTE, Xiaomi, Nokia, Futurewei, Nordic, Panasonic, Lenovo, </w:t>
            </w:r>
            <w:r>
              <w:rPr>
                <w:rFonts w:hint="eastAsia" w:eastAsiaTheme="minorEastAsia"/>
                <w:lang w:val="en-US" w:eastAsia="zh-CN"/>
              </w:rPr>
              <w:t>C</w:t>
            </w:r>
            <w:r>
              <w:rPr>
                <w:rFonts w:eastAsiaTheme="minorEastAsia"/>
                <w:lang w:val="en-US" w:eastAsia="zh-CN"/>
              </w:rPr>
              <w:t>hina Telecom, CMCC</w:t>
            </w:r>
          </w:p>
        </w:tc>
        <w:tc>
          <w:tcPr>
            <w:tcW w:w="2070" w:type="dxa"/>
          </w:tcPr>
          <w:p>
            <w:pPr>
              <w:tabs>
                <w:tab w:val="left" w:pos="1410"/>
              </w:tabs>
              <w:rPr>
                <w:szCs w:val="24"/>
                <w:lang w:val="en-US"/>
              </w:rPr>
            </w:pPr>
            <w:r>
              <w:rPr>
                <w:szCs w:val="24"/>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tabs>
                <w:tab w:val="left" w:pos="1410"/>
              </w:tabs>
              <w:rPr>
                <w:szCs w:val="24"/>
                <w:lang w:val="en-US"/>
              </w:rPr>
            </w:pPr>
            <w:r>
              <w:rPr>
                <w:szCs w:val="24"/>
                <w:lang w:val="en-US"/>
              </w:rPr>
              <w:t>Alt.2</w:t>
            </w:r>
          </w:p>
        </w:tc>
        <w:tc>
          <w:tcPr>
            <w:tcW w:w="6225" w:type="dxa"/>
          </w:tcPr>
          <w:p>
            <w:pPr>
              <w:tabs>
                <w:tab w:val="left" w:pos="1410"/>
              </w:tabs>
              <w:rPr>
                <w:szCs w:val="24"/>
                <w:lang w:val="en-US"/>
              </w:rPr>
            </w:pPr>
            <w:r>
              <w:rPr>
                <w:rFonts w:hint="eastAsia" w:eastAsiaTheme="minorEastAsia"/>
                <w:lang w:val="en-US" w:eastAsia="zh-CN"/>
              </w:rPr>
              <w:t>CATT</w:t>
            </w:r>
            <w:r>
              <w:rPr>
                <w:rFonts w:eastAsiaTheme="minorEastAsia"/>
                <w:lang w:val="en-US" w:eastAsia="zh-CN"/>
              </w:rPr>
              <w:t xml:space="preserve">, </w:t>
            </w:r>
            <w:r>
              <w:rPr>
                <w:rFonts w:hint="eastAsia" w:eastAsiaTheme="minorEastAsia"/>
                <w:lang w:val="en-US" w:eastAsia="zh-CN"/>
              </w:rPr>
              <w:t>O</w:t>
            </w:r>
            <w:r>
              <w:rPr>
                <w:rFonts w:eastAsiaTheme="minorEastAsia"/>
                <w:lang w:val="en-US" w:eastAsia="zh-CN"/>
              </w:rPr>
              <w:t xml:space="preserve">PPO, DCM, Sharp, MTK, ZTE, Xiaomi, Ericsson, Nokia, Futurewei, Lenovo, </w:t>
            </w:r>
            <w:r>
              <w:rPr>
                <w:rFonts w:hint="eastAsia" w:eastAsiaTheme="minorEastAsia"/>
                <w:lang w:val="en-US" w:eastAsia="zh-CN"/>
              </w:rPr>
              <w:t>S</w:t>
            </w:r>
            <w:r>
              <w:rPr>
                <w:rFonts w:eastAsiaTheme="minorEastAsia"/>
                <w:lang w:val="en-US" w:eastAsia="zh-CN"/>
              </w:rPr>
              <w:t xml:space="preserve">PRD, </w:t>
            </w:r>
            <w:r>
              <w:rPr>
                <w:rFonts w:hint="eastAsia" w:eastAsiaTheme="minorEastAsia"/>
                <w:lang w:val="en-US" w:eastAsia="zh-CN"/>
              </w:rPr>
              <w:t>C</w:t>
            </w:r>
            <w:r>
              <w:rPr>
                <w:rFonts w:eastAsiaTheme="minorEastAsia"/>
                <w:lang w:val="en-US" w:eastAsia="zh-CN"/>
              </w:rPr>
              <w:t xml:space="preserve">hina Telecom, NEC, CMCC, Panasonic </w:t>
            </w:r>
          </w:p>
        </w:tc>
        <w:tc>
          <w:tcPr>
            <w:tcW w:w="2070" w:type="dxa"/>
          </w:tcPr>
          <w:p>
            <w:pPr>
              <w:tabs>
                <w:tab w:val="left" w:pos="1410"/>
              </w:tabs>
              <w:rPr>
                <w:szCs w:val="24"/>
                <w:lang w:val="en-US"/>
              </w:rPr>
            </w:pPr>
            <w:r>
              <w:rPr>
                <w:szCs w:val="24"/>
                <w:lang w:val="en-U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Pr>
          <w:p>
            <w:pPr>
              <w:tabs>
                <w:tab w:val="left" w:pos="1410"/>
              </w:tabs>
              <w:rPr>
                <w:szCs w:val="24"/>
                <w:lang w:val="en-US"/>
              </w:rPr>
            </w:pPr>
            <w:r>
              <w:rPr>
                <w:szCs w:val="24"/>
                <w:lang w:val="en-US"/>
              </w:rPr>
              <w:t>Alt.3</w:t>
            </w:r>
          </w:p>
        </w:tc>
        <w:tc>
          <w:tcPr>
            <w:tcW w:w="6225" w:type="dxa"/>
          </w:tcPr>
          <w:p>
            <w:pPr>
              <w:tabs>
                <w:tab w:val="left" w:pos="1410"/>
              </w:tabs>
              <w:rPr>
                <w:szCs w:val="24"/>
                <w:lang w:val="en-US"/>
              </w:rPr>
            </w:pPr>
            <w:r>
              <w:rPr>
                <w:lang w:val="en-US" w:eastAsia="ko-KR"/>
              </w:rPr>
              <w:t xml:space="preserve">Qualcomm, </w:t>
            </w:r>
            <w:r>
              <w:rPr>
                <w:rFonts w:hint="eastAsia" w:eastAsiaTheme="minor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pPr>
              <w:tabs>
                <w:tab w:val="left" w:pos="1410"/>
              </w:tabs>
              <w:rPr>
                <w:szCs w:val="24"/>
                <w:lang w:val="en-US"/>
              </w:rPr>
            </w:pPr>
            <w:r>
              <w:rPr>
                <w:szCs w:val="24"/>
                <w:lang w:val="en-US"/>
              </w:rPr>
              <w:t>8</w:t>
            </w:r>
          </w:p>
        </w:tc>
      </w:tr>
    </w:tbl>
    <w:p>
      <w:pPr>
        <w:tabs>
          <w:tab w:val="left" w:pos="1410"/>
        </w:tabs>
        <w:jc w:val="both"/>
        <w:rPr>
          <w:rFonts w:ascii="Times" w:hAnsi="Times"/>
          <w:szCs w:val="24"/>
          <w:lang w:val="en-US"/>
        </w:rPr>
      </w:pPr>
    </w:p>
    <w:p>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pPr>
        <w:tabs>
          <w:tab w:val="left" w:pos="1410"/>
        </w:tabs>
        <w:jc w:val="both"/>
        <w:rPr>
          <w:rFonts w:ascii="Times" w:hAnsi="Times"/>
          <w:szCs w:val="24"/>
          <w:lang w:val="en-US"/>
        </w:rPr>
      </w:pPr>
    </w:p>
    <w:p>
      <w:pPr>
        <w:pStyle w:val="229"/>
        <w:numPr>
          <w:ilvl w:val="0"/>
          <w:numId w:val="15"/>
        </w:numPr>
        <w:ind w:left="270" w:hanging="270"/>
        <w:outlineLvl w:val="3"/>
      </w:pPr>
      <w:r>
        <w:t>&lt;2</w:t>
      </w:r>
      <w:r>
        <w:rPr>
          <w:vertAlign w:val="superscript"/>
        </w:rPr>
        <w:t>nd</w:t>
      </w:r>
      <w:r>
        <w:t xml:space="preserve"> Round Comments&gt; </w:t>
      </w:r>
    </w:p>
    <w:p>
      <w:pPr>
        <w:tabs>
          <w:tab w:val="left" w:pos="1410"/>
        </w:tabs>
        <w:spacing w:after="0"/>
        <w:rPr>
          <w:b/>
          <w:bCs/>
          <w:lang w:val="en-US"/>
        </w:rPr>
      </w:pPr>
      <w:r>
        <w:rPr>
          <w:b/>
          <w:highlight w:val="yellow"/>
          <w:lang w:val="en-US"/>
        </w:rPr>
        <w:t>FL2 High Priority Proposal 5-1:</w:t>
      </w:r>
      <w:r>
        <w:rPr>
          <w:b/>
          <w:bCs/>
          <w:lang w:val="en-US"/>
        </w:rPr>
        <w:t xml:space="preserve"> </w:t>
      </w:r>
    </w:p>
    <w:p>
      <w:pPr>
        <w:pStyle w:val="48"/>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pPr>
        <w:pStyle w:val="48"/>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pPr>
        <w:tabs>
          <w:tab w:val="left" w:pos="1410"/>
        </w:tabs>
        <w:jc w:val="both"/>
        <w:rPr>
          <w:rFonts w:ascii="Times" w:hAnsi="Times"/>
          <w:szCs w:val="24"/>
        </w:rPr>
      </w:pPr>
      <w:r>
        <w:rPr>
          <w:rFonts w:ascii="Times" w:hAnsi="Times"/>
          <w:szCs w:val="24"/>
        </w:rPr>
        <w:t xml:space="preserve"> </w:t>
      </w:r>
    </w:p>
    <w:p>
      <w:pPr>
        <w:spacing w:after="0" w:line="252" w:lineRule="auto"/>
        <w:jc w:val="both"/>
      </w:pPr>
      <w:r>
        <w:t xml:space="preserve">Companies are invited to provide feedback. Please provide modification. If not, company was asked to provide what changes(s) are needed to make it acceptable. </w:t>
      </w:r>
    </w:p>
    <w:p>
      <w:pPr>
        <w:spacing w:after="0" w:line="252" w:lineRule="auto"/>
        <w:jc w:val="both"/>
        <w:rPr>
          <w:rFonts w:eastAsia="Times New Roman"/>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rFonts w:hint="default" w:eastAsiaTheme="minorEastAsia"/>
                <w:lang w:val="en-US" w:eastAsia="zh-CN"/>
              </w:rPr>
            </w:pPr>
            <w:r>
              <w:rPr>
                <w:rFonts w:hint="eastAsia" w:eastAsiaTheme="minorEastAsia"/>
                <w:lang w:val="en-US" w:eastAsia="zh-CN"/>
              </w:rPr>
              <w:t>More specifically, we can further discuss it in AI 8.17.6.</w:t>
            </w:r>
          </w:p>
        </w:tc>
      </w:tr>
    </w:tbl>
    <w:p>
      <w:pPr>
        <w:rPr>
          <w:rFonts w:eastAsiaTheme="minorEastAsia"/>
          <w:lang w:val="en-US" w:eastAsia="ja-JP"/>
        </w:rPr>
      </w:pPr>
    </w:p>
    <w:p>
      <w:pPr>
        <w:tabs>
          <w:tab w:val="left" w:pos="1410"/>
        </w:tabs>
        <w:jc w:val="both"/>
        <w:rPr>
          <w:rFonts w:ascii="Times" w:hAnsi="Times"/>
          <w:szCs w:val="24"/>
        </w:rPr>
      </w:pPr>
    </w:p>
    <w:p>
      <w:pPr>
        <w:pStyle w:val="2"/>
        <w:numPr>
          <w:ilvl w:val="0"/>
          <w:numId w:val="0"/>
        </w:numPr>
        <w:tabs>
          <w:tab w:val="left" w:pos="720"/>
          <w:tab w:val="left" w:pos="1410"/>
        </w:tabs>
        <w:ind w:left="432" w:hanging="432"/>
        <w:jc w:val="both"/>
        <w:rPr>
          <w:rFonts w:ascii="Times" w:hAnsi="Times"/>
          <w:szCs w:val="24"/>
        </w:rPr>
      </w:pPr>
      <w:bookmarkStart w:id="17" w:name="_Toc84709389"/>
      <w:r>
        <w:t>5. Cell Access Restriction</w:t>
      </w:r>
      <w:bookmarkEnd w:id="17"/>
      <w:r>
        <w:t xml:space="preserve">  </w:t>
      </w:r>
    </w:p>
    <w:p>
      <w:pPr>
        <w:pStyle w:val="3"/>
        <w:numPr>
          <w:ilvl w:val="0"/>
          <w:numId w:val="0"/>
        </w:numPr>
        <w:ind w:left="576" w:hanging="576"/>
      </w:pPr>
      <w:bookmarkStart w:id="18" w:name="_Toc84709390"/>
      <w:r>
        <w:t>Issue 6:  Cell Access Restriction</w:t>
      </w:r>
      <w:bookmarkEnd w:id="18"/>
      <w:r>
        <w:t xml:space="preserve">  </w:t>
      </w:r>
    </w:p>
    <w:p>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46"/>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48"/>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pPr>
              <w:pStyle w:val="48"/>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860"/>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tabs>
                <w:tab w:val="left" w:pos="1410"/>
              </w:tabs>
              <w:jc w:val="both"/>
              <w:rPr>
                <w:rFonts w:ascii="Times" w:hAnsi="Times"/>
                <w:szCs w:val="24"/>
              </w:rPr>
            </w:pPr>
          </w:p>
        </w:tc>
        <w:tc>
          <w:tcPr>
            <w:tcW w:w="4860" w:type="dxa"/>
          </w:tcPr>
          <w:p>
            <w:pPr>
              <w:tabs>
                <w:tab w:val="left" w:pos="1410"/>
              </w:tabs>
              <w:jc w:val="both"/>
              <w:rPr>
                <w:rFonts w:ascii="Times" w:hAnsi="Times"/>
                <w:szCs w:val="24"/>
              </w:rPr>
            </w:pPr>
            <w:r>
              <w:rPr>
                <w:rFonts w:ascii="Times" w:hAnsi="Times"/>
                <w:szCs w:val="24"/>
              </w:rPr>
              <w:t>Proposals</w:t>
            </w:r>
          </w:p>
        </w:tc>
        <w:tc>
          <w:tcPr>
            <w:tcW w:w="3605" w:type="dxa"/>
          </w:tcPr>
          <w:p>
            <w:pPr>
              <w:tabs>
                <w:tab w:val="left" w:pos="1410"/>
              </w:tabs>
              <w:jc w:val="both"/>
              <w:rPr>
                <w:rFonts w:ascii="Times" w:hAnsi="Times"/>
                <w:szCs w:val="24"/>
              </w:rPr>
            </w:pPr>
            <w:r>
              <w:rPr>
                <w:rFonts w:ascii="Times" w:hAnsi="Times"/>
                <w:szCs w:val="24"/>
              </w:rPr>
              <w:t>Motivations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tabs>
                <w:tab w:val="left" w:pos="1410"/>
              </w:tabs>
              <w:jc w:val="both"/>
              <w:rPr>
                <w:rFonts w:ascii="Times" w:hAnsi="Times"/>
                <w:szCs w:val="24"/>
              </w:rPr>
            </w:pPr>
            <w:r>
              <w:rPr>
                <w:rFonts w:ascii="Times" w:hAnsi="Times"/>
                <w:szCs w:val="24"/>
              </w:rPr>
              <w:t>P1 [3]</w:t>
            </w:r>
          </w:p>
        </w:tc>
        <w:tc>
          <w:tcPr>
            <w:tcW w:w="4860" w:type="dxa"/>
          </w:tcPr>
          <w:p>
            <w:pPr>
              <w:tabs>
                <w:tab w:val="left" w:pos="1410"/>
              </w:tabs>
              <w:spacing w:after="0"/>
              <w:rPr>
                <w:rFonts w:ascii="Times" w:hAnsi="Times"/>
                <w:szCs w:val="24"/>
              </w:rPr>
            </w:pPr>
            <w:r>
              <w:rPr>
                <w:rFonts w:ascii="Times" w:hAnsi="Times"/>
                <w:szCs w:val="24"/>
              </w:rPr>
              <w:t>Consider to restrict the access of RedCap Ues via SIB1</w:t>
            </w:r>
          </w:p>
          <w:p>
            <w:pPr>
              <w:pStyle w:val="48"/>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tabs>
                <w:tab w:val="left" w:pos="1410"/>
              </w:tabs>
              <w:jc w:val="both"/>
              <w:rPr>
                <w:rFonts w:ascii="Times" w:hAnsi="Times"/>
                <w:szCs w:val="24"/>
              </w:rPr>
            </w:pPr>
            <w:r>
              <w:rPr>
                <w:rFonts w:ascii="Times" w:hAnsi="Times"/>
                <w:szCs w:val="24"/>
              </w:rPr>
              <w:t>P2 [3]</w:t>
            </w:r>
          </w:p>
        </w:tc>
        <w:tc>
          <w:tcPr>
            <w:tcW w:w="4860" w:type="dxa"/>
          </w:tcPr>
          <w:p>
            <w:pPr>
              <w:tabs>
                <w:tab w:val="left" w:pos="1410"/>
              </w:tabs>
              <w:spacing w:after="0"/>
              <w:rPr>
                <w:rFonts w:ascii="Times" w:hAnsi="Times"/>
                <w:szCs w:val="24"/>
              </w:rPr>
            </w:pPr>
            <w:r>
              <w:t>Different cell selection/reselection time for 1Rx or 2Rx can be configured by gNB.</w:t>
            </w:r>
          </w:p>
        </w:tc>
        <w:tc>
          <w:tcPr>
            <w:tcW w:w="3605" w:type="dxa"/>
            <w:vMerge w:val="continue"/>
          </w:tcPr>
          <w:p>
            <w:pPr>
              <w:tabs>
                <w:tab w:val="left" w:pos="1410"/>
              </w:tabs>
              <w:jc w:val="both"/>
              <w:rPr>
                <w:rFonts w:ascii="Times" w:hAnsi="Times"/>
                <w:szCs w:val="24"/>
              </w:rPr>
            </w:pPr>
          </w:p>
        </w:tc>
      </w:tr>
    </w:tbl>
    <w:p>
      <w:pPr>
        <w:tabs>
          <w:tab w:val="left" w:pos="1410"/>
        </w:tabs>
        <w:jc w:val="both"/>
        <w:rPr>
          <w:rFonts w:ascii="Times" w:hAnsi="Times"/>
          <w:szCs w:val="24"/>
        </w:rPr>
      </w:pPr>
    </w:p>
    <w:p>
      <w:pPr>
        <w:pStyle w:val="229"/>
        <w:numPr>
          <w:ilvl w:val="0"/>
          <w:numId w:val="15"/>
        </w:numPr>
        <w:outlineLvl w:val="3"/>
      </w:pPr>
      <w:r>
        <w:t>&lt;1</w:t>
      </w:r>
      <w:r>
        <w:rPr>
          <w:vertAlign w:val="superscript"/>
        </w:rPr>
        <w:t>st</w:t>
      </w:r>
      <w:r>
        <w:t xml:space="preserve"> Round Comments&gt;</w:t>
      </w:r>
    </w:p>
    <w:p>
      <w:pPr>
        <w:tabs>
          <w:tab w:val="left" w:pos="1410"/>
        </w:tabs>
        <w:spacing w:after="0"/>
        <w:rPr>
          <w:b/>
          <w:bCs/>
          <w:lang w:val="en-US"/>
        </w:rPr>
      </w:pPr>
      <w:r>
        <w:rPr>
          <w:b/>
          <w:highlight w:val="yellow"/>
          <w:lang w:val="en-US"/>
        </w:rPr>
        <w:t>FL2 High Priority Proposal 6-1:</w:t>
      </w:r>
      <w:r>
        <w:rPr>
          <w:b/>
          <w:bCs/>
          <w:lang w:val="en-US"/>
        </w:rPr>
        <w:t xml:space="preserve"> </w:t>
      </w:r>
    </w:p>
    <w:p>
      <w:pPr>
        <w:pStyle w:val="48"/>
        <w:numPr>
          <w:ilvl w:val="0"/>
          <w:numId w:val="30"/>
        </w:numPr>
        <w:tabs>
          <w:tab w:val="left" w:pos="1410"/>
        </w:tabs>
        <w:spacing w:after="0"/>
        <w:rPr>
          <w:b/>
          <w:lang w:val="en-US"/>
        </w:rPr>
      </w:pPr>
      <w:r>
        <w:rPr>
          <w:b/>
          <w:lang w:val="en-US"/>
        </w:rPr>
        <w:t xml:space="preserve">Can we agree ‘P1’ and/or ‘P2’ listed above? </w:t>
      </w:r>
    </w:p>
    <w:p>
      <w:pPr>
        <w:tabs>
          <w:tab w:val="left" w:pos="1410"/>
        </w:tabs>
        <w:spacing w:after="0"/>
        <w:ind w:left="360"/>
        <w:rPr>
          <w:b/>
          <w:lang w:val="en-US"/>
        </w:rPr>
      </w:pPr>
    </w:p>
    <w:p>
      <w:pPr>
        <w:tabs>
          <w:tab w:val="left" w:pos="1410"/>
        </w:tabs>
        <w:spacing w:after="0"/>
        <w:rPr>
          <w:b/>
          <w:lang w:val="en-US"/>
        </w:rPr>
      </w:pPr>
      <w:r>
        <w:rPr>
          <w:b/>
          <w:lang w:val="en-US"/>
        </w:rPr>
        <w:t xml:space="preserve">Please separately indicate for P1/P2, e.g., Ok for P1, Ok for P2. </w:t>
      </w:r>
    </w:p>
    <w:p>
      <w:pPr>
        <w:tabs>
          <w:tab w:val="left" w:pos="1410"/>
        </w:tabs>
        <w:spacing w:after="0"/>
        <w:rPr>
          <w:b/>
          <w:bCs/>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agree 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rFonts w:eastAsia="宋体"/>
                <w:lang w:val="en-US" w:eastAsia="zh-CN"/>
              </w:rPr>
            </w:pPr>
            <w:r>
              <w:rPr>
                <w:lang w:val="en-US" w:eastAsia="ko-KR"/>
              </w:rPr>
              <w:t>RAN1 does not need to continue the discussion about cell access restriction unless requested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lang w:val="en-US" w:eastAsia="ko-KR"/>
              </w:rPr>
            </w:pPr>
          </w:p>
        </w:tc>
        <w:tc>
          <w:tcPr>
            <w:tcW w:w="6780" w:type="dxa"/>
          </w:tcPr>
          <w:p>
            <w:pPr>
              <w:rPr>
                <w:rFonts w:eastAsia="宋体"/>
                <w:lang w:val="en-US" w:eastAsia="zh-CN"/>
              </w:rPr>
            </w:pPr>
            <w:r>
              <w:rPr>
                <w:rFonts w:eastAsia="宋体"/>
                <w:lang w:val="en-US" w:eastAsia="zh-CN"/>
              </w:rPr>
              <w:t>No to P1, unless we have a clear request from RAN2, as per the quoted RAN2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In RAN2 competence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Let’s leave it to RAN2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They should be discussed in RAN2, if necessary.</w:t>
            </w:r>
          </w:p>
        </w:tc>
      </w:tr>
    </w:tbl>
    <w:p>
      <w:pPr>
        <w:tabs>
          <w:tab w:val="left" w:pos="1410"/>
        </w:tabs>
        <w:jc w:val="both"/>
        <w:rPr>
          <w:rFonts w:ascii="Times" w:hAnsi="Times"/>
          <w:szCs w:val="24"/>
        </w:rPr>
      </w:pPr>
    </w:p>
    <w:p>
      <w:pPr>
        <w:pStyle w:val="2"/>
        <w:numPr>
          <w:ilvl w:val="0"/>
          <w:numId w:val="0"/>
        </w:numPr>
        <w:tabs>
          <w:tab w:val="left" w:pos="720"/>
          <w:tab w:val="left" w:pos="1410"/>
        </w:tabs>
        <w:ind w:left="432" w:hanging="432"/>
        <w:jc w:val="both"/>
        <w:rPr>
          <w:rFonts w:ascii="Times" w:hAnsi="Times"/>
          <w:szCs w:val="24"/>
        </w:rPr>
      </w:pPr>
      <w:bookmarkStart w:id="19" w:name="_Toc84709391"/>
      <w:r>
        <w:t>6. Other aspects</w:t>
      </w:r>
      <w:bookmarkEnd w:id="19"/>
      <w:r>
        <w:t xml:space="preserve"> </w:t>
      </w:r>
    </w:p>
    <w:p>
      <w:pPr>
        <w:pStyle w:val="3"/>
        <w:numPr>
          <w:ilvl w:val="0"/>
          <w:numId w:val="0"/>
        </w:numPr>
        <w:ind w:left="576" w:hanging="576"/>
      </w:pPr>
      <w:bookmarkStart w:id="20" w:name="_Toc84709392"/>
      <w:bookmarkStart w:id="21" w:name="_Hlk41391803"/>
      <w:r>
        <w:t>Issue 7:  Need of separate SIB1 for Redcap</w:t>
      </w:r>
      <w:bookmarkEnd w:id="20"/>
    </w:p>
    <w:p>
      <w:r>
        <w:t>Contribution [31,32] discussed SIB1 for Redcap Ues. In [3</w:t>
      </w:r>
      <w:bookmarkStart w:id="27" w:name="_GoBack"/>
      <w:bookmarkEnd w:id="27"/>
      <w:r>
        <w:t>1], it prefers to reuse the existing SIB1 and incorporate the new system information for RedCap. It was also pointed out in [31] that some modifications on short message field ‘</w:t>
      </w:r>
      <w:r>
        <w:rPr>
          <w:rFonts w:ascii="Arial" w:hAnsi="Arial" w:eastAsia="Calibri"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pPr>
        <w:pStyle w:val="229"/>
        <w:numPr>
          <w:ilvl w:val="0"/>
          <w:numId w:val="15"/>
        </w:numPr>
        <w:outlineLvl w:val="3"/>
      </w:pPr>
      <w:r>
        <w:t>&lt;1</w:t>
      </w:r>
      <w:r>
        <w:rPr>
          <w:vertAlign w:val="superscript"/>
        </w:rPr>
        <w:t>st</w:t>
      </w:r>
      <w:r>
        <w:t xml:space="preserve"> Round Comments&gt;</w:t>
      </w:r>
    </w:p>
    <w:p>
      <w:pPr>
        <w:tabs>
          <w:tab w:val="left" w:pos="1410"/>
        </w:tabs>
        <w:spacing w:after="0"/>
        <w:rPr>
          <w:b/>
          <w:bCs/>
          <w:lang w:val="en-US"/>
        </w:rPr>
      </w:pPr>
      <w:r>
        <w:rPr>
          <w:b/>
          <w:highlight w:val="yellow"/>
          <w:lang w:val="en-US"/>
        </w:rPr>
        <w:t>FL2 High Priority Proposal7-1:</w:t>
      </w:r>
      <w:r>
        <w:rPr>
          <w:b/>
          <w:bCs/>
          <w:lang w:val="en-US"/>
        </w:rPr>
        <w:t xml:space="preserve"> </w:t>
      </w:r>
    </w:p>
    <w:p>
      <w:pPr>
        <w:pStyle w:val="48"/>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pPr>
        <w:pStyle w:val="48"/>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pPr>
        <w:pStyle w:val="48"/>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pPr>
        <w:pStyle w:val="48"/>
        <w:tabs>
          <w:tab w:val="left" w:pos="1410"/>
        </w:tabs>
        <w:spacing w:after="0"/>
        <w:rPr>
          <w:rFonts w:ascii="Times New Roman" w:hAnsi="Times New Roman" w:cs="Times New Roman"/>
          <w:b/>
          <w:sz w:val="20"/>
          <w:szCs w:val="20"/>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Alt 2 or 3</w:t>
            </w:r>
          </w:p>
        </w:tc>
        <w:tc>
          <w:tcPr>
            <w:tcW w:w="6780" w:type="dxa"/>
          </w:tcPr>
          <w:p>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1 or 3</w:t>
            </w:r>
          </w:p>
        </w:tc>
        <w:tc>
          <w:tcPr>
            <w:tcW w:w="6780" w:type="dxa"/>
          </w:tcPr>
          <w:p>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Alt.1 or Alt.3</w:t>
            </w:r>
          </w:p>
        </w:tc>
        <w:tc>
          <w:tcPr>
            <w:tcW w:w="6780" w:type="dxa"/>
          </w:tcPr>
          <w:p>
            <w:pPr>
              <w:rPr>
                <w:lang w:val="en-US" w:eastAsia="ko-KR"/>
              </w:rPr>
            </w:pPr>
            <w:r>
              <w:rPr>
                <w:lang w:val="en-US" w:eastAsia="ko-KR"/>
              </w:rPr>
              <w:t>Without clear justification, we do not see a need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t>FUTUREWEI</w:t>
            </w:r>
          </w:p>
        </w:tc>
        <w:tc>
          <w:tcPr>
            <w:tcW w:w="1372" w:type="dxa"/>
          </w:tcPr>
          <w:p>
            <w:pPr>
              <w:tabs>
                <w:tab w:val="left" w:pos="551"/>
              </w:tabs>
              <w:rPr>
                <w:lang w:val="en-US" w:eastAsia="ko-KR"/>
              </w:rPr>
            </w:pPr>
            <w:r>
              <w:t>Alt.3</w:t>
            </w:r>
          </w:p>
        </w:tc>
        <w:tc>
          <w:tcPr>
            <w:tcW w:w="6780" w:type="dxa"/>
          </w:tcPr>
          <w:p>
            <w:pPr>
              <w:rPr>
                <w:lang w:val="en-US" w:eastAsia="ko-KR"/>
              </w:rPr>
            </w:pPr>
            <w:r>
              <w:t>Because RAN2 understands the size of SIB1, it can determine whether to introduce a new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val="en-US" w:eastAsia="ko-KR"/>
              </w:rPr>
              <w:t>Nordic</w:t>
            </w:r>
          </w:p>
        </w:tc>
        <w:tc>
          <w:tcPr>
            <w:tcW w:w="1372" w:type="dxa"/>
          </w:tcPr>
          <w:p>
            <w:pPr>
              <w:tabs>
                <w:tab w:val="left" w:pos="551"/>
              </w:tabs>
            </w:pPr>
            <w:r>
              <w:rPr>
                <w:lang w:val="en-US" w:eastAsia="ko-KR"/>
              </w:rPr>
              <w:t>Alt.1 or Alt 3</w:t>
            </w:r>
          </w:p>
        </w:tc>
        <w:tc>
          <w:tcPr>
            <w:tcW w:w="6780" w:type="dxa"/>
          </w:tcPr>
          <w:p>
            <w:r>
              <w:rPr>
                <w:lang w:val="en-US" w:eastAsia="ko-KR"/>
              </w:rPr>
              <w:t>No need for separate REDCAP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1 or Alt 3</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lang w:val="en-US" w:eastAsia="ko-KR"/>
              </w:rPr>
              <w:t>Alt 1 or Alt 3</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Alt 1 or Alt 3</w:t>
            </w:r>
          </w:p>
        </w:tc>
        <w:tc>
          <w:tcPr>
            <w:tcW w:w="6780" w:type="dxa"/>
          </w:tcPr>
          <w:p>
            <w:pPr>
              <w:rPr>
                <w:lang w:val="en-US" w:eastAsia="ko-KR"/>
              </w:rPr>
            </w:pPr>
          </w:p>
        </w:tc>
      </w:tr>
    </w:tbl>
    <w:p/>
    <w:p/>
    <w:p>
      <w:pPr>
        <w:pStyle w:val="48"/>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p>
      <w:pPr>
        <w:pStyle w:val="3"/>
        <w:numPr>
          <w:ilvl w:val="0"/>
          <w:numId w:val="0"/>
        </w:numPr>
        <w:ind w:left="576" w:hanging="576"/>
      </w:pPr>
      <w:bookmarkStart w:id="22" w:name="_Toc84709393"/>
      <w:r>
        <w:t>Issue 8:  Measurements for Redcap with reduced number of Rx branches</w:t>
      </w:r>
      <w:bookmarkEnd w:id="22"/>
      <w:r>
        <w:t xml:space="preserve"> </w:t>
      </w:r>
    </w:p>
    <w:p>
      <w:r>
        <w:t xml:space="preserve">One contribution [8] suggest discussing measurement related issues caused by reduced numbrer of Rx branches with the following proposals: </w:t>
      </w:r>
    </w:p>
    <w:p>
      <w:pPr>
        <w:pStyle w:val="48"/>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pPr>
        <w:pStyle w:val="48"/>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pPr>
        <w:pStyle w:val="229"/>
        <w:numPr>
          <w:ilvl w:val="0"/>
          <w:numId w:val="31"/>
        </w:numPr>
        <w:ind w:left="90" w:hanging="90"/>
        <w:outlineLvl w:val="3"/>
      </w:pPr>
      <w:r>
        <w:t>&lt;1</w:t>
      </w:r>
      <w:r>
        <w:rPr>
          <w:vertAlign w:val="superscript"/>
        </w:rPr>
        <w:t>st</w:t>
      </w:r>
      <w:r>
        <w:t xml:space="preserve"> Round Comments&gt;</w:t>
      </w:r>
    </w:p>
    <w:p>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pPr>
        <w:pStyle w:val="48"/>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pPr>
        <w:pStyle w:val="48"/>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pPr>
        <w:tabs>
          <w:tab w:val="left" w:pos="1410"/>
        </w:tabs>
        <w:spacing w:after="0"/>
        <w:rPr>
          <w:b/>
          <w:bCs/>
          <w:lang w:val="en-US"/>
        </w:rPr>
      </w:pPr>
    </w:p>
    <w:p>
      <w:pPr>
        <w:tabs>
          <w:tab w:val="left" w:pos="1410"/>
        </w:tabs>
        <w:spacing w:after="0"/>
        <w:rPr>
          <w:b/>
          <w:bCs/>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ko-KR"/>
              </w:rPr>
            </w:pPr>
            <w:r>
              <w:rPr>
                <w:rFonts w:hint="eastAsia" w:eastAsiaTheme="minorEastAsia"/>
                <w:lang w:val="en-US" w:eastAsia="zh-CN"/>
              </w:rPr>
              <w:t>Y</w:t>
            </w:r>
            <w:r>
              <w:rPr>
                <w:rFonts w:eastAsiaTheme="minorEastAsia"/>
                <w:lang w:val="en-US" w:eastAsia="zh-CN"/>
              </w:rPr>
              <w:t xml:space="preserve">, </w:t>
            </w:r>
            <w:r>
              <w:rPr>
                <w:rFonts w:hint="eastAsia" w:eastAsiaTheme="minorEastAsia"/>
                <w:lang w:val="en-US" w:eastAsia="zh-CN"/>
              </w:rPr>
              <w:t>P</w:t>
            </w:r>
            <w:r>
              <w:rPr>
                <w:rFonts w:eastAsiaTheme="minorEastAsia"/>
                <w:lang w:val="en-US" w:eastAsia="zh-CN"/>
              </w:rPr>
              <w:t>1 and P2</w:t>
            </w:r>
          </w:p>
        </w:tc>
        <w:tc>
          <w:tcPr>
            <w:tcW w:w="6780" w:type="dxa"/>
          </w:tcPr>
          <w:p>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N</w:t>
            </w:r>
          </w:p>
        </w:tc>
        <w:tc>
          <w:tcPr>
            <w:tcW w:w="6780" w:type="dxa"/>
          </w:tcPr>
          <w:p>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pPr>
              <w:rPr>
                <w:lang w:val="en-US" w:eastAsia="ko-KR"/>
              </w:rPr>
            </w:pPr>
            <w:r>
              <w:rPr>
                <w:lang w:val="en-US" w:eastAsia="ko-KR"/>
              </w:rPr>
              <w:t>P2 could be left for RAN2 and/or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These proposals can be treated in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P1 and P2</w:t>
            </w:r>
          </w:p>
        </w:tc>
        <w:tc>
          <w:tcPr>
            <w:tcW w:w="6780" w:type="dxa"/>
          </w:tcPr>
          <w:p>
            <w:pPr>
              <w:rPr>
                <w:lang w:val="en-US" w:eastAsia="ko-KR"/>
              </w:rPr>
            </w:pPr>
            <w:r>
              <w:rPr>
                <w:lang w:val="en-US" w:eastAsia="ko-KR"/>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This issues are RAN2 and RAN4 competence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Measurements of RedCap UE are not in the scope of RAN1 objectives. They should be discussed/specified by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lang w:val="en-US" w:eastAsia="ko-KR"/>
              </w:rPr>
            </w:pPr>
            <w:r>
              <w:rPr>
                <w:rFonts w:eastAsia="Yu Mincho"/>
                <w:lang w:val="en-US" w:eastAsia="ja-JP"/>
              </w:rPr>
              <w:t>They should be discussed in RAN2 and RAN4, if necessary.</w:t>
            </w:r>
          </w:p>
        </w:tc>
      </w:tr>
    </w:tbl>
    <w:p>
      <w:pPr>
        <w:rPr>
          <w:b/>
          <w:bCs/>
          <w:u w:val="single"/>
        </w:rPr>
      </w:pPr>
    </w:p>
    <w:p>
      <w:pPr>
        <w:rPr>
          <w:b/>
          <w:bCs/>
          <w:u w:val="single"/>
        </w:rPr>
      </w:pPr>
    </w:p>
    <w:p>
      <w:r>
        <w:rPr>
          <w:b/>
          <w:bCs/>
          <w:u w:val="single"/>
        </w:rPr>
        <w:t xml:space="preserve">SSB/CORESET#0 and initial UL/DL Configuration  </w:t>
      </w:r>
    </w:p>
    <w:p>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r>
        <w:rPr>
          <w:b/>
          <w:bCs/>
          <w:u w:val="single"/>
        </w:rPr>
        <w:t xml:space="preserve">RA-RNTI Overlapping handling  </w:t>
      </w:r>
    </w:p>
    <w:p>
      <w:r>
        <w:t xml:space="preserve">One contribution [27] provides different solutions to address the RA-RNTI collision issue. However, the following was agreed in RAN1 106-e meeting to leave this problem for RAN2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
                <w:u w:val="single"/>
                <w:lang w:eastAsia="zh-CN"/>
              </w:rPr>
            </w:pPr>
            <w:r>
              <w:rPr>
                <w:b/>
                <w:highlight w:val="green"/>
                <w:u w:val="single"/>
                <w:lang w:eastAsia="zh-CN"/>
              </w:rPr>
              <w:t>Conclusion:</w:t>
            </w:r>
          </w:p>
          <w:p>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p/>
    <w:p>
      <w:pPr>
        <w:pStyle w:val="2"/>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p/>
    <w:p/>
    <w:p>
      <w:pPr>
        <w:pStyle w:val="2"/>
        <w:numPr>
          <w:ilvl w:val="0"/>
          <w:numId w:val="0"/>
        </w:numPr>
        <w:ind w:left="432" w:hanging="432"/>
      </w:pPr>
      <w:bookmarkStart w:id="24" w:name="_Toc84709395"/>
      <w:r>
        <w:t>Annex: Companies’ point of contact</w:t>
      </w:r>
      <w:bookmarkEnd w:id="24"/>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Qualcomm</w:t>
            </w:r>
          </w:p>
        </w:tc>
        <w:tc>
          <w:tcPr>
            <w:tcW w:w="2410" w:type="dxa"/>
          </w:tcPr>
          <w:p>
            <w:pPr>
              <w:spacing w:after="0"/>
              <w:jc w:val="center"/>
            </w:pPr>
            <w:r>
              <w:t>Jing Lei</w:t>
            </w:r>
          </w:p>
        </w:tc>
        <w:tc>
          <w:tcPr>
            <w:tcW w:w="4110" w:type="dxa"/>
          </w:tcPr>
          <w:p>
            <w:pPr>
              <w:spacing w:after="0"/>
              <w:jc w:val="center"/>
            </w:pPr>
            <w: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2410" w:type="dxa"/>
          </w:tcPr>
          <w:p>
            <w:pPr>
              <w:spacing w:after="0"/>
              <w:jc w:val="center"/>
              <w:rPr>
                <w:rFonts w:eastAsiaTheme="minorEastAsia"/>
                <w:lang w:eastAsia="zh-CN"/>
              </w:rPr>
            </w:pPr>
            <w:r>
              <w:rPr>
                <w:rFonts w:hint="eastAsia" w:eastAsiaTheme="minorEastAsia"/>
                <w:lang w:eastAsia="zh-CN"/>
              </w:rPr>
              <w:t>X</w:t>
            </w:r>
            <w:r>
              <w:rPr>
                <w:rFonts w:eastAsiaTheme="minorEastAsia"/>
                <w:lang w:eastAsia="zh-CN"/>
              </w:rPr>
              <w:t>ueming Pan</w:t>
            </w:r>
          </w:p>
        </w:tc>
        <w:tc>
          <w:tcPr>
            <w:tcW w:w="4110" w:type="dxa"/>
          </w:tcPr>
          <w:p>
            <w:pPr>
              <w:spacing w:after="0"/>
              <w:jc w:val="center"/>
              <w:rPr>
                <w:rFonts w:eastAsiaTheme="minorEastAsia"/>
                <w:lang w:eastAsia="zh-CN"/>
              </w:rPr>
            </w:pPr>
            <w:r>
              <w:rPr>
                <w:rFonts w:hint="eastAsia" w:eastAsiaTheme="minorEastAsia"/>
                <w:lang w:eastAsia="zh-CN"/>
              </w:rPr>
              <w:t>p</w:t>
            </w:r>
            <w:r>
              <w:rPr>
                <w:rFonts w:eastAsiaTheme="minorEastAsia"/>
                <w:lang w:eastAsia="zh-CN"/>
              </w:rPr>
              <w:t>anxueming</w:t>
            </w:r>
            <w:r>
              <w:rPr>
                <w:rFonts w:hint="eastAsia" w:eastAsiaTheme="minorEastAsia"/>
                <w:lang w:eastAsia="zh-CN"/>
              </w:rPr>
              <w:t>@</w:t>
            </w:r>
            <w:r>
              <w:rPr>
                <w:rFonts w:eastAsiaTheme="minorEastAsia"/>
                <w:lang w:eastAsia="zh-CN"/>
              </w:rPr>
              <w:t>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hint="eastAsia" w:eastAsiaTheme="minorEastAsia"/>
                <w:lang w:eastAsia="zh-CN"/>
              </w:rPr>
              <w:t>CATT</w:t>
            </w:r>
          </w:p>
        </w:tc>
        <w:tc>
          <w:tcPr>
            <w:tcW w:w="2410" w:type="dxa"/>
          </w:tcPr>
          <w:p>
            <w:pPr>
              <w:spacing w:after="0"/>
              <w:jc w:val="center"/>
              <w:rPr>
                <w:rFonts w:eastAsiaTheme="minorEastAsia"/>
                <w:lang w:eastAsia="zh-CN"/>
              </w:rPr>
            </w:pPr>
            <w:r>
              <w:rPr>
                <w:rFonts w:hint="eastAsia" w:eastAsiaTheme="minorEastAsia"/>
                <w:lang w:eastAsia="zh-CN"/>
              </w:rPr>
              <w:t>Yongqiang FEI</w:t>
            </w:r>
          </w:p>
        </w:tc>
        <w:tc>
          <w:tcPr>
            <w:tcW w:w="4110" w:type="dxa"/>
          </w:tcPr>
          <w:p>
            <w:pPr>
              <w:spacing w:after="0"/>
              <w:jc w:val="center"/>
              <w:rPr>
                <w:rFonts w:eastAsiaTheme="minorEastAsia"/>
                <w:lang w:eastAsia="zh-CN"/>
              </w:rPr>
            </w:pPr>
            <w:r>
              <w:rPr>
                <w:rFonts w:eastAsiaTheme="minorEastAsia"/>
                <w:lang w:eastAsia="zh-CN"/>
              </w:rPr>
              <w:t>feiyongqiang</w:t>
            </w:r>
            <w:r>
              <w:rPr>
                <w:rFonts w:hint="eastAsia" w:eastAsiaTheme="minorEastAsia"/>
                <w:lang w:eastAsia="zh-CN"/>
              </w:rPr>
              <w:t>@catt.cn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eastAsia="ja-JP"/>
              </w:rPr>
            </w:pPr>
            <w:r>
              <w:rPr>
                <w:rFonts w:hint="eastAsia" w:eastAsia="Yu Mincho"/>
                <w:lang w:eastAsia="ja-JP"/>
              </w:rPr>
              <w:t>D</w:t>
            </w:r>
            <w:r>
              <w:rPr>
                <w:rFonts w:eastAsia="Yu Mincho"/>
                <w:lang w:eastAsia="ja-JP"/>
              </w:rPr>
              <w:t>OCOMO</w:t>
            </w:r>
          </w:p>
        </w:tc>
        <w:tc>
          <w:tcPr>
            <w:tcW w:w="2410" w:type="dxa"/>
          </w:tcPr>
          <w:p>
            <w:pPr>
              <w:spacing w:after="0"/>
              <w:jc w:val="center"/>
              <w:rPr>
                <w:rFonts w:eastAsia="Yu Mincho"/>
                <w:lang w:eastAsia="ja-JP"/>
              </w:rPr>
            </w:pPr>
            <w:r>
              <w:rPr>
                <w:rFonts w:hint="eastAsia" w:eastAsia="Yu Mincho"/>
                <w:lang w:eastAsia="ja-JP"/>
              </w:rPr>
              <w:t>S</w:t>
            </w:r>
            <w:r>
              <w:rPr>
                <w:rFonts w:eastAsia="Yu Mincho"/>
                <w:lang w:eastAsia="ja-JP"/>
              </w:rPr>
              <w:t>hinya Kumagai</w:t>
            </w:r>
          </w:p>
        </w:tc>
        <w:tc>
          <w:tcPr>
            <w:tcW w:w="4110" w:type="dxa"/>
          </w:tcPr>
          <w:p>
            <w:pPr>
              <w:spacing w:after="0"/>
              <w:jc w:val="center"/>
              <w:rPr>
                <w:rFonts w:eastAsiaTheme="minorEastAsia"/>
                <w:lang w:eastAsia="zh-CN"/>
              </w:rPr>
            </w:pPr>
            <w:r>
              <w:fldChar w:fldCharType="begin"/>
            </w:r>
            <w:r>
              <w:instrText xml:space="preserve"> HYPERLINK "mailto:shinya.kumagai@docomo" </w:instrText>
            </w:r>
            <w:r>
              <w:fldChar w:fldCharType="separate"/>
            </w:r>
            <w:r>
              <w:rPr>
                <w:rStyle w:val="38"/>
                <w:rFonts w:eastAsiaTheme="minorEastAsia"/>
                <w:lang w:eastAsia="zh-CN"/>
              </w:rPr>
              <w:t>shinya.kumagai@docomo</w:t>
            </w:r>
            <w:r>
              <w:rPr>
                <w:rStyle w:val="38"/>
                <w:rFonts w:eastAsiaTheme="minorEastAsia"/>
                <w:lang w:eastAsia="zh-CN"/>
              </w:rPr>
              <w:fldChar w:fldCharType="end"/>
            </w:r>
            <w:r>
              <w:rPr>
                <w:rFonts w:eastAsiaTheme="minorEastAsia"/>
                <w:lang w:eastAsia="zh-CN"/>
              </w:rPr>
              <w:t>-lab.com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410" w:type="dxa"/>
          </w:tcPr>
          <w:p>
            <w:pPr>
              <w:spacing w:after="0"/>
              <w:jc w:val="center"/>
              <w:rPr>
                <w:rFonts w:eastAsia="Yu Mincho"/>
                <w:lang w:eastAsia="ja-JP"/>
              </w:rPr>
            </w:pPr>
            <w:r>
              <w:rPr>
                <w:rFonts w:hint="eastAsia" w:eastAsia="Yu Mincho"/>
                <w:lang w:eastAsia="ja-JP"/>
              </w:rPr>
              <w:t>L</w:t>
            </w:r>
            <w:r>
              <w:rPr>
                <w:rFonts w:eastAsia="Yu Mincho"/>
                <w:lang w:eastAsia="ja-JP"/>
              </w:rPr>
              <w:t>iqing Liu</w:t>
            </w:r>
          </w:p>
        </w:tc>
        <w:tc>
          <w:tcPr>
            <w:tcW w:w="4110" w:type="dxa"/>
          </w:tcPr>
          <w:p>
            <w:pPr>
              <w:spacing w:after="0"/>
              <w:jc w:val="center"/>
              <w:rPr>
                <w:rFonts w:eastAsia="Yu Mincho"/>
                <w:lang w:eastAsia="ja-JP"/>
              </w:rPr>
            </w:pPr>
            <w:r>
              <w:fldChar w:fldCharType="begin"/>
            </w:r>
            <w:r>
              <w:instrText xml:space="preserve"> HYPERLINK "mailto:liu.liqing@sharp" </w:instrText>
            </w:r>
            <w:r>
              <w:fldChar w:fldCharType="separate"/>
            </w:r>
            <w:r>
              <w:rPr>
                <w:rStyle w:val="38"/>
                <w:rFonts w:hint="eastAsia" w:eastAsia="Yu Mincho"/>
                <w:lang w:eastAsia="ja-JP"/>
              </w:rPr>
              <w:t>l</w:t>
            </w:r>
            <w:r>
              <w:rPr>
                <w:rStyle w:val="38"/>
                <w:rFonts w:eastAsia="Yu Mincho"/>
                <w:lang w:eastAsia="ja-JP"/>
              </w:rPr>
              <w:t>iu.liqing@sharp</w:t>
            </w:r>
            <w:r>
              <w:rPr>
                <w:rStyle w:val="38"/>
                <w:rFonts w:eastAsia="Yu Mincho"/>
                <w:lang w:eastAsia="ja-JP"/>
              </w:rPr>
              <w:fldChar w:fldCharType="end"/>
            </w:r>
            <w:r>
              <w:rPr>
                <w:rFonts w:eastAsia="Yu Mincho"/>
                <w:lang w:eastAsia="ja-JP"/>
              </w:rPr>
              <w:t>.co.jp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eastAsiaTheme="minorEastAsia"/>
                <w:lang w:eastAsia="zh-CN"/>
              </w:rPr>
              <w:t>MediaTek</w:t>
            </w:r>
          </w:p>
        </w:tc>
        <w:tc>
          <w:tcPr>
            <w:tcW w:w="2410" w:type="dxa"/>
          </w:tcPr>
          <w:p>
            <w:pPr>
              <w:spacing w:after="0"/>
              <w:jc w:val="center"/>
              <w:rPr>
                <w:rFonts w:eastAsiaTheme="minorEastAsia"/>
                <w:lang w:eastAsia="zh-CN"/>
              </w:rPr>
            </w:pPr>
            <w:r>
              <w:rPr>
                <w:rFonts w:eastAsiaTheme="minorEastAsia"/>
                <w:lang w:eastAsia="zh-CN"/>
              </w:rPr>
              <w:t>Mohammed Al-Imari</w:t>
            </w:r>
          </w:p>
        </w:tc>
        <w:tc>
          <w:tcPr>
            <w:tcW w:w="4110" w:type="dxa"/>
          </w:tcPr>
          <w:p>
            <w:pPr>
              <w:spacing w:after="0"/>
              <w:jc w:val="center"/>
              <w:rPr>
                <w:rFonts w:eastAsiaTheme="minorEastAsia"/>
                <w:lang w:eastAsia="zh-CN"/>
              </w:rPr>
            </w:pPr>
            <w:r>
              <w:fldChar w:fldCharType="begin"/>
            </w:r>
            <w:r>
              <w:instrText xml:space="preserve"> HYPERLINK "mailto:Mohammed.Al-Imari@mediatek" </w:instrText>
            </w:r>
            <w:r>
              <w:fldChar w:fldCharType="separate"/>
            </w:r>
            <w:r>
              <w:rPr>
                <w:rStyle w:val="38"/>
                <w:rFonts w:eastAsiaTheme="minorEastAsia"/>
                <w:lang w:eastAsia="zh-CN"/>
              </w:rPr>
              <w:t>Mohammed.Al-Imari@mediatek</w:t>
            </w:r>
            <w:r>
              <w:rPr>
                <w:rStyle w:val="38"/>
                <w:rFonts w:eastAsiaTheme="minorEastAsia"/>
                <w:lang w:eastAsia="zh-CN"/>
              </w:rPr>
              <w:fldChar w:fldCharType="end"/>
            </w:r>
            <w:r>
              <w:rPr>
                <w:rFonts w:eastAsiaTheme="minorEastAsia"/>
                <w:lang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Huawei, HiSilicon</w:t>
            </w:r>
          </w:p>
        </w:tc>
        <w:tc>
          <w:tcPr>
            <w:tcW w:w="2410" w:type="dxa"/>
          </w:tcPr>
          <w:p>
            <w:pPr>
              <w:spacing w:after="0"/>
              <w:jc w:val="center"/>
            </w:pPr>
            <w:r>
              <w:t>Wang Yi</w:t>
            </w:r>
          </w:p>
        </w:tc>
        <w:tc>
          <w:tcPr>
            <w:tcW w:w="4110" w:type="dxa"/>
          </w:tcPr>
          <w:p>
            <w:pPr>
              <w:spacing w:after="0"/>
              <w:jc w:val="center"/>
            </w:pPr>
            <w: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rPr>
                <w:rFonts w:hint="eastAsia"/>
                <w:lang w:eastAsia="ko-KR"/>
              </w:rPr>
              <w:t>LG Electronics</w:t>
            </w:r>
          </w:p>
        </w:tc>
        <w:tc>
          <w:tcPr>
            <w:tcW w:w="2410" w:type="dxa"/>
          </w:tcPr>
          <w:p>
            <w:pPr>
              <w:spacing w:after="0"/>
              <w:jc w:val="center"/>
            </w:pPr>
            <w:r>
              <w:rPr>
                <w:rFonts w:hint="eastAsia"/>
                <w:lang w:eastAsia="ko-KR"/>
              </w:rPr>
              <w:t>Youngdae Lee</w:t>
            </w:r>
          </w:p>
        </w:tc>
        <w:tc>
          <w:tcPr>
            <w:tcW w:w="4110" w:type="dxa"/>
          </w:tcPr>
          <w:p>
            <w:pPr>
              <w:spacing w:after="0"/>
              <w:jc w:val="center"/>
            </w:pPr>
            <w:r>
              <w:fldChar w:fldCharType="begin"/>
            </w:r>
            <w:r>
              <w:instrText xml:space="preserve"> HYPERLINK "mailto:youngdae.lee@lge" </w:instrText>
            </w:r>
            <w:r>
              <w:fldChar w:fldCharType="separate"/>
            </w:r>
            <w:r>
              <w:rPr>
                <w:rStyle w:val="38"/>
                <w:lang w:eastAsia="ko-KR"/>
              </w:rPr>
              <w:t>y</w:t>
            </w:r>
            <w:r>
              <w:rPr>
                <w:rStyle w:val="38"/>
                <w:rFonts w:hint="eastAsia"/>
                <w:lang w:eastAsia="ko-KR"/>
              </w:rPr>
              <w:t>oungdae.</w:t>
            </w:r>
            <w:r>
              <w:rPr>
                <w:rStyle w:val="38"/>
                <w:lang w:eastAsia="ko-KR"/>
              </w:rPr>
              <w:t>lee@lge</w:t>
            </w:r>
            <w:r>
              <w:rPr>
                <w:rStyle w:val="38"/>
                <w:lang w:eastAsia="ko-KR"/>
              </w:rPr>
              <w:fldChar w:fldCharType="end"/>
            </w:r>
            <w:r>
              <w:rPr>
                <w:lang w:eastAsia="ko-KR"/>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宋体"/>
                <w:lang w:val="en-US" w:eastAsia="zh-CN"/>
              </w:rPr>
            </w:pPr>
            <w:r>
              <w:rPr>
                <w:rFonts w:hint="eastAsia" w:eastAsia="宋体"/>
                <w:lang w:val="en-US" w:eastAsia="zh-CN"/>
              </w:rPr>
              <w:t>ZTE, Sanechips</w:t>
            </w:r>
          </w:p>
        </w:tc>
        <w:tc>
          <w:tcPr>
            <w:tcW w:w="2410" w:type="dxa"/>
          </w:tcPr>
          <w:p>
            <w:pPr>
              <w:spacing w:after="0"/>
              <w:jc w:val="center"/>
              <w:rPr>
                <w:rFonts w:eastAsia="宋体"/>
                <w:lang w:val="en-US" w:eastAsia="zh-CN"/>
              </w:rPr>
            </w:pPr>
            <w:r>
              <w:rPr>
                <w:rFonts w:hint="eastAsia" w:eastAsia="宋体"/>
                <w:lang w:val="en-US" w:eastAsia="zh-CN"/>
              </w:rPr>
              <w:t>Youjun Hu</w:t>
            </w:r>
          </w:p>
        </w:tc>
        <w:tc>
          <w:tcPr>
            <w:tcW w:w="4110" w:type="dxa"/>
          </w:tcPr>
          <w:p>
            <w:pPr>
              <w:spacing w:after="0"/>
              <w:jc w:val="center"/>
              <w:rPr>
                <w:rFonts w:eastAsia="宋体"/>
                <w:lang w:val="en-US" w:eastAsia="zh-CN"/>
              </w:rPr>
            </w:pPr>
            <w:r>
              <w:fldChar w:fldCharType="begin"/>
            </w:r>
            <w:r>
              <w:instrText xml:space="preserve"> HYPERLINK "mailto:hu.youjun1@zte" </w:instrText>
            </w:r>
            <w:r>
              <w:fldChar w:fldCharType="separate"/>
            </w:r>
            <w:r>
              <w:rPr>
                <w:rStyle w:val="38"/>
                <w:rFonts w:hint="eastAsia" w:eastAsia="宋体"/>
                <w:lang w:val="en-US" w:eastAsia="zh-CN"/>
              </w:rPr>
              <w:t>hu.youjun1@zte</w:t>
            </w:r>
            <w:r>
              <w:rPr>
                <w:rStyle w:val="38"/>
                <w:rFonts w:hint="eastAsia" w:eastAsia="宋体"/>
                <w:lang w:val="en-US" w:eastAsia="zh-CN"/>
              </w:rPr>
              <w:fldChar w:fldCharType="end"/>
            </w:r>
            <w:r>
              <w:rPr>
                <w:rFonts w:hint="eastAsia" w:eastAsia="宋体"/>
                <w:lang w:val="en-US" w:eastAsia="zh-CN"/>
              </w:rPr>
              <w:t>.com.cn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eastAsiaTheme="minorEastAsia"/>
                <w:lang w:eastAsia="zh-CN"/>
              </w:rPr>
              <w:t>Xiaomi</w:t>
            </w:r>
          </w:p>
        </w:tc>
        <w:tc>
          <w:tcPr>
            <w:tcW w:w="2410" w:type="dxa"/>
          </w:tcPr>
          <w:p>
            <w:pPr>
              <w:spacing w:after="0"/>
              <w:jc w:val="center"/>
              <w:rPr>
                <w:rFonts w:eastAsiaTheme="minorEastAsia"/>
                <w:lang w:eastAsia="zh-CN"/>
              </w:rPr>
            </w:pPr>
            <w:r>
              <w:rPr>
                <w:rFonts w:hint="eastAsia" w:eastAsiaTheme="minorEastAsia"/>
                <w:lang w:eastAsia="zh-CN"/>
              </w:rPr>
              <w:t>Q</w:t>
            </w:r>
            <w:r>
              <w:rPr>
                <w:rFonts w:eastAsiaTheme="minorEastAsia"/>
                <w:lang w:eastAsia="zh-CN"/>
              </w:rPr>
              <w:t>in MU</w:t>
            </w:r>
          </w:p>
        </w:tc>
        <w:tc>
          <w:tcPr>
            <w:tcW w:w="4110" w:type="dxa"/>
          </w:tcPr>
          <w:p>
            <w:pPr>
              <w:spacing w:after="0"/>
              <w:jc w:val="center"/>
              <w:rPr>
                <w:rFonts w:eastAsiaTheme="minorEastAsia"/>
                <w:lang w:eastAsia="zh-CN"/>
              </w:rPr>
            </w:pPr>
            <w:r>
              <w:rPr>
                <w:rFonts w:hint="eastAsia" w:eastAsiaTheme="minorEastAsia"/>
                <w:lang w:eastAsia="zh-CN"/>
              </w:rPr>
              <w:t>mu</w:t>
            </w:r>
            <w:r>
              <w:rPr>
                <w:rFonts w:eastAsiaTheme="minorEastAsia"/>
                <w:lang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eastAsiaTheme="minorEastAsia"/>
                <w:lang w:eastAsia="zh-CN"/>
              </w:rPr>
              <w:t>Ericsson</w:t>
            </w:r>
          </w:p>
        </w:tc>
        <w:tc>
          <w:tcPr>
            <w:tcW w:w="2410" w:type="dxa"/>
          </w:tcPr>
          <w:p>
            <w:pPr>
              <w:spacing w:after="0"/>
              <w:jc w:val="center"/>
              <w:rPr>
                <w:rFonts w:eastAsiaTheme="minorEastAsia"/>
                <w:lang w:eastAsia="zh-CN"/>
              </w:rPr>
            </w:pPr>
            <w:r>
              <w:rPr>
                <w:rFonts w:eastAsiaTheme="minorEastAsia"/>
                <w:lang w:eastAsia="zh-CN"/>
              </w:rPr>
              <w:t>Johan Bergman</w:t>
            </w:r>
          </w:p>
        </w:tc>
        <w:tc>
          <w:tcPr>
            <w:tcW w:w="4110" w:type="dxa"/>
          </w:tcPr>
          <w:p>
            <w:pPr>
              <w:spacing w:after="0"/>
              <w:jc w:val="center"/>
              <w:rPr>
                <w:rFonts w:eastAsiaTheme="minorEastAsia"/>
                <w:lang w:eastAsia="zh-CN"/>
              </w:rPr>
            </w:pPr>
            <w:r>
              <w:fldChar w:fldCharType="begin"/>
            </w:r>
            <w:r>
              <w:instrText xml:space="preserve"> HYPERLINK "mailto:johan.bergman@ericsson" </w:instrText>
            </w:r>
            <w:r>
              <w:fldChar w:fldCharType="separate"/>
            </w:r>
            <w:r>
              <w:rPr>
                <w:rStyle w:val="38"/>
                <w:rFonts w:eastAsiaTheme="minorEastAsia"/>
                <w:lang w:eastAsia="zh-CN"/>
              </w:rPr>
              <w:t>johan.bergman@ericsson</w:t>
            </w:r>
            <w:r>
              <w:rPr>
                <w:rStyle w:val="38"/>
                <w:rFonts w:eastAsiaTheme="minorEastAsia"/>
                <w:lang w:eastAsia="zh-CN"/>
              </w:rPr>
              <w:fldChar w:fldCharType="end"/>
            </w:r>
            <w:r>
              <w:rPr>
                <w:rFonts w:eastAsiaTheme="minorEastAsia"/>
                <w:lang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Futurewei</w:t>
            </w:r>
          </w:p>
        </w:tc>
        <w:tc>
          <w:tcPr>
            <w:tcW w:w="2410" w:type="dxa"/>
          </w:tcPr>
          <w:p>
            <w:pPr>
              <w:spacing w:after="0"/>
              <w:jc w:val="center"/>
            </w:pPr>
            <w:r>
              <w:t>Vip Desai</w:t>
            </w:r>
          </w:p>
        </w:tc>
        <w:tc>
          <w:tcPr>
            <w:tcW w:w="4110" w:type="dxa"/>
          </w:tcPr>
          <w:p>
            <w:pPr>
              <w:spacing w:after="0"/>
              <w:jc w:val="center"/>
            </w:pPr>
            <w:r>
              <w:fldChar w:fldCharType="begin"/>
            </w:r>
            <w:r>
              <w:instrText xml:space="preserve"> HYPERLINK "mailto:" </w:instrText>
            </w:r>
            <w:r>
              <w:fldChar w:fldCharType="separate"/>
            </w:r>
            <w:r>
              <w:rPr>
                <w:rStyle w:val="38"/>
              </w:rPr>
              <w:pgNum/>
            </w:r>
            <w:r>
              <w:rPr>
                <w:rStyle w:val="38"/>
              </w:rPr>
              <w:t>enov.desai@futurewei</w:t>
            </w:r>
            <w:r>
              <w:rPr>
                <w:rStyle w:val="38"/>
              </w:rPr>
              <w:fldChar w:fldCharType="end"/>
            </w:r>
            <w: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Nordic</w:t>
            </w:r>
          </w:p>
        </w:tc>
        <w:tc>
          <w:tcPr>
            <w:tcW w:w="2410" w:type="dxa"/>
          </w:tcPr>
          <w:p>
            <w:pPr>
              <w:spacing w:after="0"/>
              <w:jc w:val="center"/>
            </w:pPr>
            <w:r>
              <w:t>Karol Schober</w:t>
            </w:r>
          </w:p>
        </w:tc>
        <w:tc>
          <w:tcPr>
            <w:tcW w:w="4110" w:type="dxa"/>
          </w:tcPr>
          <w:p>
            <w:pPr>
              <w:spacing w:after="0"/>
              <w:jc w:val="center"/>
            </w:pPr>
            <w:r>
              <w:fldChar w:fldCharType="begin"/>
            </w:r>
            <w:r>
              <w:instrText xml:space="preserve"> HYPERLINK "mailto:karol.schober@nordicsemi" </w:instrText>
            </w:r>
            <w:r>
              <w:fldChar w:fldCharType="separate"/>
            </w:r>
            <w:r>
              <w:rPr>
                <w:rStyle w:val="38"/>
              </w:rPr>
              <w:t>karol.schober@nordicsemi</w:t>
            </w:r>
            <w:r>
              <w:rPr>
                <w:rStyle w:val="38"/>
              </w:rPr>
              <w:fldChar w:fldCharType="end"/>
            </w: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Intel Corporation</w:t>
            </w:r>
          </w:p>
        </w:tc>
        <w:tc>
          <w:tcPr>
            <w:tcW w:w="2410" w:type="dxa"/>
          </w:tcPr>
          <w:p>
            <w:pPr>
              <w:spacing w:after="0"/>
            </w:pPr>
            <w:r>
              <w:t>Debdeep Chatterjee</w:t>
            </w:r>
          </w:p>
        </w:tc>
        <w:tc>
          <w:tcPr>
            <w:tcW w:w="4110" w:type="dxa"/>
          </w:tcPr>
          <w:p>
            <w:pPr>
              <w:spacing w:after="0"/>
            </w:pPr>
            <w:r>
              <w:fldChar w:fldCharType="begin"/>
            </w:r>
            <w:r>
              <w:instrText xml:space="preserve"> HYPERLINK "mailto:debdeep.chatterjee@intel" </w:instrText>
            </w:r>
            <w:r>
              <w:fldChar w:fldCharType="separate"/>
            </w:r>
            <w:r>
              <w:rPr>
                <w:rStyle w:val="38"/>
              </w:rPr>
              <w:t>debdeep.chatterjee@intel</w:t>
            </w:r>
            <w:r>
              <w:rPr>
                <w:rStyle w:val="38"/>
              </w:rPr>
              <w:fldChar w:fldCharType="end"/>
            </w:r>
            <w: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eastAsia="ja-JP"/>
              </w:rPr>
            </w:pPr>
            <w:r>
              <w:rPr>
                <w:rFonts w:hint="eastAsia" w:eastAsia="Yu Mincho"/>
                <w:lang w:eastAsia="ja-JP"/>
              </w:rPr>
              <w:t>P</w:t>
            </w:r>
            <w:r>
              <w:rPr>
                <w:rFonts w:eastAsia="Yu Mincho"/>
                <w:lang w:eastAsia="ja-JP"/>
              </w:rPr>
              <w:t>anasonic</w:t>
            </w:r>
          </w:p>
        </w:tc>
        <w:tc>
          <w:tcPr>
            <w:tcW w:w="2410" w:type="dxa"/>
          </w:tcPr>
          <w:p>
            <w:pPr>
              <w:spacing w:after="0"/>
              <w:jc w:val="center"/>
              <w:rPr>
                <w:rFonts w:eastAsia="Yu Mincho"/>
                <w:lang w:eastAsia="ja-JP"/>
              </w:rPr>
            </w:pPr>
            <w:r>
              <w:rPr>
                <w:rFonts w:hint="eastAsia" w:eastAsia="Yu Mincho"/>
                <w:lang w:eastAsia="ja-JP"/>
              </w:rPr>
              <w:t>S</w:t>
            </w:r>
            <w:r>
              <w:rPr>
                <w:rFonts w:eastAsia="Yu Mincho"/>
                <w:lang w:eastAsia="ja-JP"/>
              </w:rPr>
              <w:t>hotaro Maki</w:t>
            </w:r>
          </w:p>
        </w:tc>
        <w:tc>
          <w:tcPr>
            <w:tcW w:w="4110" w:type="dxa"/>
          </w:tcPr>
          <w:p>
            <w:pPr>
              <w:spacing w:after="0"/>
              <w:jc w:val="center"/>
            </w:pPr>
            <w:r>
              <w:fldChar w:fldCharType="begin"/>
            </w:r>
            <w:r>
              <w:instrText xml:space="preserve"> HYPERLINK "mailto:maki.shotaro@jp" </w:instrText>
            </w:r>
            <w:r>
              <w:fldChar w:fldCharType="separate"/>
            </w:r>
            <w:r>
              <w:rPr>
                <w:rStyle w:val="38"/>
                <w:rFonts w:eastAsia="Yu Mincho"/>
                <w:lang w:eastAsia="ja-JP"/>
              </w:rPr>
              <w:t>maki.shotaro@jp</w:t>
            </w:r>
            <w:r>
              <w:rPr>
                <w:rStyle w:val="38"/>
                <w:rFonts w:eastAsia="Yu Mincho"/>
                <w:lang w:eastAsia="ja-JP"/>
              </w:rPr>
              <w:fldChar w:fldCharType="end"/>
            </w:r>
            <w:r>
              <w:rPr>
                <w:rFonts w:eastAsia="Yu Mincho"/>
                <w:lang w:eastAsia="ja-JP"/>
              </w:rPr>
              <w:t>.panasonic.com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Lenovo, Motorola Mobility</w:t>
            </w:r>
          </w:p>
        </w:tc>
        <w:tc>
          <w:tcPr>
            <w:tcW w:w="2410" w:type="dxa"/>
          </w:tcPr>
          <w:p>
            <w:pPr>
              <w:spacing w:after="0"/>
              <w:jc w:val="center"/>
            </w:pPr>
            <w:r>
              <w:t>Yuantao Zhang</w:t>
            </w:r>
          </w:p>
        </w:tc>
        <w:tc>
          <w:tcPr>
            <w:tcW w:w="4110" w:type="dxa"/>
          </w:tcPr>
          <w:p>
            <w:pPr>
              <w:spacing w:after="0"/>
              <w:jc w:val="center"/>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2410" w:type="dxa"/>
          </w:tcPr>
          <w:p>
            <w:pPr>
              <w:spacing w:after="0"/>
              <w:jc w:val="center"/>
            </w:pPr>
            <w:r>
              <w:rPr>
                <w:rFonts w:hint="eastAsia" w:eastAsiaTheme="minorEastAsia"/>
                <w:lang w:eastAsia="zh-CN"/>
              </w:rPr>
              <w:t>J</w:t>
            </w:r>
            <w:r>
              <w:rPr>
                <w:rFonts w:eastAsiaTheme="minorEastAsia"/>
                <w:lang w:eastAsia="zh-CN"/>
              </w:rPr>
              <w:t>ing Guo</w:t>
            </w:r>
          </w:p>
        </w:tc>
        <w:tc>
          <w:tcPr>
            <w:tcW w:w="4110" w:type="dxa"/>
          </w:tcPr>
          <w:p>
            <w:pPr>
              <w:spacing w:after="0"/>
              <w:jc w:val="center"/>
            </w:pPr>
            <w:r>
              <w:t>g</w:t>
            </w:r>
            <w:r>
              <w:rPr>
                <w:rFonts w:hint="eastAsia"/>
              </w:rPr>
              <w:t>uojing</w:t>
            </w:r>
            <w:r>
              <w:t>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NEC</w:t>
            </w:r>
          </w:p>
        </w:tc>
        <w:tc>
          <w:tcPr>
            <w:tcW w:w="2410" w:type="dxa"/>
          </w:tcPr>
          <w:p>
            <w:pPr>
              <w:spacing w:after="0"/>
              <w:jc w:val="center"/>
            </w:pPr>
            <w:r>
              <w:t>Takahiro Sasaki</w:t>
            </w:r>
          </w:p>
        </w:tc>
        <w:tc>
          <w:tcPr>
            <w:tcW w:w="4110" w:type="dxa"/>
          </w:tcPr>
          <w:p>
            <w:pPr>
              <w:spacing w:after="0"/>
              <w:jc w:val="center"/>
            </w:pPr>
            <w: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Sierra Wireless</w:t>
            </w:r>
          </w:p>
        </w:tc>
        <w:tc>
          <w:tcPr>
            <w:tcW w:w="2410" w:type="dxa"/>
          </w:tcPr>
          <w:p>
            <w:pPr>
              <w:spacing w:after="0"/>
              <w:jc w:val="center"/>
            </w:pPr>
            <w:r>
              <w:t>Serkan Dost</w:t>
            </w:r>
          </w:p>
        </w:tc>
        <w:tc>
          <w:tcPr>
            <w:tcW w:w="4110" w:type="dxa"/>
          </w:tcPr>
          <w:p>
            <w:pPr>
              <w:spacing w:after="0"/>
              <w:jc w:val="center"/>
            </w:pPr>
            <w: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spacing w:after="0"/>
        <w:rPr>
          <w:rFonts w:ascii="Arial" w:hAnsi="Arial"/>
          <w:sz w:val="36"/>
        </w:rPr>
      </w:pPr>
      <w:r>
        <w:br w:type="page"/>
      </w:r>
    </w:p>
    <w:p>
      <w:pPr>
        <w:pStyle w:val="2"/>
        <w:numPr>
          <w:ilvl w:val="0"/>
          <w:numId w:val="0"/>
        </w:numPr>
        <w:ind w:left="432" w:hanging="432"/>
      </w:pPr>
      <w:bookmarkStart w:id="25" w:name="_Toc84709396"/>
      <w:r>
        <w:t>References</w:t>
      </w:r>
      <w:bookmarkEnd w:id="25"/>
    </w:p>
    <w:p>
      <w:pPr>
        <w:numPr>
          <w:ilvl w:val="0"/>
          <w:numId w:val="32"/>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r>
      <w:r>
        <w:t>Ericsson</w:t>
      </w:r>
    </w:p>
    <w:p>
      <w:pPr>
        <w:numPr>
          <w:ilvl w:val="0"/>
          <w:numId w:val="32"/>
        </w:numPr>
        <w:overflowPunct w:val="0"/>
        <w:autoSpaceDE w:val="0"/>
        <w:autoSpaceDN w:val="0"/>
        <w:adjustRightInd w:val="0"/>
        <w:ind w:left="418" w:hanging="418"/>
        <w:jc w:val="both"/>
        <w:textAlignment w:val="baseline"/>
      </w:pPr>
      <w:r>
        <w:t>R1-2108271,</w:t>
      </w:r>
      <w:r>
        <w:tab/>
      </w:r>
      <w:r>
        <w:t>RAN1 agreements for Rel-17 NR RedCap</w:t>
      </w:r>
      <w:r>
        <w:tab/>
      </w:r>
      <w:r>
        <w:tab/>
      </w:r>
      <w:r>
        <w:t>Rapporteur (Ericsson)</w:t>
      </w:r>
      <w:bookmarkEnd w:id="21"/>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"file:///C:\\Users\\honghe\\Docs\\R1-2108755.zip" </w:instrText>
      </w:r>
      <w:r>
        <w:fldChar w:fldCharType="separate"/>
      </w:r>
      <w:r>
        <w:rPr>
          <w:rStyle w:val="38"/>
          <w:iCs/>
          <w:lang w:eastAsia="zh-CN"/>
        </w:rPr>
        <w:t>R1-2108755</w:t>
      </w:r>
      <w:r>
        <w:rPr>
          <w:rStyle w:val="38"/>
          <w:iCs/>
          <w:lang w:eastAsia="zh-CN"/>
        </w:rPr>
        <w:fldChar w:fldCharType="end"/>
      </w:r>
      <w:r>
        <w:rPr>
          <w:iCs/>
          <w:lang w:eastAsia="zh-CN"/>
        </w:rPr>
        <w:tab/>
      </w:r>
      <w:r>
        <w:rPr>
          <w:iCs/>
          <w:lang w:eastAsia="zh-CN"/>
        </w:rPr>
        <w:t>RAN1 aspects of RedCap UE type and identification</w:t>
      </w:r>
      <w:r>
        <w:rPr>
          <w:iCs/>
          <w:lang w:eastAsia="zh-CN"/>
        </w:rPr>
        <w:tab/>
      </w:r>
      <w:r>
        <w:rPr>
          <w:iCs/>
          <w:lang w:eastAsia="zh-CN"/>
        </w:rPr>
        <w:t>Huawei, HiSilicon</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"file:///C:\\Users\\honghe\\Docs\\R1-2108803.zip" </w:instrText>
      </w:r>
      <w:r>
        <w:fldChar w:fldCharType="separate"/>
      </w:r>
      <w:r>
        <w:rPr>
          <w:rStyle w:val="38"/>
          <w:iCs/>
          <w:lang w:eastAsia="zh-CN"/>
        </w:rPr>
        <w:t>R1-2108803</w:t>
      </w:r>
      <w:r>
        <w:rPr>
          <w:rStyle w:val="38"/>
          <w:iCs/>
          <w:lang w:eastAsia="zh-CN"/>
        </w:rPr>
        <w:fldChar w:fldCharType="end"/>
      </w:r>
      <w:r>
        <w:rPr>
          <w:iCs/>
          <w:lang w:eastAsia="zh-CN"/>
        </w:rPr>
        <w:tab/>
      </w:r>
      <w:r>
        <w:rPr>
          <w:iCs/>
          <w:lang w:eastAsia="zh-CN"/>
        </w:rPr>
        <w:t>Discussion on the Capabilities of RedCap UEs</w:t>
      </w:r>
      <w:r>
        <w:rPr>
          <w:iCs/>
          <w:lang w:eastAsia="zh-CN"/>
        </w:rPr>
        <w:tab/>
      </w:r>
      <w:r>
        <w:rPr>
          <w:iCs/>
          <w:lang w:eastAsia="zh-CN"/>
        </w:rPr>
        <w:t>FUTUREWEI</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"file:///C:\\Users\\honghe\\Docs\\R1-2108823.zip" </w:instrText>
      </w:r>
      <w:r>
        <w:fldChar w:fldCharType="separate"/>
      </w:r>
      <w:r>
        <w:rPr>
          <w:rStyle w:val="38"/>
          <w:iCs/>
          <w:lang w:eastAsia="zh-CN"/>
        </w:rPr>
        <w:t>R1-2108823</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Ericsson</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"file:///C:\\Users\\honghe\\Docs\\R1-2108915.zip" </w:instrText>
      </w:r>
      <w:r>
        <w:fldChar w:fldCharType="separate"/>
      </w:r>
      <w:r>
        <w:rPr>
          <w:rStyle w:val="38"/>
          <w:iCs/>
          <w:lang w:eastAsia="zh-CN"/>
        </w:rPr>
        <w:t>R1-2108915</w:t>
      </w:r>
      <w:r>
        <w:rPr>
          <w:rStyle w:val="38"/>
          <w:iCs/>
          <w:lang w:eastAsia="zh-CN"/>
        </w:rPr>
        <w:fldChar w:fldCharType="end"/>
      </w:r>
      <w:r>
        <w:rPr>
          <w:iCs/>
          <w:lang w:eastAsia="zh-CN"/>
        </w:rPr>
        <w:tab/>
      </w:r>
      <w:r>
        <w:rPr>
          <w:iCs/>
          <w:lang w:eastAsia="zh-CN"/>
        </w:rPr>
        <w:t>Discussion on early indication for Redcap UE</w:t>
      </w:r>
      <w:r>
        <w:rPr>
          <w:iCs/>
          <w:lang w:eastAsia="zh-CN"/>
        </w:rPr>
        <w:tab/>
      </w:r>
      <w:r>
        <w:rPr>
          <w:iCs/>
          <w:lang w:eastAsia="zh-CN"/>
        </w:rPr>
        <w:t>Spreadtrum Communications</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"file:///C:\\Users\\honghe\\Docs\\R1-2108983.zip" </w:instrText>
      </w:r>
      <w:r>
        <w:fldChar w:fldCharType="separate"/>
      </w:r>
      <w:r>
        <w:rPr>
          <w:rStyle w:val="38"/>
          <w:iCs/>
          <w:lang w:eastAsia="zh-CN"/>
        </w:rPr>
        <w:t>R1-2108983</w:t>
      </w:r>
      <w:r>
        <w:rPr>
          <w:rStyle w:val="38"/>
          <w:iCs/>
          <w:lang w:eastAsia="zh-CN"/>
        </w:rPr>
        <w:fldChar w:fldCharType="end"/>
      </w:r>
      <w:r>
        <w:rPr>
          <w:iCs/>
          <w:lang w:eastAsia="zh-CN"/>
        </w:rPr>
        <w:tab/>
      </w:r>
      <w:r>
        <w:rPr>
          <w:iCs/>
          <w:lang w:eastAsia="zh-CN"/>
        </w:rPr>
        <w:t>Higher layer support for RedCap</w:t>
      </w:r>
      <w:r>
        <w:rPr>
          <w:iCs/>
          <w:lang w:eastAsia="zh-CN"/>
        </w:rPr>
        <w:tab/>
      </w:r>
      <w:r>
        <w:rPr>
          <w:iCs/>
          <w:lang w:eastAsia="zh-CN"/>
        </w:rPr>
        <w:t>vivo, Guangdong Genius</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"file:///C:\\Users\\honghe\\Docs\\R1-2109084.zip" </w:instrText>
      </w:r>
      <w:r>
        <w:fldChar w:fldCharType="separate"/>
      </w:r>
      <w:r>
        <w:rPr>
          <w:rStyle w:val="38"/>
          <w:iCs/>
          <w:lang w:eastAsia="zh-CN"/>
        </w:rPr>
        <w:t>R1-2109084</w:t>
      </w:r>
      <w:r>
        <w:rPr>
          <w:rStyle w:val="38"/>
          <w:iCs/>
          <w:lang w:eastAsia="zh-CN"/>
        </w:rPr>
        <w:fldChar w:fldCharType="end"/>
      </w:r>
      <w:r>
        <w:rPr>
          <w:iCs/>
          <w:lang w:eastAsia="zh-CN"/>
        </w:rPr>
        <w:tab/>
      </w:r>
      <w:r>
        <w:rPr>
          <w:iCs/>
          <w:lang w:eastAsia="zh-CN"/>
        </w:rPr>
        <w:t>Mechanism in higher&amp;PHY layer for Reduced Capability NR Devices</w:t>
      </w:r>
      <w:r>
        <w:rPr>
          <w:iCs/>
          <w:lang w:eastAsia="zh-CN"/>
        </w:rPr>
        <w:tab/>
      </w:r>
      <w:r>
        <w:rPr>
          <w:iCs/>
          <w:lang w:eastAsia="zh-CN"/>
        </w:rPr>
        <w:t>OPPO</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"file:///C:\\Users\\honghe\\Docs\\R1-2109233.zip" </w:instrText>
      </w:r>
      <w:r>
        <w:fldChar w:fldCharType="separate"/>
      </w:r>
      <w:r>
        <w:rPr>
          <w:rStyle w:val="38"/>
          <w:iCs/>
          <w:lang w:eastAsia="zh-CN"/>
        </w:rPr>
        <w:t>R1-2109233</w:t>
      </w:r>
      <w:r>
        <w:rPr>
          <w:rStyle w:val="38"/>
          <w:iCs/>
          <w:lang w:eastAsia="zh-CN"/>
        </w:rPr>
        <w:fldChar w:fldCharType="end"/>
      </w:r>
      <w:r>
        <w:rPr>
          <w:iCs/>
          <w:lang w:eastAsia="zh-CN"/>
        </w:rPr>
        <w:tab/>
      </w:r>
      <w:r>
        <w:rPr>
          <w:iCs/>
          <w:lang w:eastAsia="zh-CN"/>
        </w:rPr>
        <w:t>Discussion on higher layer support of RedCap</w:t>
      </w:r>
      <w:r>
        <w:rPr>
          <w:iCs/>
          <w:lang w:eastAsia="zh-CN"/>
        </w:rPr>
        <w:tab/>
      </w:r>
      <w:r>
        <w:rPr>
          <w:iCs/>
          <w:lang w:eastAsia="zh-CN"/>
        </w:rPr>
        <w:t>CATT</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"file:///C:\\Users\\honghe\\Docs\\R1-2109254.zip" </w:instrText>
      </w:r>
      <w:r>
        <w:fldChar w:fldCharType="separate"/>
      </w:r>
      <w:r>
        <w:rPr>
          <w:rStyle w:val="38"/>
          <w:iCs/>
          <w:lang w:eastAsia="zh-CN"/>
        </w:rPr>
        <w:t>R1-2109254</w:t>
      </w:r>
      <w:r>
        <w:rPr>
          <w:rStyle w:val="38"/>
          <w:iCs/>
          <w:lang w:eastAsia="zh-CN"/>
        </w:rPr>
        <w:fldChar w:fldCharType="end"/>
      </w:r>
      <w:r>
        <w:rPr>
          <w:iCs/>
          <w:lang w:eastAsia="zh-CN"/>
        </w:rPr>
        <w:tab/>
      </w:r>
      <w:r>
        <w:rPr>
          <w:iCs/>
          <w:lang w:eastAsia="zh-CN"/>
        </w:rPr>
        <w:t>Discussion on RAN1 aspects for RAN2-led features for RedCap</w:t>
      </w:r>
      <w:r>
        <w:rPr>
          <w:iCs/>
          <w:lang w:eastAsia="zh-CN"/>
        </w:rPr>
        <w:tab/>
      </w:r>
      <w:r>
        <w:rPr>
          <w:iCs/>
          <w:lang w:eastAsia="zh-CN"/>
        </w:rPr>
        <w:t xml:space="preserve"> China Telecom</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"file:///C:\\Users\\honghe\\Docs\\R1-2109290.zip" </w:instrText>
      </w:r>
      <w:r>
        <w:fldChar w:fldCharType="separate"/>
      </w:r>
      <w:r>
        <w:rPr>
          <w:rStyle w:val="38"/>
          <w:iCs/>
          <w:lang w:eastAsia="zh-CN"/>
        </w:rPr>
        <w:t>R1-2109290</w:t>
      </w:r>
      <w:r>
        <w:rPr>
          <w:rStyle w:val="38"/>
          <w:iCs/>
          <w:lang w:eastAsia="zh-CN"/>
        </w:rPr>
        <w:fldChar w:fldCharType="end"/>
      </w:r>
      <w:r>
        <w:rPr>
          <w:iCs/>
          <w:lang w:eastAsia="zh-CN"/>
        </w:rPr>
        <w:tab/>
      </w:r>
      <w:r>
        <w:rPr>
          <w:iCs/>
          <w:lang w:eastAsia="zh-CN"/>
        </w:rPr>
        <w:t>Discussion on RAN1 aspects for RAN2-led features for RedCap</w:t>
      </w:r>
      <w:r>
        <w:rPr>
          <w:iCs/>
          <w:lang w:eastAsia="zh-CN"/>
        </w:rPr>
        <w:tab/>
      </w:r>
      <w:r>
        <w:rPr>
          <w:iCs/>
          <w:lang w:eastAsia="zh-CN"/>
        </w:rPr>
        <w:t>CMCC</w:t>
      </w:r>
    </w:p>
    <w:p>
      <w:pPr>
        <w:pStyle w:val="48"/>
        <w:numPr>
          <w:ilvl w:val="0"/>
          <w:numId w:val="32"/>
        </w:numPr>
        <w:spacing w:line="240" w:lineRule="auto"/>
        <w:ind w:left="418" w:hanging="418"/>
        <w:contextualSpacing w:val="0"/>
        <w:rPr>
          <w:iCs/>
          <w:lang w:eastAsia="zh-CN"/>
        </w:rPr>
      </w:pPr>
      <w:r>
        <w:rPr>
          <w:iCs/>
          <w:lang w:eastAsia="zh-CN"/>
        </w:rPr>
        <w:t>R1-2109312</w:t>
      </w:r>
      <w:r>
        <w:rPr>
          <w:iCs/>
          <w:lang w:eastAsia="zh-CN"/>
        </w:rPr>
        <w:tab/>
      </w:r>
      <w:r>
        <w:rPr>
          <w:iCs/>
          <w:lang w:eastAsia="zh-CN"/>
        </w:rPr>
        <w:t>Higher layer support of Reduced Capability NR Devices</w:t>
      </w:r>
      <w:r>
        <w:rPr>
          <w:iCs/>
          <w:lang w:eastAsia="zh-CN"/>
        </w:rPr>
        <w:tab/>
      </w:r>
      <w:r>
        <w:rPr>
          <w:iCs/>
          <w:lang w:eastAsia="zh-CN"/>
        </w:rPr>
        <w:t>Nokia, Nokia Shanghai Bell</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"file:///C:\\Users\\honghe\\Docs\\R1-2109327.zip" </w:instrText>
      </w:r>
      <w:r>
        <w:fldChar w:fldCharType="separate"/>
      </w:r>
      <w:r>
        <w:rPr>
          <w:rStyle w:val="38"/>
          <w:iCs/>
          <w:lang w:eastAsia="zh-CN"/>
        </w:rPr>
        <w:t>R1-2109327</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Lenovo, Motorola Mobility</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"file:///C:\\Users\\honghe\\Docs\\R1-2109335.zip" </w:instrText>
      </w:r>
      <w:r>
        <w:fldChar w:fldCharType="separate"/>
      </w:r>
      <w:r>
        <w:rPr>
          <w:rStyle w:val="38"/>
          <w:iCs/>
          <w:lang w:eastAsia="zh-CN"/>
        </w:rPr>
        <w:t>R1-2109335</w:t>
      </w:r>
      <w:r>
        <w:rPr>
          <w:rStyle w:val="38"/>
          <w:iCs/>
          <w:lang w:eastAsia="zh-CN"/>
        </w:rPr>
        <w:fldChar w:fldCharType="end"/>
      </w:r>
      <w:r>
        <w:rPr>
          <w:iCs/>
          <w:lang w:eastAsia="zh-CN"/>
        </w:rPr>
        <w:tab/>
      </w:r>
      <w:r>
        <w:rPr>
          <w:iCs/>
          <w:lang w:eastAsia="zh-CN"/>
        </w:rPr>
        <w:t>Higher layer support of Reduced Capability NR devices</w:t>
      </w:r>
      <w:r>
        <w:rPr>
          <w:iCs/>
          <w:lang w:eastAsia="zh-CN"/>
        </w:rPr>
        <w:tab/>
      </w:r>
      <w:r>
        <w:rPr>
          <w:iCs/>
          <w:lang w:eastAsia="zh-CN"/>
        </w:rPr>
        <w:t>ZTE, Sanechips</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"file:///C:\\Users\\honghe\\Docs\\R1-2109420.zip" </w:instrText>
      </w:r>
      <w:r>
        <w:fldChar w:fldCharType="separate"/>
      </w:r>
      <w:r>
        <w:rPr>
          <w:rStyle w:val="38"/>
          <w:iCs/>
          <w:lang w:eastAsia="zh-CN"/>
        </w:rPr>
        <w:t>R1-2109420</w:t>
      </w:r>
      <w:r>
        <w:rPr>
          <w:rStyle w:val="38"/>
          <w:iCs/>
          <w:lang w:eastAsia="zh-CN"/>
        </w:rPr>
        <w:fldChar w:fldCharType="end"/>
      </w:r>
      <w:r>
        <w:rPr>
          <w:iCs/>
          <w:lang w:eastAsia="zh-CN"/>
        </w:rPr>
        <w:tab/>
      </w:r>
      <w:r>
        <w:rPr>
          <w:iCs/>
          <w:lang w:eastAsia="zh-CN"/>
        </w:rPr>
        <w:t>Discussion on the remaining issues of higher layer related topics for RedCap</w:t>
      </w:r>
      <w:r>
        <w:rPr>
          <w:iCs/>
          <w:lang w:eastAsia="zh-CN"/>
        </w:rPr>
        <w:tab/>
      </w:r>
      <w:r>
        <w:rPr>
          <w:iCs/>
          <w:lang w:eastAsia="zh-CN"/>
        </w:rPr>
        <w:t>Xiaomi</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"file:///C:\\Users\\honghe\\Docs\\R1-2109499.zip" </w:instrText>
      </w:r>
      <w:r>
        <w:fldChar w:fldCharType="separate"/>
      </w:r>
      <w:r>
        <w:rPr>
          <w:rStyle w:val="38"/>
          <w:iCs/>
          <w:lang w:eastAsia="zh-CN"/>
        </w:rPr>
        <w:t>R1-2109499</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Samsung</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"file:///C:\\Users\\honghe\\Docs\\R1-2109620.zip" </w:instrText>
      </w:r>
      <w:r>
        <w:fldChar w:fldCharType="separate"/>
      </w:r>
      <w:r>
        <w:rPr>
          <w:rStyle w:val="38"/>
          <w:iCs/>
          <w:lang w:eastAsia="zh-CN"/>
        </w:rPr>
        <w:t>R1-2109620</w:t>
      </w:r>
      <w:r>
        <w:rPr>
          <w:rStyle w:val="38"/>
          <w:iCs/>
          <w:lang w:eastAsia="zh-CN"/>
        </w:rPr>
        <w:fldChar w:fldCharType="end"/>
      </w:r>
      <w:r>
        <w:rPr>
          <w:iCs/>
          <w:lang w:eastAsia="zh-CN"/>
        </w:rPr>
        <w:tab/>
      </w:r>
      <w:r>
        <w:rPr>
          <w:iCs/>
          <w:lang w:eastAsia="zh-CN"/>
        </w:rPr>
        <w:t>On RAN1 aspects for RAN2-led objectives for RedCap</w:t>
      </w:r>
      <w:r>
        <w:rPr>
          <w:iCs/>
          <w:lang w:eastAsia="zh-CN"/>
        </w:rPr>
        <w:tab/>
      </w:r>
      <w:r>
        <w:rPr>
          <w:iCs/>
          <w:lang w:eastAsia="zh-CN"/>
        </w:rPr>
        <w:t>Intel Corporation</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"file:///C:\\Users\\honghe\\Docs\\R1-2109687.zip" </w:instrText>
      </w:r>
      <w:r>
        <w:fldChar w:fldCharType="separate"/>
      </w:r>
      <w:r>
        <w:rPr>
          <w:rStyle w:val="38"/>
          <w:iCs/>
          <w:lang w:eastAsia="zh-CN"/>
        </w:rPr>
        <w:t>R1-2109687</w:t>
      </w:r>
      <w:r>
        <w:rPr>
          <w:rStyle w:val="38"/>
          <w:iCs/>
          <w:lang w:eastAsia="zh-CN"/>
        </w:rPr>
        <w:fldChar w:fldCharType="end"/>
      </w:r>
      <w:r>
        <w:rPr>
          <w:iCs/>
          <w:lang w:eastAsia="zh-CN"/>
        </w:rPr>
        <w:tab/>
      </w:r>
      <w:r>
        <w:rPr>
          <w:iCs/>
          <w:lang w:eastAsia="zh-CN"/>
        </w:rPr>
        <w:t>Discussion on RAN1 aspects for RAN2-led features for RedCap</w:t>
      </w:r>
      <w:r>
        <w:rPr>
          <w:iCs/>
          <w:lang w:eastAsia="zh-CN"/>
        </w:rPr>
        <w:tab/>
      </w:r>
      <w:r>
        <w:rPr>
          <w:iCs/>
          <w:lang w:eastAsia="zh-CN"/>
        </w:rPr>
        <w:t>NTT DOCOMO, INC.</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"file:///C:\\Users\\honghe\\Docs\\R1-2109726.zip" </w:instrText>
      </w:r>
      <w:r>
        <w:fldChar w:fldCharType="separate"/>
      </w:r>
      <w:r>
        <w:rPr>
          <w:rStyle w:val="38"/>
          <w:iCs/>
          <w:lang w:eastAsia="zh-CN"/>
        </w:rPr>
        <w:t>R1-2109726</w:t>
      </w:r>
      <w:r>
        <w:rPr>
          <w:rStyle w:val="38"/>
          <w:iCs/>
          <w:lang w:eastAsia="zh-CN"/>
        </w:rPr>
        <w:fldChar w:fldCharType="end"/>
      </w:r>
      <w:r>
        <w:rPr>
          <w:iCs/>
          <w:lang w:eastAsia="zh-CN"/>
        </w:rPr>
        <w:tab/>
      </w:r>
      <w:r>
        <w:rPr>
          <w:iCs/>
          <w:lang w:eastAsia="zh-CN"/>
        </w:rPr>
        <w:t>Design consideration for Higher layer support of RedCap</w:t>
      </w:r>
      <w:r>
        <w:rPr>
          <w:iCs/>
          <w:lang w:eastAsia="zh-CN"/>
        </w:rPr>
        <w:tab/>
      </w:r>
      <w:r>
        <w:rPr>
          <w:iCs/>
          <w:lang w:eastAsia="zh-CN"/>
        </w:rPr>
        <w:t>Sierra Wireless. S.A.</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"file:///C:\\Users\\honghe\\Docs\\R1-2109761.zip" </w:instrText>
      </w:r>
      <w:r>
        <w:fldChar w:fldCharType="separate"/>
      </w:r>
      <w:r>
        <w:rPr>
          <w:rStyle w:val="38"/>
          <w:iCs/>
          <w:lang w:eastAsia="zh-CN"/>
        </w:rPr>
        <w:t>R1-2109761</w:t>
      </w:r>
      <w:r>
        <w:rPr>
          <w:rStyle w:val="38"/>
          <w:iCs/>
          <w:lang w:eastAsia="zh-CN"/>
        </w:rPr>
        <w:fldChar w:fldCharType="end"/>
      </w:r>
      <w:r>
        <w:rPr>
          <w:iCs/>
          <w:lang w:eastAsia="zh-CN"/>
        </w:rPr>
        <w:tab/>
      </w:r>
      <w:r>
        <w:rPr>
          <w:iCs/>
          <w:lang w:eastAsia="zh-CN"/>
        </w:rPr>
        <w:t>Discussion on RedCap Type definition</w:t>
      </w:r>
      <w:r>
        <w:rPr>
          <w:iCs/>
          <w:lang w:eastAsia="zh-CN"/>
        </w:rPr>
        <w:tab/>
      </w:r>
      <w:r>
        <w:rPr>
          <w:iCs/>
          <w:lang w:eastAsia="zh-CN"/>
        </w:rPr>
        <w:t>NEC</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"file:///C:\\Users\\honghe\\Docs\\R1-2109854.zip" </w:instrText>
      </w:r>
      <w:r>
        <w:fldChar w:fldCharType="separate"/>
      </w:r>
      <w:r>
        <w:rPr>
          <w:rStyle w:val="38"/>
          <w:iCs/>
          <w:lang w:eastAsia="zh-CN"/>
        </w:rPr>
        <w:t>R1-2109854</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Panasonic Corporation</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"file:///C:\\Users\\honghe\\Docs\\R1-2109950.zip" </w:instrText>
      </w:r>
      <w:r>
        <w:fldChar w:fldCharType="separate"/>
      </w:r>
      <w:r>
        <w:rPr>
          <w:rStyle w:val="38"/>
          <w:iCs/>
          <w:lang w:eastAsia="zh-CN"/>
        </w:rPr>
        <w:t>R1-2109950</w:t>
      </w:r>
      <w:r>
        <w:rPr>
          <w:rStyle w:val="38"/>
          <w:iCs/>
          <w:lang w:eastAsia="zh-CN"/>
        </w:rPr>
        <w:fldChar w:fldCharType="end"/>
      </w:r>
      <w:r>
        <w:rPr>
          <w:iCs/>
          <w:lang w:eastAsia="zh-CN"/>
        </w:rPr>
        <w:tab/>
      </w:r>
      <w:r>
        <w:rPr>
          <w:iCs/>
          <w:lang w:eastAsia="zh-CN"/>
        </w:rPr>
        <w:t>Remaining RAN1 aspects of RAN2-led RedCap features</w:t>
      </w:r>
      <w:r>
        <w:rPr>
          <w:iCs/>
          <w:lang w:eastAsia="zh-CN"/>
        </w:rPr>
        <w:tab/>
      </w:r>
      <w:r>
        <w:rPr>
          <w:iCs/>
          <w:lang w:eastAsia="zh-CN"/>
        </w:rPr>
        <w:t>InterDigital, Inc.</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"file:///C:\\Users\\honghe\\Docs\\R1-2109978.zip" </w:instrText>
      </w:r>
      <w:r>
        <w:fldChar w:fldCharType="separate"/>
      </w:r>
      <w:r>
        <w:rPr>
          <w:rStyle w:val="38"/>
          <w:iCs/>
          <w:lang w:eastAsia="zh-CN"/>
        </w:rPr>
        <w:t>R1-2109978</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LG Electronics</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"file:///C:\\Users\\honghe\\Docs\\R1-2109998.zip" </w:instrText>
      </w:r>
      <w:r>
        <w:fldChar w:fldCharType="separate"/>
      </w:r>
      <w:r>
        <w:rPr>
          <w:rStyle w:val="38"/>
          <w:iCs/>
          <w:lang w:eastAsia="zh-CN"/>
        </w:rPr>
        <w:t>R1-2109998</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Sharp</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"file:///C:\\Users\\honghe\\Docs\\R1-2110196.zip" </w:instrText>
      </w:r>
      <w:r>
        <w:fldChar w:fldCharType="separate"/>
      </w:r>
      <w:r>
        <w:rPr>
          <w:rStyle w:val="38"/>
          <w:iCs/>
          <w:lang w:eastAsia="zh-CN"/>
        </w:rPr>
        <w:t>R1-2110196</w:t>
      </w:r>
      <w:r>
        <w:rPr>
          <w:rStyle w:val="38"/>
          <w:iCs/>
          <w:lang w:eastAsia="zh-CN"/>
        </w:rPr>
        <w:fldChar w:fldCharType="end"/>
      </w:r>
      <w:r>
        <w:rPr>
          <w:iCs/>
          <w:lang w:eastAsia="zh-CN"/>
        </w:rPr>
        <w:tab/>
      </w:r>
      <w:r>
        <w:rPr>
          <w:iCs/>
          <w:lang w:eastAsia="zh-CN"/>
        </w:rPr>
        <w:t>Cross-Layer Design Considerations for RedCap Device</w:t>
      </w:r>
      <w:r>
        <w:rPr>
          <w:iCs/>
          <w:lang w:eastAsia="zh-CN"/>
        </w:rPr>
        <w:tab/>
      </w:r>
      <w:r>
        <w:rPr>
          <w:iCs/>
          <w:lang w:eastAsia="zh-CN"/>
        </w:rPr>
        <w:t>Qualcomm Incorporated</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"file:///C:\\Users\\honghe\\Docs\\R1-2110282.zip" </w:instrText>
      </w:r>
      <w:r>
        <w:fldChar w:fldCharType="separate"/>
      </w:r>
      <w:r>
        <w:rPr>
          <w:rStyle w:val="38"/>
          <w:iCs/>
          <w:lang w:eastAsia="zh-CN"/>
        </w:rPr>
        <w:t>R1-2110282</w:t>
      </w:r>
      <w:r>
        <w:rPr>
          <w:rStyle w:val="38"/>
          <w:iCs/>
          <w:lang w:eastAsia="zh-CN"/>
        </w:rPr>
        <w:fldChar w:fldCharType="end"/>
      </w:r>
      <w:r>
        <w:rPr>
          <w:iCs/>
          <w:lang w:eastAsia="zh-CN"/>
        </w:rPr>
        <w:tab/>
      </w:r>
      <w:r>
        <w:rPr>
          <w:iCs/>
          <w:lang w:eastAsia="zh-CN"/>
        </w:rPr>
        <w:t>On RAN1 aspects of RAN2-led RedCap features</w:t>
      </w:r>
      <w:r>
        <w:rPr>
          <w:iCs/>
          <w:lang w:eastAsia="zh-CN"/>
        </w:rPr>
        <w:tab/>
      </w:r>
      <w:r>
        <w:rPr>
          <w:iCs/>
          <w:lang w:eastAsia="zh-CN"/>
        </w:rPr>
        <w:t>Nordic Semiconductor ASA</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"file:///C:\\Users\\honghe\\Docs\\R1-2110326.zip" </w:instrText>
      </w:r>
      <w:r>
        <w:fldChar w:fldCharType="separate"/>
      </w:r>
      <w:r>
        <w:rPr>
          <w:rStyle w:val="38"/>
          <w:iCs/>
          <w:lang w:eastAsia="zh-CN"/>
        </w:rPr>
        <w:t>R1-2110326</w:t>
      </w:r>
      <w:r>
        <w:rPr>
          <w:rStyle w:val="38"/>
          <w:iCs/>
          <w:lang w:eastAsia="zh-CN"/>
        </w:rPr>
        <w:fldChar w:fldCharType="end"/>
      </w:r>
      <w:r>
        <w:rPr>
          <w:iCs/>
          <w:lang w:eastAsia="zh-CN"/>
        </w:rPr>
        <w:tab/>
      </w:r>
      <w:r>
        <w:rPr>
          <w:iCs/>
          <w:lang w:eastAsia="zh-CN"/>
        </w:rPr>
        <w:t>Discussion on higher layer support of Redcap UE</w:t>
      </w:r>
      <w:r>
        <w:rPr>
          <w:iCs/>
          <w:lang w:eastAsia="zh-CN"/>
        </w:rPr>
        <w:tab/>
      </w:r>
      <w:r>
        <w:rPr>
          <w:iCs/>
          <w:lang w:eastAsia="zh-CN"/>
        </w:rPr>
        <w:t>WILUS Inc.</w:t>
      </w:r>
    </w:p>
    <w:p>
      <w:pPr>
        <w:pStyle w:val="48"/>
        <w:numPr>
          <w:ilvl w:val="0"/>
          <w:numId w:val="32"/>
        </w:numPr>
        <w:ind w:left="418" w:hanging="418"/>
        <w:contextualSpacing w:val="0"/>
        <w:rPr>
          <w:lang w:eastAsia="zh-CN"/>
        </w:rPr>
      </w:pPr>
      <w:r>
        <w:fldChar w:fldCharType="begin"/>
      </w:r>
      <w:r>
        <w:instrText xml:space="preserve"> HYPERLINK "file:///C:\\Users\\honghe\\Docs\\R1-2109234.zip" </w:instrText>
      </w:r>
      <w:r>
        <w:fldChar w:fldCharType="separate"/>
      </w:r>
      <w:r>
        <w:rPr>
          <w:rStyle w:val="38"/>
          <w:lang w:eastAsia="zh-CN"/>
        </w:rPr>
        <w:t>R1-2109234</w:t>
      </w:r>
      <w:r>
        <w:rPr>
          <w:rStyle w:val="38"/>
          <w:lang w:eastAsia="zh-CN"/>
        </w:rPr>
        <w:fldChar w:fldCharType="end"/>
      </w:r>
      <w:r>
        <w:rPr>
          <w:lang w:eastAsia="zh-CN"/>
        </w:rPr>
        <w:tab/>
      </w:r>
      <w:r>
        <w:rPr>
          <w:lang w:eastAsia="zh-CN"/>
        </w:rPr>
        <w:t>Views on remaining issues of RedCap</w:t>
      </w:r>
      <w:r>
        <w:rPr>
          <w:lang w:eastAsia="zh-CN"/>
        </w:rPr>
        <w:tab/>
      </w:r>
      <w:r>
        <w:rPr>
          <w:lang w:eastAsia="zh-CN"/>
        </w:rPr>
        <w:t>CATT</w:t>
      </w:r>
    </w:p>
    <w:p>
      <w:pPr>
        <w:pStyle w:val="48"/>
        <w:numPr>
          <w:ilvl w:val="0"/>
          <w:numId w:val="32"/>
        </w:numPr>
        <w:ind w:left="418" w:hanging="418"/>
        <w:contextualSpacing w:val="0"/>
        <w:rPr>
          <w:lang w:eastAsia="zh-CN"/>
        </w:rPr>
      </w:pPr>
      <w:r>
        <w:fldChar w:fldCharType="begin"/>
      </w:r>
      <w:r>
        <w:instrText xml:space="preserve"> HYPERLINK "file:///C:\\Users\\honghe\\Docs\\R1-2109328.zip" </w:instrText>
      </w:r>
      <w:r>
        <w:fldChar w:fldCharType="separate"/>
      </w:r>
      <w:r>
        <w:rPr>
          <w:rStyle w:val="38"/>
          <w:lang w:eastAsia="zh-CN"/>
        </w:rPr>
        <w:t>R1-2109328</w:t>
      </w:r>
      <w:r>
        <w:rPr>
          <w:rStyle w:val="38"/>
          <w:lang w:eastAsia="zh-CN"/>
        </w:rPr>
        <w:fldChar w:fldCharType="end"/>
      </w:r>
      <w:r>
        <w:rPr>
          <w:lang w:eastAsia="zh-CN"/>
        </w:rPr>
        <w:tab/>
      </w:r>
      <w:r>
        <w:rPr>
          <w:lang w:eastAsia="zh-CN"/>
        </w:rPr>
        <w:t>2-step RACH for RedCap</w:t>
      </w:r>
      <w:r>
        <w:rPr>
          <w:lang w:eastAsia="zh-CN"/>
        </w:rPr>
        <w:tab/>
      </w:r>
      <w:r>
        <w:rPr>
          <w:lang w:eastAsia="zh-CN"/>
        </w:rPr>
        <w:t>Lenovo, Motorola Mobility</w:t>
      </w:r>
    </w:p>
    <w:p>
      <w:pPr>
        <w:pStyle w:val="48"/>
        <w:numPr>
          <w:ilvl w:val="0"/>
          <w:numId w:val="32"/>
        </w:numPr>
        <w:ind w:left="418" w:hanging="418"/>
        <w:contextualSpacing w:val="0"/>
        <w:rPr>
          <w:lang w:eastAsia="zh-CN"/>
        </w:rPr>
      </w:pPr>
      <w:r>
        <w:fldChar w:fldCharType="begin"/>
      </w:r>
      <w:r>
        <w:instrText xml:space="preserve"> HYPERLINK "file:///C:\\Users\\honghe\\Docs\\R1-2109336.zip" </w:instrText>
      </w:r>
      <w:r>
        <w:fldChar w:fldCharType="separate"/>
      </w:r>
      <w:r>
        <w:rPr>
          <w:rStyle w:val="38"/>
          <w:lang w:eastAsia="zh-CN"/>
        </w:rPr>
        <w:t>R1-2109336</w:t>
      </w:r>
      <w:r>
        <w:rPr>
          <w:rStyle w:val="38"/>
          <w:lang w:eastAsia="zh-CN"/>
        </w:rPr>
        <w:fldChar w:fldCharType="end"/>
      </w:r>
      <w:r>
        <w:rPr>
          <w:lang w:eastAsia="zh-CN"/>
        </w:rPr>
        <w:tab/>
      </w:r>
      <w:r>
        <w:rPr>
          <w:lang w:eastAsia="zh-CN"/>
        </w:rPr>
        <w:t>Consideration on PRACH resource configuration for RedCap and CovEnh</w:t>
      </w:r>
      <w:r>
        <w:rPr>
          <w:lang w:eastAsia="zh-CN"/>
        </w:rPr>
        <w:tab/>
      </w:r>
      <w:r>
        <w:rPr>
          <w:lang w:eastAsia="zh-CN"/>
        </w:rPr>
        <w:t>ZTE, Sanechips</w:t>
      </w:r>
    </w:p>
    <w:p>
      <w:pPr>
        <w:pStyle w:val="48"/>
        <w:numPr>
          <w:ilvl w:val="0"/>
          <w:numId w:val="32"/>
        </w:numPr>
        <w:spacing w:line="240" w:lineRule="auto"/>
        <w:ind w:left="418" w:hanging="418"/>
        <w:contextualSpacing w:val="0"/>
        <w:rPr>
          <w:lang w:eastAsia="zh-CN"/>
        </w:rPr>
      </w:pPr>
      <w:r>
        <w:fldChar w:fldCharType="begin"/>
      </w:r>
      <w:r>
        <w:instrText xml:space="preserve"> HYPERLINK "file:///C:\\Users\\honghe\\Docs\\R1-2109421.zip" </w:instrText>
      </w:r>
      <w:r>
        <w:fldChar w:fldCharType="separate"/>
      </w:r>
      <w:r>
        <w:rPr>
          <w:rStyle w:val="38"/>
          <w:lang w:eastAsia="zh-CN"/>
        </w:rPr>
        <w:t>R1-2109421</w:t>
      </w:r>
      <w:r>
        <w:rPr>
          <w:rStyle w:val="38"/>
          <w:lang w:eastAsia="zh-CN"/>
        </w:rPr>
        <w:fldChar w:fldCharType="end"/>
      </w:r>
      <w:r>
        <w:rPr>
          <w:lang w:eastAsia="zh-CN"/>
        </w:rPr>
        <w:tab/>
      </w:r>
      <w:r>
        <w:rPr>
          <w:lang w:eastAsia="zh-CN"/>
        </w:rPr>
        <w:t>Discussion on the transmission of system information for RedCap</w:t>
      </w:r>
      <w:r>
        <w:rPr>
          <w:lang w:eastAsia="zh-CN"/>
        </w:rPr>
        <w:tab/>
      </w:r>
      <w:r>
        <w:rPr>
          <w:lang w:eastAsia="zh-CN"/>
        </w:rPr>
        <w:t>Xiaomi</w:t>
      </w:r>
    </w:p>
    <w:p>
      <w:pPr>
        <w:pStyle w:val="48"/>
        <w:numPr>
          <w:ilvl w:val="0"/>
          <w:numId w:val="32"/>
        </w:numPr>
        <w:spacing w:line="240" w:lineRule="auto"/>
        <w:ind w:left="418" w:hanging="418"/>
        <w:contextualSpacing w:val="0"/>
        <w:rPr>
          <w:lang w:eastAsia="zh-CN"/>
        </w:rPr>
      </w:pPr>
      <w:r>
        <w:fldChar w:fldCharType="begin"/>
      </w:r>
      <w:r>
        <w:instrText xml:space="preserve"> HYPERLINK "file:///C:\\Users\\honghe\\Docs\\R1-2109979.zip" </w:instrText>
      </w:r>
      <w:r>
        <w:fldChar w:fldCharType="separate"/>
      </w:r>
      <w:r>
        <w:rPr>
          <w:rStyle w:val="38"/>
          <w:lang w:eastAsia="zh-CN"/>
        </w:rPr>
        <w:t>R1-2109979</w:t>
      </w:r>
      <w:r>
        <w:rPr>
          <w:rStyle w:val="38"/>
          <w:lang w:eastAsia="zh-CN"/>
        </w:rPr>
        <w:fldChar w:fldCharType="end"/>
      </w:r>
      <w:r>
        <w:rPr>
          <w:lang w:eastAsia="zh-CN"/>
        </w:rPr>
        <w:tab/>
      </w:r>
      <w:r>
        <w:rPr>
          <w:lang w:eastAsia="zh-CN"/>
        </w:rPr>
        <w:t>Discussion on other aspects of RedCap</w:t>
      </w:r>
      <w:r>
        <w:rPr>
          <w:lang w:eastAsia="zh-CN"/>
        </w:rPr>
        <w:tab/>
      </w:r>
      <w:r>
        <w:rPr>
          <w:lang w:eastAsia="zh-CN"/>
        </w:rPr>
        <w:t>LG Electronics</w:t>
      </w:r>
    </w:p>
    <w:p>
      <w:pPr>
        <w:pStyle w:val="292"/>
        <w:numPr>
          <w:ilvl w:val="0"/>
          <w:numId w:val="32"/>
        </w:numPr>
        <w:rPr>
          <w:rFonts w:ascii="Times" w:hAnsi="Times"/>
          <w:sz w:val="22"/>
          <w:szCs w:val="28"/>
        </w:rPr>
      </w:pPr>
      <w:bookmarkStart w:id="26" w:name="_Ref78279816"/>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38"/>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pPr>
        <w:rPr>
          <w:iCs/>
          <w:lang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260E8"/>
    <w:multiLevelType w:val="multilevel"/>
    <w:tmpl w:val="028260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lvlText w:val="%1.%2.%3"/>
      <w:lvlJc w:val="left"/>
      <w:pPr>
        <w:ind w:left="720" w:hanging="720"/>
      </w:pPr>
      <w:rPr>
        <w:b w:val="0"/>
        <w:bCs w:val="0"/>
        <w:lang w:val="en-U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0B6933"/>
    <w:multiLevelType w:val="multilevel"/>
    <w:tmpl w:val="1D0B6933"/>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D5C5A3C"/>
    <w:multiLevelType w:val="multilevel"/>
    <w:tmpl w:val="2D5C5A3C"/>
    <w:lvl w:ilvl="0" w:tentative="0">
      <w:start w:val="0"/>
      <w:numFmt w:val="bullet"/>
      <w:lvlText w:val="-"/>
      <w:lvlJc w:val="left"/>
      <w:pPr>
        <w:ind w:left="360" w:hanging="360"/>
      </w:pPr>
      <w:rPr>
        <w:rFonts w:hint="default" w:ascii="Times New Roman" w:hAnsi="Times New Roman" w:eastAsia="MS Mincho" w:cs="Times New Roman"/>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1183219"/>
    <w:multiLevelType w:val="multilevel"/>
    <w:tmpl w:val="311832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46E111F"/>
    <w:multiLevelType w:val="multilevel"/>
    <w:tmpl w:val="346E111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8FF4DEF"/>
    <w:multiLevelType w:val="multilevel"/>
    <w:tmpl w:val="38FF4DE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3">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B50331B"/>
    <w:multiLevelType w:val="multilevel"/>
    <w:tmpl w:val="3B5033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46D1735F"/>
    <w:multiLevelType w:val="multilevel"/>
    <w:tmpl w:val="46D1735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9062016"/>
    <w:multiLevelType w:val="multilevel"/>
    <w:tmpl w:val="49062016"/>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9">
    <w:nsid w:val="4BDF65F6"/>
    <w:multiLevelType w:val="multilevel"/>
    <w:tmpl w:val="4BDF65F6"/>
    <w:lvl w:ilvl="0" w:tentative="0">
      <w:start w:val="1"/>
      <w:numFmt w:val="decimal"/>
      <w:pStyle w:val="29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DC96F4E"/>
    <w:multiLevelType w:val="multilevel"/>
    <w:tmpl w:val="4DC96F4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3C61D7E"/>
    <w:multiLevelType w:val="multilevel"/>
    <w:tmpl w:val="53C61D7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56D0158"/>
    <w:multiLevelType w:val="multilevel"/>
    <w:tmpl w:val="556D0158"/>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4">
    <w:nsid w:val="5FF86E2C"/>
    <w:multiLevelType w:val="multilevel"/>
    <w:tmpl w:val="5FF86E2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A3D69FC"/>
    <w:multiLevelType w:val="multilevel"/>
    <w:tmpl w:val="6A3D69F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6C640277"/>
    <w:multiLevelType w:val="multilevel"/>
    <w:tmpl w:val="6C64027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A764571"/>
    <w:multiLevelType w:val="multilevel"/>
    <w:tmpl w:val="7A7645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7BC330F5"/>
    <w:multiLevelType w:val="multilevel"/>
    <w:tmpl w:val="7BC330F5"/>
    <w:lvl w:ilvl="0" w:tentative="0">
      <w:start w:val="1"/>
      <w:numFmt w:val="bullet"/>
      <w:pStyle w:val="2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7D7664B1"/>
    <w:multiLevelType w:val="multilevel"/>
    <w:tmpl w:val="7D7664B1"/>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076B5B"/>
    <w:rsid w:val="00124A4A"/>
    <w:rsid w:val="00145A3B"/>
    <w:rsid w:val="00181AFF"/>
    <w:rsid w:val="001F1C4C"/>
    <w:rsid w:val="002914C6"/>
    <w:rsid w:val="00294878"/>
    <w:rsid w:val="002B25C1"/>
    <w:rsid w:val="002B668D"/>
    <w:rsid w:val="003E4D6E"/>
    <w:rsid w:val="00440551"/>
    <w:rsid w:val="00444163"/>
    <w:rsid w:val="00492CE4"/>
    <w:rsid w:val="00584CAE"/>
    <w:rsid w:val="006339D8"/>
    <w:rsid w:val="00656709"/>
    <w:rsid w:val="00672395"/>
    <w:rsid w:val="006E6465"/>
    <w:rsid w:val="006F7756"/>
    <w:rsid w:val="0073226F"/>
    <w:rsid w:val="008B018C"/>
    <w:rsid w:val="008C267E"/>
    <w:rsid w:val="008D0337"/>
    <w:rsid w:val="009733A2"/>
    <w:rsid w:val="009D02B7"/>
    <w:rsid w:val="009E08DC"/>
    <w:rsid w:val="009E1765"/>
    <w:rsid w:val="009F0D53"/>
    <w:rsid w:val="009F13BA"/>
    <w:rsid w:val="00A05D48"/>
    <w:rsid w:val="00A71D6C"/>
    <w:rsid w:val="00AB7971"/>
    <w:rsid w:val="00B02573"/>
    <w:rsid w:val="00B1160B"/>
    <w:rsid w:val="00B57DF3"/>
    <w:rsid w:val="00BB1E30"/>
    <w:rsid w:val="00BC73D4"/>
    <w:rsid w:val="00CC16E7"/>
    <w:rsid w:val="00D47652"/>
    <w:rsid w:val="00D678F4"/>
    <w:rsid w:val="00DD2B93"/>
    <w:rsid w:val="00EA0AFC"/>
    <w:rsid w:val="00EE1B8A"/>
    <w:rsid w:val="00F43EC6"/>
    <w:rsid w:val="00F76626"/>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0"/>
        <w:numId w:val="0"/>
      </w:numPr>
      <w:spacing w:before="120"/>
      <w:outlineLvl w:val="2"/>
    </w:pPr>
    <w:rPr>
      <w:sz w:val="28"/>
    </w:rPr>
  </w:style>
  <w:style w:type="paragraph" w:styleId="5">
    <w:name w:val="heading 4"/>
    <w:basedOn w:val="4"/>
    <w:next w:val="1"/>
    <w:qFormat/>
    <w:uiPriority w:val="0"/>
    <w:pPr>
      <w:numPr>
        <w:ilvl w:val="3"/>
      </w:numPr>
      <w:tabs>
        <w:tab w:val="left" w:pos="360"/>
        <w:tab w:val="left" w:pos="926"/>
      </w:tabs>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outlineLvl w:val="5"/>
    </w:pPr>
    <w:rPr>
      <w:lang w:val="sv-SE" w:eastAsia="sv-SE"/>
    </w:rPr>
  </w:style>
  <w:style w:type="paragraph" w:styleId="8">
    <w:name w:val="heading 7"/>
    <w:basedOn w:val="1"/>
    <w:next w:val="1"/>
    <w:qFormat/>
    <w:uiPriority w:val="0"/>
    <w:pPr>
      <w:widowControl w:val="0"/>
      <w:numPr>
        <w:ilvl w:val="6"/>
        <w:numId w:val="1"/>
      </w:numPr>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ind w:left="1200"/>
    </w:pPr>
  </w:style>
  <w:style w:type="paragraph" w:styleId="12">
    <w:name w:val="toc 6"/>
    <w:basedOn w:val="13"/>
    <w:next w:val="1"/>
    <w:semiHidden/>
    <w:qFormat/>
    <w:uiPriority w:val="0"/>
    <w:pPr>
      <w:ind w:left="1000"/>
    </w:pPr>
  </w:style>
  <w:style w:type="paragraph" w:styleId="13">
    <w:name w:val="toc 5"/>
    <w:basedOn w:val="14"/>
    <w:next w:val="1"/>
    <w:semiHidden/>
    <w:qFormat/>
    <w:uiPriority w:val="0"/>
    <w:pPr>
      <w:ind w:left="800"/>
    </w:pPr>
  </w:style>
  <w:style w:type="paragraph" w:styleId="14">
    <w:name w:val="toc 4"/>
    <w:basedOn w:val="15"/>
    <w:next w:val="1"/>
    <w:semiHidden/>
    <w:qFormat/>
    <w:uiPriority w:val="0"/>
    <w:pPr>
      <w:ind w:left="600"/>
    </w:pPr>
  </w:style>
  <w:style w:type="paragraph" w:styleId="15">
    <w:name w:val="toc 3"/>
    <w:basedOn w:val="16"/>
    <w:next w:val="1"/>
    <w:qFormat/>
    <w:uiPriority w:val="39"/>
    <w:pPr>
      <w:spacing w:before="0"/>
      <w:ind w:left="400"/>
    </w:pPr>
    <w:rPr>
      <w:b w:val="0"/>
      <w:bCs w:val="0"/>
      <w:sz w:val="20"/>
      <w:szCs w:val="20"/>
    </w:rPr>
  </w:style>
  <w:style w:type="paragraph" w:styleId="16">
    <w:name w:val="toc 2"/>
    <w:basedOn w:val="17"/>
    <w:next w:val="1"/>
    <w:qFormat/>
    <w:uiPriority w:val="39"/>
    <w:pPr>
      <w:ind w:left="200"/>
    </w:pPr>
    <w:rPr>
      <w:i w:val="0"/>
      <w:iCs w:val="0"/>
      <w:sz w:val="22"/>
      <w:szCs w:val="22"/>
    </w:rPr>
  </w:style>
  <w:style w:type="paragraph" w:styleId="17">
    <w:name w:val="toc 1"/>
    <w:basedOn w:val="1"/>
    <w:next w:val="1"/>
    <w:qFormat/>
    <w:uiPriority w:val="39"/>
    <w:pPr>
      <w:spacing w:before="120" w:after="0"/>
    </w:pPr>
    <w:rPr>
      <w:rFonts w:asciiTheme="minorHAnsi" w:hAnsiTheme="minorHAnsi" w:cstheme="minorHAnsi"/>
      <w:b/>
      <w:bCs/>
      <w:i/>
      <w:iCs/>
      <w:sz w:val="24"/>
      <w:szCs w:val="24"/>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0"/>
      <w:ind w:left="1400"/>
    </w:pPr>
    <w:rPr>
      <w:b w:val="0"/>
      <w:bCs w:val="0"/>
      <w:i w:val="0"/>
      <w:iCs w:val="0"/>
      <w:sz w:val="20"/>
      <w:szCs w:val="20"/>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600"/>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页眉 Char"/>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标题 8 Char"/>
    <w:link w:val="9"/>
    <w:qFormat/>
    <w:uiPriority w:val="0"/>
    <w:rPr>
      <w:rFonts w:ascii="Arial" w:hAnsi="Arial"/>
      <w:sz w:val="36"/>
      <w:lang w:val="en-GB" w:eastAsia="en-US"/>
    </w:rPr>
  </w:style>
  <w:style w:type="character" w:customStyle="1" w:styleId="46">
    <w:name w:val="标题 3 Char"/>
    <w:link w:val="4"/>
    <w:qFormat/>
    <w:uiPriority w:val="0"/>
    <w:rPr>
      <w:rFonts w:ascii="Arial" w:hAnsi="Arial"/>
      <w:sz w:val="28"/>
      <w:lang w:val="en-GB" w:eastAsia="en-US"/>
    </w:rPr>
  </w:style>
  <w:style w:type="character" w:customStyle="1" w:styleId="47">
    <w:name w:val="列出段落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批注文字 Char"/>
    <w:link w:val="20"/>
    <w:qFormat/>
    <w:uiPriority w:val="99"/>
    <w:rPr>
      <w:lang w:val="en-GB" w:eastAsia="en-US"/>
    </w:rPr>
  </w:style>
  <w:style w:type="character" w:customStyle="1" w:styleId="50">
    <w:name w:val="批注主题 Char"/>
    <w:link w:val="31"/>
    <w:qFormat/>
    <w:uiPriority w:val="0"/>
    <w:rPr>
      <w:b/>
      <w:bCs/>
      <w:lang w:val="en-GB" w:eastAsia="en-US"/>
    </w:rPr>
  </w:style>
  <w:style w:type="character" w:customStyle="1" w:styleId="51">
    <w:name w:val="正文文本 Char"/>
    <w:link w:val="22"/>
    <w:qFormat/>
    <w:uiPriority w:val="0"/>
    <w:rPr>
      <w:rFonts w:ascii="Arial" w:hAnsi="Arial"/>
      <w:b/>
      <w:sz w:val="18"/>
      <w:lang w:val="en-GB" w:eastAsia="ja-JP"/>
    </w:rPr>
  </w:style>
  <w:style w:type="character" w:customStyle="1" w:styleId="52">
    <w:name w:val="题注 Char2"/>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link w:val="293"/>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9">
    <w:name w:val="ZB"/>
    <w:qFormat/>
    <w:uiPriority w:val="0"/>
    <w:pPr>
      <w:widowControl w:val="0"/>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修订1"/>
    <w:semiHidden/>
    <w:qFormat/>
    <w:uiPriority w:val="99"/>
    <w:rPr>
      <w:rFonts w:ascii="Times New Roman" w:hAnsi="Times New Roman" w:eastAsia="Batang" w:cs="Times New Roman"/>
      <w:lang w:val="en-GB" w:eastAsia="en-US" w:bidi="ar-SA"/>
    </w:rPr>
  </w:style>
  <w:style w:type="paragraph" w:customStyle="1" w:styleId="265">
    <w:name w:val="TOC 标题1"/>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本 Char"/>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标题 2 Char"/>
    <w:link w:val="3"/>
    <w:qFormat/>
    <w:uiPriority w:val="0"/>
    <w:rPr>
      <w:rFonts w:ascii="Arial" w:hAnsi="Arial"/>
      <w:sz w:val="32"/>
      <w:lang w:val="en-GB" w:eastAsia="en-US"/>
    </w:rPr>
  </w:style>
  <w:style w:type="table" w:customStyle="1" w:styleId="275">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文档结构图 Char"/>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paragraph" w:customStyle="1" w:styleId="290">
    <w:name w:val="Doc-text2"/>
    <w:basedOn w:val="1"/>
    <w:link w:val="291"/>
    <w:qFormat/>
    <w:uiPriority w:val="0"/>
    <w:pPr>
      <w:tabs>
        <w:tab w:val="left" w:pos="1622"/>
      </w:tabs>
      <w:spacing w:after="0" w:line="259" w:lineRule="auto"/>
      <w:ind w:left="1622" w:hanging="363"/>
    </w:pPr>
    <w:rPr>
      <w:rFonts w:ascii="Arial" w:hAnsi="Arial" w:eastAsia="MS Mincho" w:cstheme="minorBidi"/>
      <w:szCs w:val="24"/>
      <w:lang w:val="zh-CN" w:eastAsia="zh-CN"/>
    </w:rPr>
  </w:style>
  <w:style w:type="character" w:customStyle="1" w:styleId="291">
    <w:name w:val="Doc-text2 Char"/>
    <w:link w:val="290"/>
    <w:qFormat/>
    <w:locked/>
    <w:uiPriority w:val="0"/>
    <w:rPr>
      <w:rFonts w:ascii="Arial" w:hAnsi="Arial" w:eastAsia="MS Mincho" w:cstheme="minorBidi"/>
      <w:szCs w:val="24"/>
      <w:lang w:val="zh-CN" w:eastAsia="zh-CN"/>
    </w:rPr>
  </w:style>
  <w:style w:type="paragraph" w:customStyle="1" w:styleId="292">
    <w:name w:val="Reference"/>
    <w:basedOn w:val="22"/>
    <w:qFormat/>
    <w:uiPriority w:val="0"/>
    <w:pPr>
      <w:numPr>
        <w:ilvl w:val="0"/>
        <w:numId w:val="7"/>
      </w:numPr>
      <w:overflowPunct/>
      <w:spacing w:line="259" w:lineRule="auto"/>
    </w:pPr>
    <w:rPr>
      <w:rFonts w:eastAsiaTheme="minorHAnsi" w:cstheme="minorBidi"/>
      <w:szCs w:val="22"/>
    </w:rPr>
  </w:style>
  <w:style w:type="character" w:customStyle="1" w:styleId="293">
    <w:name w:val="B1 Char1"/>
    <w:link w:val="246"/>
    <w:qFormat/>
    <w:uiPriority w:val="0"/>
    <w:rPr>
      <w:lang w:val="en-GB" w:eastAsia="en-US"/>
    </w:rPr>
  </w:style>
  <w:style w:type="paragraph" w:customStyle="1" w:styleId="294">
    <w:name w:val="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295">
    <w:name w:val="Unresolved Mention4"/>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CD0B4-9B02-4724-B67C-393DB271CB50}">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E308BF5C-6805-4D20-9398-6CA60B73CC3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8786</Words>
  <Characters>50086</Characters>
  <Lines>417</Lines>
  <Paragraphs>117</Paragraphs>
  <TotalTime>8</TotalTime>
  <ScaleCrop>false</ScaleCrop>
  <LinksUpToDate>false</LinksUpToDate>
  <CharactersWithSpaces>58755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2021-10-12T08:51:00Z</dcterms:created>
  <dc:creator>Johan Bergman</dc:creator>
  <cp:keywords>CTPClassification=CTP_NT</cp:keywords>
  <cp:lastModifiedBy>ZTE-Youjun Hu</cp:lastModifiedBy>
  <dcterms:modified xsi:type="dcterms:W3CDTF">2021-10-12T09:57:19Z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