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C37104">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C37104">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w:t>
            </w:r>
            <w:proofErr w:type="gramStart"/>
            <w:r>
              <w:rPr>
                <w:rFonts w:eastAsia="SimSun"/>
                <w:iCs/>
                <w:lang w:val="en-US" w:eastAsia="ja-JP"/>
              </w:rPr>
              <w:t>e.g.</w:t>
            </w:r>
            <w:proofErr w:type="gramEnd"/>
            <w:r>
              <w:rPr>
                <w:rFonts w:eastAsia="SimSun"/>
                <w:iCs/>
                <w:lang w:val="en-US" w:eastAsia="ja-JP"/>
              </w:rPr>
              <w:t xml:space="preserve">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6060730"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25pt;height:14.25pt" o:ole="">
                  <v:imagedata r:id="rId14" o:title=""/>
                </v:shape>
                <o:OLEObject Type="Embed" ProgID="Equation.3" ShapeID="_x0000_i1026" DrawAspect="Content" ObjectID="_1696060731"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25pt;height:14.25pt" o:ole="">
                  <v:imagedata r:id="rId14" o:title=""/>
                </v:shape>
                <o:OLEObject Type="Embed" ProgID="Equation.3" ShapeID="_x0000_i1027" DrawAspect="Content" ObjectID="_1696060732"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25pt;height:14.25pt" o:ole="">
                  <v:imagedata r:id="rId14" o:title=""/>
                </v:shape>
                <o:OLEObject Type="Embed" ProgID="Equation.3" ShapeID="_x0000_i1028" DrawAspect="Content" ObjectID="_1696060733"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25pt;height:14.25pt" o:ole="">
                  <v:imagedata r:id="rId14" o:title=""/>
                </v:shape>
                <o:OLEObject Type="Embed" ProgID="Equation.3" ShapeID="_x0000_i1029" DrawAspect="Content" ObjectID="_1696060734"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25pt;height:14.25pt" o:ole="">
                  <v:imagedata r:id="rId14" o:title=""/>
                </v:shape>
                <o:OLEObject Type="Embed" ProgID="Equation.3" ShapeID="_x0000_i1030" DrawAspect="Content" ObjectID="_1696060735"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25pt;height:14.25pt" o:ole="">
                  <v:imagedata r:id="rId14" o:title=""/>
                </v:shape>
                <o:OLEObject Type="Embed" ProgID="Equation.3" ShapeID="_x0000_i1031" DrawAspect="Content" ObjectID="_1696060736"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25pt;height:14.25pt" o:ole="">
                  <v:imagedata r:id="rId14" o:title=""/>
                </v:shape>
                <o:OLEObject Type="Embed" ProgID="Equation.3" ShapeID="_x0000_i1032" DrawAspect="Content" ObjectID="_1696060737"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25pt;height:14.25pt" o:ole="">
                  <v:imagedata r:id="rId14" o:title=""/>
                </v:shape>
                <o:OLEObject Type="Embed" ProgID="Equation.3" ShapeID="_x0000_i1033" DrawAspect="Content" ObjectID="_1696060738"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B4606C" w14:paraId="3D278E19" w14:textId="77777777">
        <w:trPr>
          <w:trHeight w:val="339"/>
        </w:trPr>
        <w:tc>
          <w:tcPr>
            <w:tcW w:w="1871" w:type="dxa"/>
          </w:tcPr>
          <w:p w14:paraId="3F33E174" w14:textId="3D4D34B0" w:rsidR="00B4606C" w:rsidRDefault="00B4606C" w:rsidP="006140D1">
            <w:pPr>
              <w:pStyle w:val="BodyText"/>
              <w:spacing w:after="0" w:line="280" w:lineRule="atLeast"/>
              <w:rPr>
                <w:rFonts w:ascii="Times New Roman" w:hAnsi="Times New Roman"/>
                <w:szCs w:val="20"/>
                <w:lang w:eastAsia="zh-CN"/>
              </w:rPr>
            </w:pPr>
          </w:p>
        </w:tc>
        <w:tc>
          <w:tcPr>
            <w:tcW w:w="8021" w:type="dxa"/>
          </w:tcPr>
          <w:p w14:paraId="445CF4C9" w14:textId="7E87DD99" w:rsidR="00B4606C" w:rsidRDefault="00B4606C" w:rsidP="00B4606C">
            <w:pPr>
              <w:pStyle w:val="BodyText"/>
              <w:spacing w:after="0" w:line="280" w:lineRule="atLeast"/>
              <w:rPr>
                <w:rFonts w:ascii="Times New Roman" w:hAnsi="Times New Roman"/>
                <w:szCs w:val="20"/>
                <w:lang w:eastAsia="zh-CN"/>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lastRenderedPageBreak/>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lastRenderedPageBreak/>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existing range + offset (where offset is </w:t>
            </w:r>
            <w:proofErr w:type="gramStart"/>
            <w:r>
              <w:rPr>
                <w:rFonts w:ascii="Times New Roman" w:hAnsi="Times New Roman"/>
                <w:szCs w:val="20"/>
                <w:lang w:eastAsia="zh-CN"/>
              </w:rPr>
              <w:t>ceil</w:t>
            </w:r>
            <w:proofErr w:type="gramEnd"/>
            <w:r>
              <w:rPr>
                <w:rFonts w:ascii="Times New Roman" w:hAnsi="Times New Roman"/>
                <w:szCs w:val="20"/>
                <w:lang w:eastAsia="zh-CN"/>
              </w:rPr>
              <w:t>(N1/14)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w:t>
            </w:r>
            <w:r>
              <w:rPr>
                <w:rFonts w:ascii="Times New Roman" w:eastAsiaTheme="minorEastAsia" w:hAnsi="Times New Roman"/>
                <w:szCs w:val="20"/>
                <w:lang w:eastAsia="ko-KR"/>
              </w:rPr>
              <w:lastRenderedPageBreak/>
              <w:t>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proofErr w:type="gramStart"/>
            <w:r>
              <w:rPr>
                <w:lang w:eastAsia="zh-CN"/>
              </w:rPr>
              <w:t>Thanks Ericsson</w:t>
            </w:r>
            <w:proofErr w:type="gramEnd"/>
            <w:r>
              <w:rPr>
                <w:lang w:eastAsia="zh-CN"/>
              </w:rPr>
              <w:t xml:space="preserve">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w:t>
            </w:r>
            <w:proofErr w:type="gramStart"/>
            <w:r>
              <w:rPr>
                <w:rFonts w:ascii="Times New Roman" w:eastAsiaTheme="minorEastAsia" w:hAnsi="Times New Roman"/>
                <w:szCs w:val="20"/>
                <w:lang w:eastAsia="ko-KR"/>
              </w:rPr>
              <w:t>to pick</w:t>
            </w:r>
            <w:proofErr w:type="gramEnd"/>
            <w:r>
              <w:rPr>
                <w:rFonts w:ascii="Times New Roman" w:eastAsiaTheme="minorEastAsia" w:hAnsi="Times New Roman"/>
                <w:szCs w:val="20"/>
                <w:lang w:eastAsia="ko-KR"/>
              </w:rPr>
              <w:t xml:space="preserve">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Default="008B676D" w:rsidP="008B676D">
      <w:pPr>
        <w:pStyle w:val="Heading5"/>
        <w:rPr>
          <w:lang w:eastAsia="zh-CN"/>
        </w:rPr>
      </w:pPr>
      <w:r>
        <w:rPr>
          <w:highlight w:val="cyan"/>
          <w:lang w:eastAsia="zh-CN"/>
        </w:rPr>
        <w:t xml:space="preserve">Proposal 1-2-2c </w:t>
      </w:r>
      <w:r>
        <w:rPr>
          <w:highlight w:val="cyan"/>
        </w:rPr>
        <w:t>(high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Of course</w:t>
            </w:r>
            <w:proofErr w:type="gramEnd"/>
            <w:r>
              <w:rPr>
                <w:rFonts w:ascii="Times New Roman" w:hAnsi="Times New Roman"/>
                <w:szCs w:val="20"/>
                <w:lang w:eastAsia="zh-CN"/>
              </w:rPr>
              <w:t xml:space="preserv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However, we don't agree to the formulation of Huawei's proposal. The 38.331 spec doesn't differentiate whether 0 or -1 can be configured depending on </w:t>
            </w:r>
            <w:proofErr w:type="spellStart"/>
            <w:r>
              <w:rPr>
                <w:rFonts w:ascii="Times New Roman" w:hAnsi="Times New Roman"/>
                <w:szCs w:val="20"/>
                <w:lang w:eastAsia="zh-CN"/>
              </w:rPr>
              <w:t>licenseed</w:t>
            </w:r>
            <w:proofErr w:type="spellEnd"/>
            <w:r>
              <w:rPr>
                <w:rFonts w:ascii="Times New Roman" w:hAnsi="Times New Roman"/>
                <w:szCs w:val="20"/>
                <w:lang w:eastAsia="zh-CN"/>
              </w:rPr>
              <w:t xml:space="preserve">/unlicensed. The limitation to unlicensed for FG 10-14 was made during the UE capability discussions. </w:t>
            </w:r>
            <w:proofErr w:type="gramStart"/>
            <w:r>
              <w:rPr>
                <w:rFonts w:ascii="Times New Roman" w:hAnsi="Times New Roman"/>
                <w:szCs w:val="20"/>
                <w:lang w:eastAsia="zh-CN"/>
              </w:rPr>
              <w:t>Similarly</w:t>
            </w:r>
            <w:proofErr w:type="gramEnd"/>
            <w:r>
              <w:rPr>
                <w:rFonts w:ascii="Times New Roman" w:hAnsi="Times New Roman"/>
                <w:szCs w:val="20"/>
                <w:lang w:eastAsia="zh-CN"/>
              </w:rPr>
              <w:t xml:space="preserve">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764E3258" w:rsidR="0056646A" w:rsidRDefault="0056646A" w:rsidP="0056646A">
            <w:pPr>
              <w:pStyle w:val="BodyText"/>
              <w:spacing w:after="0" w:line="240" w:lineRule="auto"/>
              <w:rPr>
                <w:rFonts w:ascii="Times New Roman" w:hAnsi="Times New Roman"/>
                <w:szCs w:val="20"/>
                <w:lang w:eastAsia="zh-CN"/>
              </w:rPr>
            </w:pPr>
          </w:p>
        </w:tc>
        <w:tc>
          <w:tcPr>
            <w:tcW w:w="8021" w:type="dxa"/>
          </w:tcPr>
          <w:p w14:paraId="1FC708C0" w14:textId="77777777" w:rsidR="0056646A" w:rsidRDefault="0056646A" w:rsidP="0056646A">
            <w:pPr>
              <w:pStyle w:val="BodyText"/>
              <w:spacing w:after="0" w:line="240" w:lineRule="auto"/>
              <w:rPr>
                <w:rFonts w:ascii="Times New Roman" w:hAnsi="Times New Roman"/>
                <w:szCs w:val="20"/>
                <w:lang w:eastAsia="zh-CN"/>
              </w:rPr>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lastRenderedPageBreak/>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Thanks Ericsson</w:t>
            </w:r>
            <w:proofErr w:type="gramEnd"/>
            <w:r>
              <w:rPr>
                <w:rFonts w:ascii="Times New Roman" w:hAnsi="Times New Roman"/>
                <w:szCs w:val="20"/>
                <w:lang w:eastAsia="zh-CN"/>
              </w:rPr>
              <w:t xml:space="preserve"> for the illustrated explanation.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w:t>
            </w:r>
            <w:proofErr w:type="spellStart"/>
            <w:r w:rsidRPr="00346AF1">
              <w:rPr>
                <w:rFonts w:ascii="Times New Roman" w:hAnsi="Times New Roman"/>
                <w:szCs w:val="20"/>
                <w:lang w:eastAsia="zh-CN"/>
              </w:rPr>
              <w:t>gNB</w:t>
            </w:r>
            <w:proofErr w:type="spellEnd"/>
            <w:r w:rsidRPr="00346AF1">
              <w:rPr>
                <w:rFonts w:ascii="Times New Roman" w:hAnsi="Times New Roman"/>
                <w:szCs w:val="20"/>
                <w:lang w:eastAsia="zh-CN"/>
              </w:rPr>
              <w:t xml:space="preserve">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lastRenderedPageBreak/>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CSI and data processing latency are not the same. While having bigger delay for CSI will be less visible system performance for stable deployments, data transmission delay will make clear difference. If we were to take conclusion 1-3 then at the very </w:t>
            </w:r>
            <w:proofErr w:type="gramStart"/>
            <w:r>
              <w:rPr>
                <w:rFonts w:ascii="Times New Roman" w:hAnsi="Times New Roman"/>
                <w:szCs w:val="20"/>
                <w:lang w:eastAsia="zh-CN"/>
              </w:rPr>
              <w:t>least</w:t>
            </w:r>
            <w:proofErr w:type="gramEnd"/>
            <w:r>
              <w:rPr>
                <w:rFonts w:ascii="Times New Roman" w:hAnsi="Times New Roman"/>
                <w:szCs w:val="20"/>
                <w:lang w:eastAsia="zh-CN"/>
              </w:rPr>
              <w:t xml:space="preserve">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bl>
    <w:p w14:paraId="5361C287" w14:textId="77777777" w:rsidR="00C95FCB" w:rsidRDefault="00C95FCB"/>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companies (Nokia, Samsung, Ericsson) don’t think this is needed and 1 company (Futurewei)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lastRenderedPageBreak/>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w:t>
            </w:r>
            <w:r>
              <w:lastRenderedPageBreak/>
              <w:t xml:space="preserve">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60739"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77777777" w:rsidR="00C95FCB" w:rsidRPr="009C50BB" w:rsidRDefault="00D804E1" w:rsidP="009C50BB">
      <w:pPr>
        <w:pStyle w:val="Heading5"/>
      </w:pPr>
      <w:r w:rsidRPr="009C50BB">
        <w:t xml:space="preserve">Discussion </w:t>
      </w:r>
      <w:proofErr w:type="gramStart"/>
      <w:r w:rsidRPr="009C50BB">
        <w:t>point</w:t>
      </w:r>
      <w:proofErr w:type="gramEnd"/>
      <w:r w:rsidRPr="009C50BB">
        <w:t xml:space="preserve"> 1-8</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w:t>
            </w:r>
            <w:r>
              <w:rPr>
                <w:rFonts w:ascii="Times New Roman" w:hAnsi="Times New Roman"/>
                <w:szCs w:val="20"/>
                <w:lang w:eastAsia="zh-CN"/>
              </w:rPr>
              <w:lastRenderedPageBreak/>
              <w:t>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lastRenderedPageBreak/>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w:t>
                  </w:r>
                  <w:r>
                    <w:rPr>
                      <w:sz w:val="16"/>
                      <w:lang w:val="en-GB"/>
                    </w:rPr>
                    <w:lastRenderedPageBreak/>
                    <w:t>(K_PTRS=2).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C37104">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0.25pt" o:ole="">
            <v:imagedata r:id="rId42" o:title=""/>
          </v:shape>
          <o:OLEObject Type="Embed" ProgID="Equation.3" ShapeID="_x0000_i1035" DrawAspect="Content" ObjectID="_1696060740"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D47D0" w14:paraId="5E7CFB7C" w14:textId="77777777" w:rsidTr="008A7105">
        <w:trPr>
          <w:trHeight w:val="339"/>
        </w:trPr>
        <w:tc>
          <w:tcPr>
            <w:tcW w:w="1871" w:type="dxa"/>
          </w:tcPr>
          <w:p w14:paraId="6115631D" w14:textId="77777777" w:rsidR="007D47D0" w:rsidRDefault="007D47D0" w:rsidP="008A7105">
            <w:pPr>
              <w:pStyle w:val="BodyText"/>
              <w:spacing w:before="0" w:after="0" w:line="240" w:lineRule="auto"/>
              <w:rPr>
                <w:rFonts w:ascii="Times New Roman" w:hAnsi="Times New Roman"/>
                <w:szCs w:val="20"/>
                <w:lang w:eastAsia="zh-CN"/>
              </w:rPr>
            </w:pPr>
          </w:p>
        </w:tc>
        <w:tc>
          <w:tcPr>
            <w:tcW w:w="8021" w:type="dxa"/>
          </w:tcPr>
          <w:p w14:paraId="0C882841" w14:textId="77777777" w:rsidR="007D47D0" w:rsidRDefault="007D47D0" w:rsidP="008A7105">
            <w:pPr>
              <w:pStyle w:val="BodyText"/>
              <w:spacing w:before="0" w:after="0" w:line="240" w:lineRule="auto"/>
              <w:rPr>
                <w:rFonts w:ascii="Times New Roman" w:hAnsi="Times New Roman"/>
                <w:szCs w:val="20"/>
                <w:lang w:eastAsia="zh-CN"/>
              </w:rPr>
            </w:pP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77777777" w:rsidR="00791093" w:rsidRDefault="00791093" w:rsidP="00791093">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w:t>
            </w:r>
            <w:proofErr w:type="gramStart"/>
            <w:r>
              <w:rPr>
                <w:rFonts w:ascii="Times New Roman" w:hAnsi="Times New Roman"/>
                <w:szCs w:val="20"/>
                <w:lang w:eastAsia="zh-CN"/>
              </w:rPr>
              <w:t>capabilities</w:t>
            </w:r>
            <w:proofErr w:type="gramEnd"/>
            <w:r>
              <w:rPr>
                <w:rFonts w:ascii="Times New Roman" w:hAnsi="Times New Roman"/>
                <w:szCs w:val="20"/>
                <w:lang w:eastAsia="zh-CN"/>
              </w:rPr>
              <w:t xml:space="preserve">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w:t>
      </w:r>
      <w:r>
        <w:rPr>
          <w:rFonts w:ascii="Times New Roman" w:eastAsia="Batang" w:hAnsi="Times New Roman"/>
          <w:sz w:val="22"/>
          <w:szCs w:val="22"/>
          <w:lang w:eastAsia="ko-KR"/>
        </w:rPr>
        <w:lastRenderedPageBreak/>
        <w:t xml:space="preserve">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w:t>
      </w:r>
      <w:r>
        <w:rPr>
          <w:rFonts w:ascii="Times New Roman" w:hAnsi="Times New Roman"/>
          <w:szCs w:val="20"/>
          <w:lang w:eastAsia="zh-CN"/>
        </w:rPr>
        <w:lastRenderedPageBreak/>
        <w:t>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77777777" w:rsidR="00C95FCB" w:rsidRDefault="00D804E1">
      <w:pPr>
        <w:pStyle w:val="Heading5"/>
        <w:rPr>
          <w:lang w:eastAsia="zh-CN"/>
        </w:rPr>
      </w:pPr>
      <w:r>
        <w:rPr>
          <w:lang w:eastAsia="zh-CN"/>
        </w:rPr>
        <w:t>Proposal 2-5</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lastRenderedPageBreak/>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lastRenderedPageBreak/>
              <w:t>CEWiT</w:t>
            </w:r>
            <w:proofErr w:type="spellEnd"/>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whether  to support a new 16 chunks pattern as </w:t>
            </w:r>
            <w:proofErr w:type="gramStart"/>
            <w:r>
              <w:rPr>
                <w:rFonts w:asciiTheme="minorHAnsi" w:hAnsiTheme="minorHAnsi" w:cstheme="minorHAnsi"/>
                <w:lang w:eastAsia="zh-CN"/>
              </w:rPr>
              <w:t>a first priority</w:t>
            </w:r>
            <w:proofErr w:type="gramEnd"/>
            <w:r>
              <w:rPr>
                <w:rFonts w:asciiTheme="minorHAnsi" w:hAnsiTheme="minorHAnsi" w:cstheme="minorHAnsi"/>
                <w:lang w:eastAsia="zh-CN"/>
              </w:rPr>
              <w:t>.</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77777777" w:rsidR="00C95FCB" w:rsidRDefault="00D804E1">
      <w:pPr>
        <w:pStyle w:val="Heading5"/>
        <w:rPr>
          <w:lang w:eastAsia="zh-CN"/>
        </w:rPr>
      </w:pPr>
      <w:r>
        <w:rPr>
          <w:lang w:eastAsia="zh-CN"/>
        </w:rPr>
        <w:t xml:space="preserve">Discussion </w:t>
      </w:r>
      <w:proofErr w:type="gramStart"/>
      <w:r>
        <w:rPr>
          <w:lang w:eastAsia="zh-CN"/>
        </w:rPr>
        <w:t>point</w:t>
      </w:r>
      <w:proofErr w:type="gramEnd"/>
      <w:r>
        <w:rPr>
          <w:lang w:eastAsia="zh-CN"/>
        </w:rPr>
        <w:t xml:space="preserve"> 2-6</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lastRenderedPageBreak/>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w:t>
            </w:r>
            <w:r>
              <w:rPr>
                <w:rFonts w:eastAsia="MS PMincho"/>
                <w:b w:val="0"/>
                <w:lang w:eastAsia="ja-JP"/>
              </w:rPr>
              <w:lastRenderedPageBreak/>
              <w:t>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77777777" w:rsidR="00C95FCB" w:rsidRDefault="00D804E1">
      <w:pPr>
        <w:pStyle w:val="Heading5"/>
      </w:pPr>
      <w:r>
        <w:t xml:space="preserve">Discussion </w:t>
      </w:r>
      <w:proofErr w:type="gramStart"/>
      <w:r>
        <w:t>point</w:t>
      </w:r>
      <w:proofErr w:type="gramEnd"/>
      <w:r>
        <w:t xml:space="preserve"> 3-3 </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7777777" w:rsidR="00C95FCB" w:rsidRDefault="00D804E1">
      <w:pPr>
        <w:pStyle w:val="Heading5"/>
      </w:pPr>
      <w:r>
        <w:t xml:space="preserve">Discussion </w:t>
      </w:r>
      <w:proofErr w:type="gramStart"/>
      <w:r>
        <w:t>point</w:t>
      </w:r>
      <w:proofErr w:type="gramEnd"/>
      <w:r>
        <w:t xml:space="preserve"> 4-1 </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77777777" w:rsidR="00C95FCB" w:rsidRDefault="00D804E1">
      <w:pPr>
        <w:pStyle w:val="Heading5"/>
      </w:pPr>
      <w:r>
        <w:t xml:space="preserve">Discussion </w:t>
      </w:r>
      <w:proofErr w:type="gramStart"/>
      <w:r>
        <w:t>point</w:t>
      </w:r>
      <w:proofErr w:type="gramEnd"/>
      <w:r>
        <w:t xml:space="preserve"> 4-2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14:paraId="1B45206B"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14:paraId="1C965C04"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14:paraId="0A41C980"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C37104">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C89A" w14:textId="77777777" w:rsidR="00C37104" w:rsidRDefault="00C37104">
      <w:pPr>
        <w:spacing w:after="0" w:line="240" w:lineRule="auto"/>
      </w:pPr>
      <w:r>
        <w:separator/>
      </w:r>
    </w:p>
  </w:endnote>
  <w:endnote w:type="continuationSeparator" w:id="0">
    <w:p w14:paraId="5C8B7426" w14:textId="77777777" w:rsidR="00C37104" w:rsidRDefault="00C3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56ECF4A9"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38E9A" w14:textId="77777777" w:rsidR="00C37104" w:rsidRDefault="00C37104">
      <w:pPr>
        <w:spacing w:after="0" w:line="240" w:lineRule="auto"/>
      </w:pPr>
      <w:r>
        <w:separator/>
      </w:r>
    </w:p>
  </w:footnote>
  <w:footnote w:type="continuationSeparator" w:id="0">
    <w:p w14:paraId="2125D9BA" w14:textId="77777777" w:rsidR="00C37104" w:rsidRDefault="00C3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B4925CD-2819-4625-82B0-86587C4B8A7B}">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A0C5813-328F-40DF-B020-2C73E082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83</Pages>
  <Words>32588</Words>
  <Characters>185755</Characters>
  <Application>Microsoft Office Word</Application>
  <DocSecurity>0</DocSecurity>
  <Lines>1547</Lines>
  <Paragraphs>435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Stephen Grant</cp:lastModifiedBy>
  <cp:revision>3</cp:revision>
  <cp:lastPrinted>2011-11-09T07:49:00Z</cp:lastPrinted>
  <dcterms:created xsi:type="dcterms:W3CDTF">2021-10-18T14:51:00Z</dcterms:created>
  <dcterms:modified xsi:type="dcterms:W3CDTF">2021-10-18T17:47:00Z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