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6pt;mso-width-percent:0;mso-height-percent:0;mso-width-percent:0;mso-height-percent:0" o:ole="">
            <v:imagedata r:id="rId13" o:title=""/>
          </v:shape>
          <o:OLEObject Type="Embed" ProgID="Equation.3" ShapeID="_x0000_i1025" DrawAspect="Content" ObjectID="_1695821150"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722AE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722AE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722AE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722AE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722AE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27CD5D4A">
                <v:shape id="_x0000_i1026"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2A9D185B">
                <v:shape id="_x0000_i1027"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381FDEB9">
                <v:shape id="_x0000_i1028"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74DC4EF4">
                <v:shape id="_x0000_i1029"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311B0CBB">
                <v:shape id="_x0000_i1030"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6C32D2D5">
                <v:shape id="_x0000_i1031"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32C54792">
                <v:shape id="_x0000_i1032"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6D8F7AFF">
                <v:shape id="_x0000_i1033"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14EAC1BA">
                <v:shape id="_x0000_i1034"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3D17D876">
                <v:shape id="_x0000_i1035"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642EE">
              <w:rPr>
                <w:noProof/>
                <w:position w:val="-6"/>
              </w:rPr>
              <w:pict w14:anchorId="6E0724F1">
                <v:shape id="_x0000_i1036"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7642EE">
              <w:rPr>
                <w:noProof/>
                <w:position w:val="-6"/>
              </w:rPr>
              <w:pict w14:anchorId="14FCC866">
                <v:shape id="_x0000_i1037"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722AE6">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ac"/>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lastRenderedPageBreak/>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lastRenderedPageBreak/>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pt;height:16.3pt;mso-width-percent:0;mso-height-percent:0;mso-width-percent:0;mso-height-percent:0" o:ole="">
                        <v:imagedata r:id="rId16" o:title=""/>
                      </v:shape>
                      <o:OLEObject Type="Embed" ProgID="Equation.3" ShapeID="_x0000_i1038" DrawAspect="Content" ObjectID="_1695821151"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3pt;height:14.25pt;mso-width-percent:0;mso-height-percent:0;mso-width-percent:0;mso-height-percent:0" o:ole="">
                        <v:imagedata r:id="rId18" o:title=""/>
                      </v:shape>
                      <o:OLEObject Type="Embed" ProgID="Equation.3" ShapeID="_x0000_i1039" DrawAspect="Content" ObjectID="_1695821152"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lastRenderedPageBreak/>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lastRenderedPageBreak/>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lastRenderedPageBreak/>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lastRenderedPageBreak/>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lastRenderedPageBreak/>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lastRenderedPageBreak/>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ac"/>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lastRenderedPageBreak/>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8F16B1">
            <w:pPr>
              <w:pStyle w:val="ac"/>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ac"/>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ac"/>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w:t>
            </w:r>
            <w:r>
              <w:rPr>
                <w:rFonts w:ascii="Times New Roman" w:hAnsi="Times New Roman"/>
                <w:sz w:val="22"/>
                <w:szCs w:val="22"/>
                <w:lang w:eastAsia="zh-CN"/>
              </w:rPr>
              <w:lastRenderedPageBreak/>
              <w:t xml:space="preserve">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lastRenderedPageBreak/>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75B226E1"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2CFE7CEF"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6"/>
        <w:rPr>
          <w:lang w:eastAsia="zh-CN"/>
        </w:rPr>
      </w:pPr>
      <w:r>
        <w:rPr>
          <w:lang w:eastAsia="zh-CN"/>
        </w:rPr>
        <w:t xml:space="preserve">Proposal 1.9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77777777" w:rsidR="007B75F6" w:rsidRDefault="007B75F6" w:rsidP="007B75F6">
      <w:pPr>
        <w:pStyle w:val="6"/>
        <w:rPr>
          <w:lang w:eastAsia="zh-CN"/>
        </w:rPr>
      </w:pPr>
      <w:r>
        <w:rPr>
          <w:lang w:eastAsia="zh-CN"/>
        </w:rPr>
        <w:t>Proposal 1.9B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lastRenderedPageBreak/>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38DA668F"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c"/>
              <w:spacing w:after="0"/>
              <w:rPr>
                <w:rFonts w:ascii="Times New Roman" w:eastAsiaTheme="minorEastAsia" w:hAnsi="Times New Roman" w:hint="eastAsia"/>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hint="eastAsia"/>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r>
              <w:rPr>
                <w:rFonts w:ascii="Times New Roman" w:hAnsi="Times New Roman"/>
                <w:sz w:val="22"/>
                <w:szCs w:val="22"/>
                <w:lang w:eastAsia="zh-CN"/>
              </w:rPr>
              <w:t>)</w:t>
            </w:r>
          </w:p>
        </w:tc>
      </w:tr>
    </w:tbl>
    <w:p w14:paraId="550C4310" w14:textId="4E90350C"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25AC4BE2"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45pt;height:57.75pt;mso-width-percent:0;mso-height-percent:0;mso-width-percent:0;mso-height-percent:0" o:ole="">
                  <v:imagedata r:id="rId21" o:title=""/>
                </v:shape>
                <o:OLEObject Type="Embed" ProgID="Visio.Drawing.15" ShapeID="_x0000_i1040" DrawAspect="Content" ObjectID="_1695821153" r:id="rId22"/>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w:t>
            </w:r>
            <w:r>
              <w:rPr>
                <w:rFonts w:ascii="Times New Roman" w:hAnsi="Times New Roman"/>
                <w:sz w:val="22"/>
                <w:szCs w:val="22"/>
                <w:lang w:eastAsia="zh-CN"/>
              </w:rPr>
              <w:lastRenderedPageBreak/>
              <w:t xml:space="preserve">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Please note this is quite different for FR1 and existing FR2 design, as some gaps at the end of the slots were possible to use by PRACH in some PRACH configurations. For 480/960kHz due the </w:t>
            </w:r>
            <w:r>
              <w:rPr>
                <w:rFonts w:ascii="Times New Roman" w:hAnsi="Times New Roman"/>
                <w:sz w:val="22"/>
                <w:szCs w:val="22"/>
                <w:lang w:eastAsia="zh-CN"/>
              </w:rPr>
              <w:lastRenderedPageBreak/>
              <w:t>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lastRenderedPageBreak/>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w:t>
            </w:r>
            <w:r w:rsidRPr="00C73922">
              <w:lastRenderedPageBreak/>
              <w:t xml:space="preserve">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722AE6"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7777777"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lastRenderedPageBreak/>
        <w:t>ALT 4) slots that do not contain SSB correspond to the slots that do not contain SSB in 120 kHz Case D.</w:t>
      </w:r>
    </w:p>
    <w:p w14:paraId="36714931" w14:textId="7451DFC5" w:rsidR="00E62852" w:rsidRPr="00E62852" w:rsidRDefault="00E62852" w:rsidP="00E62852">
      <w:pPr>
        <w:pStyle w:val="aff2"/>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E62852">
      <w:pPr>
        <w:pStyle w:val="ac"/>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C5CCD" w14:paraId="50FBB798" w14:textId="77777777" w:rsidTr="00437BEC">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437BEC">
        <w:tc>
          <w:tcPr>
            <w:tcW w:w="1345" w:type="dxa"/>
          </w:tcPr>
          <w:p w14:paraId="63BF178F" w14:textId="78FE6C01" w:rsidR="00AC5CCD" w:rsidRPr="00E20202" w:rsidRDefault="00E2020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4F7C4E2" w14:textId="2E612710" w:rsidR="00AC5CCD" w:rsidRPr="00E20202" w:rsidRDefault="00E2020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1.2-2D.</w:t>
            </w:r>
          </w:p>
        </w:tc>
      </w:tr>
      <w:tr w:rsidR="00821181" w:rsidRPr="00FB6440" w14:paraId="1652C6D5" w14:textId="77777777" w:rsidTr="00821181">
        <w:tc>
          <w:tcPr>
            <w:tcW w:w="1345" w:type="dxa"/>
          </w:tcPr>
          <w:p w14:paraId="69A7B7D2" w14:textId="77777777" w:rsidR="00821181" w:rsidRPr="00FB6440" w:rsidRDefault="00821181" w:rsidP="00790347">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6243ECE5" w14:textId="77777777" w:rsidR="00821181" w:rsidRDefault="00821181" w:rsidP="00790347">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790347">
            <w:pPr>
              <w:pStyle w:val="ac"/>
              <w:spacing w:after="0"/>
              <w:rPr>
                <w:rFonts w:ascii="Times New Roman" w:eastAsiaTheme="minorEastAsia" w:hAnsi="Times New Roman"/>
                <w:sz w:val="22"/>
                <w:szCs w:val="22"/>
                <w:lang w:eastAsia="ko-KR"/>
              </w:rPr>
            </w:pPr>
          </w:p>
          <w:p w14:paraId="60C05A6C" w14:textId="77777777" w:rsidR="00821181" w:rsidRDefault="00821181" w:rsidP="00790347">
            <w:pPr>
              <w:pStyle w:val="6"/>
              <w:outlineLvl w:val="5"/>
              <w:rPr>
                <w:lang w:eastAsia="zh-CN"/>
              </w:rPr>
            </w:pPr>
            <w:r>
              <w:rPr>
                <w:lang w:eastAsia="zh-CN"/>
              </w:rPr>
              <w:t>Proposal 1.2-2D (alt 4)</w:t>
            </w:r>
          </w:p>
          <w:p w14:paraId="4E59DB38" w14:textId="77777777" w:rsidR="00821181" w:rsidRDefault="00821181" w:rsidP="0079034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79034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79034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79034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790347">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790347">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790347">
            <w:pPr>
              <w:pStyle w:val="ac"/>
              <w:spacing w:after="0"/>
              <w:rPr>
                <w:rFonts w:ascii="Times New Roman" w:eastAsiaTheme="minorEastAsia" w:hAnsi="Times New Roman"/>
                <w:sz w:val="22"/>
                <w:szCs w:val="22"/>
                <w:lang w:eastAsia="ko-KR"/>
              </w:rPr>
            </w:pPr>
          </w:p>
          <w:p w14:paraId="55CC367A" w14:textId="77777777" w:rsidR="00821181" w:rsidRPr="00FB6440" w:rsidRDefault="00821181" w:rsidP="00790347">
            <w:pPr>
              <w:pStyle w:val="ac"/>
              <w:spacing w:after="0"/>
              <w:rPr>
                <w:rFonts w:ascii="Times New Roman" w:eastAsiaTheme="minorEastAsia" w:hAnsi="Times New Roman"/>
                <w:sz w:val="22"/>
                <w:szCs w:val="22"/>
                <w:lang w:eastAsia="ko-KR"/>
              </w:rPr>
            </w:pPr>
          </w:p>
        </w:tc>
      </w:tr>
      <w:tr w:rsidR="007642EE" w:rsidRPr="00FB6440" w14:paraId="4DF8FCEE" w14:textId="77777777" w:rsidTr="00821181">
        <w:tc>
          <w:tcPr>
            <w:tcW w:w="1345" w:type="dxa"/>
          </w:tcPr>
          <w:p w14:paraId="20B7E7D0" w14:textId="6CEABDF1" w:rsidR="007642EE" w:rsidRDefault="007642EE" w:rsidP="007642EE">
            <w:pPr>
              <w:pStyle w:val="ac"/>
              <w:spacing w:after="0"/>
              <w:rPr>
                <w:rFonts w:ascii="Times New Roman" w:eastAsiaTheme="minorEastAsia" w:hAnsi="Times New Roman" w:hint="eastAsia"/>
                <w:sz w:val="22"/>
                <w:szCs w:val="22"/>
                <w:lang w:eastAsia="ko-KR"/>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617" w:type="dxa"/>
          </w:tcPr>
          <w:p w14:paraId="4A44D700" w14:textId="0485B214" w:rsidR="007642EE" w:rsidRDefault="007642EE" w:rsidP="007642EE">
            <w:pPr>
              <w:pStyle w:val="ac"/>
              <w:spacing w:after="0"/>
              <w:rPr>
                <w:rFonts w:ascii="Times New Roman" w:eastAsiaTheme="minorEastAsia" w:hAnsi="Times New Roman" w:hint="eastAsia"/>
                <w:sz w:val="22"/>
                <w:szCs w:val="22"/>
                <w:lang w:eastAsia="ko-KR"/>
              </w:rPr>
            </w:pPr>
            <w:r>
              <w:rPr>
                <w:rFonts w:ascii="Times New Roman" w:eastAsia="ＭＳ 明朝" w:hAnsi="Times New Roman"/>
                <w:sz w:val="22"/>
                <w:szCs w:val="22"/>
                <w:lang w:eastAsia="ja-JP"/>
              </w:rPr>
              <w:t xml:space="preserve">We generally believe that larger number of consecutive non-SSB slots would be needed to accommodate UL repetitions and/or multi-PDSCH/PUSCH scheduling, </w:t>
            </w:r>
            <w:proofErr w:type="gramStart"/>
            <w:r>
              <w:rPr>
                <w:rFonts w:ascii="Times New Roman" w:eastAsia="ＭＳ 明朝" w:hAnsi="Times New Roman"/>
                <w:sz w:val="22"/>
                <w:szCs w:val="22"/>
                <w:lang w:eastAsia="ja-JP"/>
              </w:rPr>
              <w:t>e.g.</w:t>
            </w:r>
            <w:proofErr w:type="gramEnd"/>
            <w:r>
              <w:rPr>
                <w:rFonts w:ascii="Times New Roman" w:eastAsia="ＭＳ 明朝" w:hAnsi="Times New Roman"/>
                <w:sz w:val="22"/>
                <w:szCs w:val="22"/>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77777777"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ac"/>
        <w:spacing w:after="0"/>
        <w:rPr>
          <w:rFonts w:ascii="Times New Roman" w:hAnsi="Times New Roman"/>
          <w:sz w:val="22"/>
          <w:szCs w:val="22"/>
          <w:lang w:eastAsia="zh-CN"/>
        </w:rPr>
      </w:pPr>
    </w:p>
    <w:p w14:paraId="5B0EDA40" w14:textId="63D7BB37" w:rsidR="00AC5CCD" w:rsidRDefault="00AC5CCD">
      <w:pPr>
        <w:pStyle w:val="ac"/>
        <w:spacing w:after="0"/>
        <w:rPr>
          <w:rFonts w:ascii="Times New Roman" w:hAnsi="Times New Roman"/>
          <w:sz w:val="22"/>
          <w:szCs w:val="22"/>
          <w:lang w:eastAsia="zh-CN"/>
        </w:rPr>
      </w:pPr>
    </w:p>
    <w:p w14:paraId="66361162" w14:textId="77777777" w:rsidR="00AC5CCD" w:rsidRDefault="00AC5CC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9" w:name="_Ref83755805"/>
      <w:r>
        <w:t xml:space="preserve">Table </w:t>
      </w:r>
      <w:fldSimple w:instr=" SEQ Table \* ARABIC ">
        <w:r>
          <w:t>4</w:t>
        </w:r>
      </w:fldSimple>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20" w:name="_Ref83755839"/>
      <w:r>
        <w:t xml:space="preserve">Table </w:t>
      </w:r>
      <w:fldSimple w:instr=" SEQ Table \* ARABIC ">
        <w:r>
          <w:t>5</w:t>
        </w:r>
      </w:fldSimple>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722AE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722AE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lastRenderedPageBreak/>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lastRenderedPageBreak/>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lastRenderedPageBreak/>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lastRenderedPageBreak/>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77777777"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hint="eastAsia"/>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77777777"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25pt;height:129pt;mso-width-percent:0;mso-height-percent:0;mso-width-percent:0;mso-height-percent:0" o:ole="">
            <v:imagedata r:id="rId37" o:title=""/>
          </v:shape>
          <o:OLEObject Type="Embed" ProgID="Visio.Drawing.15" ShapeID="_x0000_i1041" DrawAspect="Content" ObjectID="_1695821154" r:id="rId38"/>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lastRenderedPageBreak/>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lastRenderedPageBreak/>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25pt;height:129pt;mso-width-percent:0;mso-height-percent:0;mso-width-percent:0;mso-height-percent:0" o:ole="">
            <v:imagedata r:id="rId37" o:title=""/>
          </v:shape>
          <o:OLEObject Type="Embed" ProgID="Visio.Drawing.15" ShapeID="_x0000_i1042" DrawAspect="Content" ObjectID="_1695821155" r:id="rId39"/>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77777777"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485BF9" w14:paraId="11BAA630" w14:textId="77777777" w:rsidTr="00437BEC">
        <w:tc>
          <w:tcPr>
            <w:tcW w:w="1345" w:type="dxa"/>
          </w:tcPr>
          <w:p w14:paraId="6BF2B058" w14:textId="77777777" w:rsidR="00485BF9" w:rsidRDefault="00485BF9" w:rsidP="00437BEC">
            <w:pPr>
              <w:pStyle w:val="ac"/>
              <w:spacing w:after="0"/>
              <w:rPr>
                <w:rFonts w:ascii="Times New Roman" w:hAnsi="Times New Roman"/>
                <w:sz w:val="22"/>
                <w:szCs w:val="22"/>
                <w:lang w:eastAsia="zh-CN"/>
              </w:rPr>
            </w:pPr>
          </w:p>
        </w:tc>
        <w:tc>
          <w:tcPr>
            <w:tcW w:w="8617" w:type="dxa"/>
          </w:tcPr>
          <w:p w14:paraId="58640FB0" w14:textId="77777777" w:rsidR="00485BF9" w:rsidRDefault="00485BF9" w:rsidP="00437BEC">
            <w:pPr>
              <w:pStyle w:val="ac"/>
              <w:spacing w:after="0"/>
              <w:rPr>
                <w:rFonts w:ascii="Times New Roman" w:hAnsi="Times New Roman"/>
                <w:sz w:val="22"/>
                <w:szCs w:val="22"/>
                <w:lang w:eastAsia="zh-CN"/>
              </w:rPr>
            </w:pP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lastRenderedPageBreak/>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lastRenderedPageBreak/>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ff5"/>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ac"/>
        <w:numPr>
          <w:ilvl w:val="2"/>
          <w:numId w:val="7"/>
        </w:numPr>
        <w:spacing w:after="0"/>
        <w:rPr>
          <w:rFonts w:ascii="Times New Roman" w:hAnsi="Times New Roman"/>
          <w:sz w:val="22"/>
          <w:szCs w:val="22"/>
          <w:lang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722AE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722AE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w:t>
      </w:r>
      <w:proofErr w:type="gramStart"/>
      <w:r>
        <w:rPr>
          <w:rFonts w:ascii="Times New Roman" w:hAnsi="Times New Roman"/>
          <w:sz w:val="22"/>
          <w:szCs w:val="22"/>
          <w:lang w:eastAsia="zh-CN"/>
        </w:rPr>
        <w:t xml:space="preserve">.  </w:t>
      </w:r>
      <w:proofErr w:type="gramEnd"/>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722AE6">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722AE6">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722AE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25pt;mso-width-percent:0;mso-height-percent:0;mso-width-percent:0;mso-height-percent:0" o:ole="">
                  <v:imagedata r:id="rId41" o:title=""/>
                </v:shape>
                <o:OLEObject Type="Embed" ProgID="Visio.Drawing.11" ShapeID="_x0000_i1043" DrawAspect="Content" ObjectID="_1695821156" r:id="rId42"/>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722AE6"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722AE6"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ac"/>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722AE6"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722AE6"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722AE6"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722AE6"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61287C"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77777777"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ＭＳ 明朝" w:hAnsi="Times New Roman"/>
                <w:sz w:val="22"/>
                <w:szCs w:val="22"/>
                <w:lang w:eastAsia="ja-JP"/>
              </w:rPr>
              <w:t>etc</w:t>
            </w:r>
            <w:proofErr w:type="spellEnd"/>
            <w:r>
              <w:rPr>
                <w:rFonts w:ascii="Times New Roman" w:eastAsia="ＭＳ 明朝" w:hAnsi="Times New Roman"/>
                <w:sz w:val="22"/>
                <w:szCs w:val="22"/>
                <w:lang w:eastAsia="ja-JP"/>
              </w:rPr>
              <w:t xml:space="preserve">, why don’t we use the other PRACH formats and/or RO configurations instead of specifying gap? NW operation can avoid all the issues raised by the proponents basically. </w:t>
            </w: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77777777"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Reuse RA-RNTI formula defined for 120 kHz SCS also for the cases PRACH is configured with 480 or 960 kHz SCS where</w:t>
      </w:r>
    </w:p>
    <w:p w14:paraId="6CCFEA29" w14:textId="77777777" w:rsidR="00D509F8" w:rsidRDefault="00722AE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722AE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722AE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722AE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722AE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lastRenderedPageBreak/>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BDE9C" w14:textId="77777777" w:rsidR="00722AE6" w:rsidRDefault="00722AE6">
      <w:pPr>
        <w:spacing w:after="0" w:line="240" w:lineRule="auto"/>
      </w:pPr>
      <w:r>
        <w:separator/>
      </w:r>
    </w:p>
  </w:endnote>
  <w:endnote w:type="continuationSeparator" w:id="0">
    <w:p w14:paraId="4D937D1B" w14:textId="77777777" w:rsidR="00722AE6" w:rsidRDefault="0072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2E5246" w:rsidRDefault="002E5246">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2E5246" w:rsidRDefault="002E524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2A0B80B6" w:rsidR="002E5246" w:rsidRDefault="002E5246">
    <w:pPr>
      <w:pStyle w:val="af1"/>
      <w:ind w:right="360"/>
    </w:pPr>
    <w:r>
      <w:rPr>
        <w:rStyle w:val="afc"/>
      </w:rPr>
      <w:fldChar w:fldCharType="begin"/>
    </w:r>
    <w:r>
      <w:rPr>
        <w:rStyle w:val="afc"/>
      </w:rPr>
      <w:instrText xml:space="preserve"> PAGE </w:instrText>
    </w:r>
    <w:r>
      <w:rPr>
        <w:rStyle w:val="afc"/>
      </w:rPr>
      <w:fldChar w:fldCharType="separate"/>
    </w:r>
    <w:r w:rsidR="00821181">
      <w:rPr>
        <w:rStyle w:val="afc"/>
        <w:noProof/>
      </w:rPr>
      <w:t>109</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821181">
      <w:rPr>
        <w:rStyle w:val="afc"/>
        <w:noProof/>
      </w:rPr>
      <w:t>136</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D373" w14:textId="77777777" w:rsidR="00722AE6" w:rsidRDefault="00722AE6">
      <w:pPr>
        <w:spacing w:after="0" w:line="240" w:lineRule="auto"/>
      </w:pPr>
      <w:r>
        <w:separator/>
      </w:r>
    </w:p>
  </w:footnote>
  <w:footnote w:type="continuationSeparator" w:id="0">
    <w:p w14:paraId="4AB111B9" w14:textId="77777777" w:rsidR="00722AE6" w:rsidRDefault="00722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2E5246" w:rsidRDefault="002E524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__23.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oleObject4.bin"/><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3.wmf"/><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__1.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__12.vsdx"/><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B2AD4AD-E280-49EB-BD3F-498D6B139DC3}">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223C0932-F790-4856-9269-544B0D4E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136</Pages>
  <Words>43281</Words>
  <Characters>246704</Characters>
  <Application>Microsoft Office Word</Application>
  <DocSecurity>0</DocSecurity>
  <Lines>2055</Lines>
  <Paragraphs>578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289407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Naoya Shibaike</cp:lastModifiedBy>
  <cp:revision>2</cp:revision>
  <cp:lastPrinted>2011-11-09T07:49:00Z</cp:lastPrinted>
  <dcterms:created xsi:type="dcterms:W3CDTF">2021-10-15T07:38:00Z</dcterms:created>
  <dcterms:modified xsi:type="dcterms:W3CDTF">2021-10-15T07:38:00Z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