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#106bis-e</w:t>
      </w:r>
      <w:r>
        <w:tab/>
      </w:r>
      <w:r>
        <w:rPr>
          <w:sz w:val="32"/>
          <w:szCs w:val="32"/>
        </w:rPr>
        <w:t>R1-21xxxxx</w:t>
      </w:r>
    </w:p>
    <w:p>
      <w:pPr>
        <w:pStyle w:val="64"/>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8.17.6</w:t>
      </w:r>
    </w:p>
    <w:p>
      <w:pPr>
        <w:pStyle w:val="64"/>
        <w:rPr>
          <w:sz w:val="20"/>
          <w:szCs w:val="20"/>
        </w:rPr>
      </w:pPr>
      <w:r>
        <w:rPr>
          <w:sz w:val="20"/>
          <w:szCs w:val="20"/>
        </w:rPr>
        <w:t>Title:</w:t>
      </w:r>
      <w:r>
        <w:rPr>
          <w:sz w:val="20"/>
          <w:szCs w:val="20"/>
        </w:rPr>
        <w:tab/>
      </w:r>
      <w:r>
        <w:rPr>
          <w:sz w:val="20"/>
          <w:szCs w:val="20"/>
        </w:rPr>
        <w:t>FL summary on incoming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lang w:val="en-GB" w:eastAsia="zh-CN"/>
              </w:rPr>
            </w:pPr>
            <w:r>
              <w:rPr>
                <w:rFonts w:ascii="Times" w:hAnsi="Times" w:eastAsia="Batang" w:cs="Times New Roman"/>
                <w:szCs w:val="24"/>
                <w:highlight w:val="cyan"/>
                <w:lang w:val="en-GB" w:eastAsia="zh-CN"/>
              </w:rPr>
              <w:t>[106bis-e-R17-UE-features-REDCAP-02] Discuss incoming LS on capability related RAN2 agreements for REDCAP for a possible reply LS by October 18 – Johan (Ericsson)</w:t>
            </w:r>
          </w:p>
        </w:tc>
      </w:tr>
    </w:tbl>
    <w:p>
      <w:pPr>
        <w:spacing w:after="100" w:afterAutospacing="1"/>
        <w:jc w:val="both"/>
        <w:rPr>
          <w:rFonts w:ascii="Times New Roman" w:hAnsi="Times New Roman" w:eastAsia="Batang" w:cs="Times New Roman"/>
          <w:szCs w:val="20"/>
        </w:rPr>
      </w:pPr>
      <w:r>
        <w:rPr>
          <w:rFonts w:ascii="Times New Roman" w:hAnsi="Times New Roman" w:eastAsia="Batang" w:cs="Times New Roman"/>
          <w:szCs w:val="20"/>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FL1</w:t>
      </w:r>
      <w:r>
        <w:rPr>
          <w:rFonts w:ascii="Times New Roman" w:hAnsi="Times New Roman" w:eastAsia="Batang" w:cs="Times New Roman"/>
          <w:szCs w:val="20"/>
        </w:rPr>
        <w:t>.</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w:t>
      </w:r>
      <w:r>
        <w:rPr>
          <w:rFonts w:ascii="Times New Roman" w:hAnsi="Times New Roman" w:eastAsia="Times New Roman" w:cs="Times New Roman"/>
          <w:i/>
          <w:iCs/>
          <w:sz w:val="20"/>
          <w:szCs w:val="20"/>
          <w:lang w:val="en-US"/>
        </w:rPr>
        <w:t>-v002-CompanyA-CompanyB.docx</w:t>
      </w:r>
      <w:r>
        <w:rPr>
          <w:rFonts w:ascii="Times New Roman" w:hAnsi="Times New Roman" w:eastAsia="Times New Roman" w:cs="Times New Roman"/>
          <w:sz w:val="20"/>
          <w:szCs w:val="20"/>
          <w:lang w:val="en-US"/>
        </w:rPr>
        <w: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.checkout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rPr>
        <w:t xml:space="preserve">CompanyC </w:t>
      </w:r>
      <w:r>
        <w:rPr>
          <w:rFonts w:ascii="Times New Roman" w:hAnsi="Times New Roman" w:eastAsia="Times New Roman" w:cs="Times New Roman"/>
          <w:color w:val="FF0000"/>
          <w:sz w:val="20"/>
          <w:szCs w:val="20"/>
        </w:rPr>
        <w:t>checks that no one else has created a checkout file simultaneously</w:t>
      </w:r>
      <w:r>
        <w:rPr>
          <w:rFonts w:ascii="Times New Roman" w:hAnsi="Times New Roman" w:eastAsia="Times New Roman" w:cs="Times New Roman"/>
          <w:sz w:val="20"/>
          <w:szCs w:val="20"/>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rPr>
        <w:t>).</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.docx</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5"/>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"https://www.3gpp.org/ftp/TSG_RAN/WG1_RL1/TSGR1_106b-e/Docs/R1-2108693.zip" </w:instrText>
      </w:r>
      <w:r>
        <w:fldChar w:fldCharType="separate"/>
      </w:r>
      <w:r>
        <w:rPr>
          <w:rStyle w:val="58"/>
          <w:rFonts w:ascii="Times New Roman" w:hAnsi="Times New Roman" w:cs="Times New Roman"/>
          <w:szCs w:val="20"/>
        </w:rPr>
        <w:t>R1-2108693</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spacing w:after="100" w:afterAutospacing="1" w:line="256" w:lineRule="auto"/>
        <w:jc w:val="both"/>
        <w:rPr>
          <w:rFonts w:ascii="Times" w:hAnsi="Times" w:eastAsia="Batang" w:cs="Times New Roman"/>
          <w:b/>
          <w:szCs w:val="24"/>
        </w:rPr>
      </w:pPr>
      <w:r>
        <w:rPr>
          <w:rFonts w:ascii="Times" w:hAnsi="Times" w:eastAsia="Batang" w:cs="Times New Roman"/>
          <w:b/>
          <w:szCs w:val="24"/>
        </w:rPr>
        <w:t>FL1 Question 1-1: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Company</w:t>
            </w:r>
          </w:p>
        </w:tc>
        <w:tc>
          <w:tcPr>
            <w:tcW w:w="241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eastAsia"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eastAsia" w:ascii="Times New Roman" w:hAnsi="Times New Roman" w:eastAsia="等线" w:cs="Times New Roman"/>
                <w:szCs w:val="20"/>
                <w:lang w:eastAsia="zh-CN"/>
              </w:rPr>
            </w:pPr>
            <w:r>
              <w:rPr>
                <w:rFonts w:hint="eastAsia" w:ascii="Times New Roman" w:hAnsi="Times New Roman" w:eastAsia="等线" w:cs="Times New Roman"/>
                <w:szCs w:val="20"/>
                <w:lang w:eastAsia="zh-CN"/>
              </w:rPr>
              <w:t>X</w:t>
            </w:r>
            <w:r>
              <w:rPr>
                <w:rFonts w:ascii="Times New Roman" w:hAnsi="Times New Roman" w:eastAsia="等线" w:cs="Times New Roman"/>
                <w:szCs w:val="20"/>
                <w:lang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eastAsia" w:ascii="Times New Roman" w:hAnsi="Times New Roman" w:eastAsia="等线" w:cs="Times New Roman"/>
                <w:szCs w:val="20"/>
                <w:lang w:eastAsia="zh-CN"/>
              </w:rPr>
            </w:pPr>
            <w:r>
              <w:rPr>
                <w:rFonts w:hint="eastAsia" w:ascii="Times New Roman" w:hAnsi="Times New Roman" w:eastAsia="等线" w:cs="Times New Roman"/>
                <w:szCs w:val="20"/>
                <w:lang w:eastAsia="zh-CN"/>
              </w:rPr>
              <w:t>p</w:t>
            </w:r>
            <w:r>
              <w:rPr>
                <w:rFonts w:ascii="Times New Roman" w:hAnsi="Times New Roman" w:eastAsia="等线" w:cs="Times New Roman"/>
                <w:szCs w:val="20"/>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等线" w:cs="Times New Roman"/>
                <w:szCs w:val="20"/>
                <w:lang w:val="en-US" w:eastAsia="zh-CN"/>
              </w:rPr>
            </w:pPr>
            <w:r>
              <w:rPr>
                <w:rFonts w:hint="eastAsia" w:ascii="Times New Roman" w:hAnsi="Times New Roman" w:eastAsia="等线" w:cs="Times New Roman"/>
                <w:szCs w:val="20"/>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bl>
    <w:p>
      <w:pPr>
        <w:pStyle w:val="15"/>
        <w:rPr>
          <w:rFonts w:cs="Arial"/>
        </w:rPr>
      </w:pPr>
    </w:p>
    <w:p>
      <w:pPr>
        <w:pStyle w:val="2"/>
      </w:pPr>
      <w:r>
        <w:t>2</w:t>
      </w:r>
      <w:r>
        <w:tab/>
      </w:r>
      <w:r>
        <w:t>Feedback on RAN2 agreements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type="textWrapping"/>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 xml:space="preserve">RAN2 Working Assumption: by default, all non-RedCap UE capabilities are applicable for RedCap </w:t>
            </w:r>
            <w:r>
              <w:rPr>
                <w:rFonts w:eastAsia="Calibri" w:cs="Arial"/>
                <w:szCs w:val="20"/>
                <w:lang w:eastAsia="en-GB"/>
              </w:rPr>
              <w:tab/>
            </w:r>
            <w:r>
              <w:rPr>
                <w:rFonts w:eastAsia="Calibri" w:cs="Arial"/>
                <w:szCs w:val="20"/>
                <w:lang w:eastAsia="en-GB"/>
              </w:rPr>
              <w:t xml:space="preserve">UE, and therefore only for non-RedCap capabilities that are not appliable for RedCap UE, we clarify </w:t>
            </w:r>
            <w:r>
              <w:rPr>
                <w:rFonts w:eastAsia="Calibri" w:cs="Arial"/>
                <w:szCs w:val="20"/>
                <w:lang w:eastAsia="en-GB"/>
              </w:rPr>
              <w:tab/>
            </w:r>
            <w:r>
              <w:rPr>
                <w:rFonts w:eastAsia="Calibri" w:cs="Arial"/>
                <w:szCs w:val="20"/>
                <w:lang w:eastAsia="en-GB"/>
              </w:rPr>
              <w:t>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spacing w:after="0" w:line="252" w:lineRule="auto"/>
              <w:contextualSpacing/>
              <w:rPr>
                <w:rFonts w:eastAsia="Times New Roman" w:cs="Arial"/>
                <w:szCs w:val="20"/>
                <w:lang w:eastAsia="en-GB"/>
              </w:rPr>
            </w:pPr>
            <w:r>
              <w:rPr>
                <w:rFonts w:eastAsia="Times New Roman" w:cs="Arial"/>
                <w:szCs w:val="20"/>
                <w:lang w:eastAsia="en-GB"/>
              </w:rPr>
              <w:t>Agreements:</w:t>
            </w:r>
          </w:p>
          <w:p>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r>
            <w:r>
              <w:rPr>
                <w:rFonts w:eastAsia="Times New Roman" w:cs="Arial"/>
                <w:szCs w:val="20"/>
                <w:lang w:eastAsia="en-GB"/>
              </w:rPr>
              <w:t xml:space="preserve">The number of DRBs supported by RedCap UEs is less than legacy value (which is 16). There will </w:t>
            </w:r>
            <w:r>
              <w:rPr>
                <w:rFonts w:eastAsia="Times New Roman" w:cs="Arial"/>
                <w:szCs w:val="20"/>
                <w:lang w:eastAsia="en-GB"/>
              </w:rPr>
              <w:tab/>
            </w:r>
            <w:r>
              <w:rPr>
                <w:rFonts w:eastAsia="Times New Roman" w:cs="Arial"/>
                <w:szCs w:val="20"/>
                <w:lang w:eastAsia="en-GB"/>
              </w:rPr>
              <w:t>be a single mandatory value (FFS if 4 or 8). FFS if it will be possible to have an optional capability</w:t>
            </w:r>
          </w:p>
          <w:p>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r>
            <w:r>
              <w:rPr>
                <w:rFonts w:eastAsia="Times New Roman" w:cs="Arial"/>
                <w:szCs w:val="20"/>
                <w:lang w:eastAsia="en-GB"/>
              </w:rPr>
              <w:t>“RRC processing delay” is not relaxed for RedCap UE</w:t>
            </w:r>
          </w:p>
          <w:p>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r>
            <w:r>
              <w:rPr>
                <w:rFonts w:eastAsia="Times New Roman" w:cs="Arial"/>
                <w:szCs w:val="20"/>
                <w:lang w:eastAsia="en-GB"/>
              </w:rPr>
              <w:t xml:space="preserve">PDCP/RLC AM 12 bits SN is mandatory for RedCap UE, and PDCP/RLC AM 18bits SN is optional </w:t>
            </w:r>
            <w:r>
              <w:rPr>
                <w:rFonts w:eastAsia="Times New Roman" w:cs="Arial"/>
                <w:szCs w:val="20"/>
                <w:lang w:eastAsia="en-GB"/>
              </w:rPr>
              <w:tab/>
            </w:r>
            <w:r>
              <w:rPr>
                <w:rFonts w:eastAsia="Times New Roman" w:cs="Arial"/>
                <w:szCs w:val="20"/>
                <w:lang w:eastAsia="en-GB"/>
              </w:rPr>
              <w:t>supported by RedCap UE; FFS on how to capture this in specification</w:t>
            </w:r>
          </w:p>
          <w:p>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r>
            <w:r>
              <w:rPr>
                <w:rFonts w:eastAsia="Times New Roman" w:cs="Arial"/>
                <w:szCs w:val="20"/>
                <w:lang w:eastAsia="en-GB"/>
              </w:rPr>
              <w:t xml:space="preserve">NE-DC, and (NG)EN-DC are not supported by RedCap UE; FFS on how to capture it in the </w:t>
            </w:r>
            <w:r>
              <w:rPr>
                <w:rFonts w:eastAsia="Times New Roman" w:cs="Arial"/>
                <w:szCs w:val="20"/>
                <w:lang w:eastAsia="en-GB"/>
              </w:rPr>
              <w:tab/>
            </w:r>
            <w:r>
              <w:rPr>
                <w:rFonts w:eastAsia="Times New Roman" w:cs="Arial"/>
                <w:szCs w:val="20"/>
                <w:lang w:eastAsia="en-GB"/>
              </w:rPr>
              <w:t>specification</w:t>
            </w:r>
          </w:p>
          <w:p>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r>
            <w:r>
              <w:rPr>
                <w:rFonts w:eastAsia="Times New Roman" w:cs="Arial"/>
                <w:szCs w:val="20"/>
                <w:lang w:eastAsia="en-GB"/>
              </w:rPr>
              <w:t xml:space="preserve">DAPS and CAPC related capabilities are not applicable for RedCap UE; [8/20] FFS on CHO. FFS on </w:t>
            </w:r>
            <w:r>
              <w:rPr>
                <w:rFonts w:eastAsia="Times New Roman" w:cs="Arial"/>
                <w:szCs w:val="20"/>
                <w:lang w:eastAsia="en-GB"/>
              </w:rPr>
              <w:tab/>
            </w:r>
            <w:r>
              <w:rPr>
                <w:rFonts w:eastAsia="Times New Roman" w:cs="Arial"/>
                <w:szCs w:val="20"/>
                <w:lang w:eastAsia="en-GB"/>
              </w:rPr>
              <w:t>how to capture this in the specification</w:t>
            </w:r>
          </w:p>
          <w:p>
            <w:pPr>
              <w:spacing w:after="0" w:line="252" w:lineRule="auto"/>
              <w:contextualSpacing/>
              <w:rPr>
                <w:rFonts w:ascii="Segoe UI" w:hAnsi="Segoe UI" w:eastAsia="Times New Roman" w:cs="Segoe UI"/>
                <w:szCs w:val="20"/>
                <w:lang w:eastAsia="en-GB"/>
              </w:rPr>
            </w:pPr>
          </w:p>
          <w:p>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r>
            <w:r>
              <w:rPr>
                <w:rFonts w:eastAsia="Times New Roman" w:cs="Arial"/>
                <w:szCs w:val="20"/>
                <w:lang w:eastAsia="en-GB"/>
              </w:rPr>
              <w:t>Maximum 8 DRBs is mandatory supported by RedCap UEs.</w:t>
            </w:r>
          </w:p>
          <w:p>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r>
            <w:r>
              <w:rPr>
                <w:rFonts w:eastAsia="Times New Roman" w:cs="Arial"/>
                <w:szCs w:val="20"/>
                <w:lang w:eastAsia="en-GB"/>
              </w:rPr>
              <w:t>From RAN2 perspective, inter RAT mobility related capabilities are applicable for RedCap UE</w:t>
            </w:r>
          </w:p>
          <w:p>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r>
            <w:r>
              <w:rPr>
                <w:rFonts w:eastAsia="Times New Roman" w:cs="Arial"/>
                <w:szCs w:val="20"/>
                <w:lang w:eastAsia="en-GB"/>
              </w:rPr>
              <w:t>From RAN2 perspective, measurement related capabilities are applicable for RedCap UE</w:t>
            </w:r>
          </w:p>
          <w:p>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r>
            <w:r>
              <w:rPr>
                <w:rFonts w:eastAsia="Times New Roman" w:cs="Arial"/>
                <w:szCs w:val="20"/>
                <w:lang w:eastAsia="en-GB"/>
              </w:rPr>
              <w:t xml:space="preserve">From RAN2 perspective, URLLC related capabilities are applicable for RedCap UE except those </w:t>
            </w:r>
            <w:r>
              <w:rPr>
                <w:rFonts w:eastAsia="Times New Roman" w:cs="Arial"/>
                <w:szCs w:val="20"/>
                <w:lang w:eastAsia="en-GB"/>
              </w:rPr>
              <w:tab/>
            </w:r>
            <w:r>
              <w:rPr>
                <w:rFonts w:eastAsia="Times New Roman" w:cs="Arial"/>
                <w:szCs w:val="20"/>
                <w:lang w:eastAsia="en-GB"/>
              </w:rPr>
              <w:t>affected by CA/DC</w:t>
            </w:r>
          </w:p>
          <w:p>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r>
            <w:r>
              <w:rPr>
                <w:rFonts w:eastAsia="Times New Roman" w:cs="Arial"/>
                <w:szCs w:val="20"/>
                <w:lang w:eastAsia="en-GB"/>
              </w:rPr>
              <w:t xml:space="preserve">From RAN2 perspective, IAB related capabilities are not applicable for RedCap UE, i.e., the RedCap </w:t>
            </w:r>
            <w:r>
              <w:rPr>
                <w:rFonts w:eastAsia="Times New Roman" w:cs="Arial"/>
                <w:szCs w:val="20"/>
                <w:lang w:eastAsia="en-GB"/>
              </w:rPr>
              <w:tab/>
            </w:r>
            <w:r>
              <w:rPr>
                <w:rFonts w:eastAsia="Times New Roman" w:cs="Arial"/>
                <w:szCs w:val="20"/>
                <w:lang w:eastAsia="en-GB"/>
              </w:rPr>
              <w:t>UE is not expected to act as IAB node</w:t>
            </w:r>
          </w:p>
          <w:p>
            <w:pPr>
              <w:spacing w:after="0" w:line="252" w:lineRule="auto"/>
              <w:contextualSpacing/>
              <w:rPr>
                <w:rFonts w:ascii="Segoe UI" w:hAnsi="Segoe UI" w:eastAsia="Times New Roman" w:cs="Segoe UI"/>
                <w:szCs w:val="20"/>
                <w:lang w:eastAsia="en-GB"/>
              </w:rPr>
            </w:pPr>
            <w:r>
              <w:rPr>
                <w:rFonts w:eastAsia="Times New Roman" w:cs="Arial"/>
                <w:szCs w:val="20"/>
                <w:lang w:eastAsia="en-GB"/>
              </w:rPr>
              <w:t>6.</w:t>
            </w:r>
            <w:r>
              <w:rPr>
                <w:rFonts w:eastAsia="Times New Roman" w:cs="Arial"/>
                <w:szCs w:val="20"/>
                <w:lang w:eastAsia="en-GB"/>
              </w:rPr>
              <w:tab/>
            </w:r>
            <w:r>
              <w:rPr>
                <w:rFonts w:eastAsia="Times New Roman" w:cs="Arial"/>
                <w:szCs w:val="20"/>
                <w:lang w:eastAsia="en-GB"/>
              </w:rPr>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r>
            <w:r>
              <w:rPr>
                <w:rFonts w:eastAsia="Times New Roman" w:cs="Arial"/>
                <w:szCs w:val="20"/>
                <w:lang w:eastAsia="en-GB"/>
              </w:rPr>
              <w:t xml:space="preserve">of Rx branches for RedCap is implicitly indicated by the corresponding capability parameter </w:t>
            </w:r>
            <w:r>
              <w:rPr>
                <w:rFonts w:eastAsia="Times New Roman" w:cs="Arial"/>
                <w:szCs w:val="20"/>
                <w:lang w:eastAsia="en-GB"/>
              </w:rPr>
              <w:tab/>
            </w:r>
            <w:r>
              <w:rPr>
                <w:rFonts w:eastAsia="Times New Roman" w:cs="Arial"/>
                <w:szCs w:val="20"/>
                <w:lang w:eastAsia="en-GB"/>
              </w:rPr>
              <w:t>maxNumberMIMO-LayersPDSCH in the existing UE capability framework;</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2-1</w:t>
      </w:r>
      <w:r>
        <w:rPr>
          <w:rFonts w:ascii="Times New Roman" w:hAnsi="Times New Roman" w:eastAsia="Batang" w:cs="Times New Roman"/>
          <w:b/>
          <w:szCs w:val="20"/>
          <w:lang w:val="en-GB"/>
        </w:rPr>
        <w:t>: Is there a need for RAN1 to provide feedback on the above RAN2 agreements?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678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From RAN1 perspective, measurement related capabilities are applicable for RedCap UE except those affected by CA/DC, e.g., FG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Batang" w:cs="Times New Roman"/>
                <w:szCs w:val="20"/>
                <w:lang w:eastAsia="ko-KR"/>
              </w:rPr>
            </w:pP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ascii="Times New Roman" w:hAnsi="Times New Roman" w:eastAsia="Batang" w:cs="Times New Roman"/>
                <w:szCs w:val="20"/>
                <w:lang w:eastAsia="ko-KR"/>
              </w:rPr>
            </w:pPr>
          </w:p>
        </w:tc>
      </w:tr>
    </w:tbl>
    <w:p>
      <w:pPr>
        <w:pStyle w:val="15"/>
        <w:rPr>
          <w:rFonts w:ascii="Times New Roman" w:hAnsi="Times New Roman" w:cs="Times New Roman"/>
          <w:szCs w:val="20"/>
        </w:rPr>
      </w:pPr>
      <w:bookmarkStart w:id="0" w:name="_In-sequence_SDU_delivery"/>
      <w:bookmarkEnd w:id="0"/>
    </w:p>
    <w:p>
      <w:pPr>
        <w:pStyle w:val="2"/>
      </w:pPr>
      <w:r>
        <w:t>3</w:t>
      </w:r>
      <w:r>
        <w:tab/>
      </w:r>
      <w:r>
        <w:t>Rel-15/16 features not applicable for RedCap UEs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also supporting V2X/PC5 on n47</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operating in unlicensed bands</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pPr>
        <w:pStyle w:val="133"/>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pStyle w:val="15"/>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pStyle w:val="15"/>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not be applicable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543"/>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1372" w:type="dxa"/>
          </w:tcPr>
          <w:p>
            <w:pPr>
              <w:tabs>
                <w:tab w:val="left" w:pos="551"/>
              </w:tabs>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Y</w:t>
            </w:r>
          </w:p>
        </w:tc>
        <w:tc>
          <w:tcPr>
            <w:tcW w:w="6780"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We identified following two existing FGs (mandatory with capability signaling), which are not applicable to RedCap UEs, as they are related to &gt;1 ports in UL and &gt;4 layers in DL, respectively. </w:t>
            </w:r>
          </w:p>
          <w:p>
            <w:pPr>
              <w:spacing w:after="180"/>
              <w:rPr>
                <w:rFonts w:ascii="Times New Roman" w:hAnsi="Times New Roman" w:eastAsia="Batang" w:cs="Times New Roman"/>
                <w:szCs w:val="20"/>
                <w:lang w:eastAsia="ko-KR"/>
              </w:rPr>
            </w:pPr>
            <w: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90212" cy="399618"/>
                          </a:xfrm>
                          <a:prstGeom prst="rect">
                            <a:avLst/>
                          </a:prstGeom>
                        </pic:spPr>
                      </pic:pic>
                    </a:graphicData>
                  </a:graphic>
                </wp:inline>
              </w:drawing>
            </w:r>
          </w:p>
          <w:p>
            <w:pPr>
              <w:spacing w:after="180"/>
              <w:rPr>
                <w:rFonts w:ascii="Times New Roman" w:hAnsi="Times New Roman" w:eastAsia="Batang" w:cs="Times New Roman"/>
                <w:szCs w:val="20"/>
                <w:lang w:eastAsia="ko-KR"/>
              </w:rPr>
            </w:pPr>
            <w:r>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08997" cy="3685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678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FG 4-12 is applicable to UE supporting more than 4 layers, which exceds the RedCap UE capability.</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be optional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544"/>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1372" w:type="dxa"/>
          </w:tcPr>
          <w:p>
            <w:pPr>
              <w:tabs>
                <w:tab w:val="left" w:pos="551"/>
              </w:tabs>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Y</w:t>
            </w:r>
          </w:p>
        </w:tc>
        <w:tc>
          <w:tcPr>
            <w:tcW w:w="6780"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W</w:t>
            </w:r>
            <w:r>
              <w:rPr>
                <w:rFonts w:ascii="Times New Roman" w:hAnsi="Times New Roman" w:eastAsia="等线" w:cs="Times New Roman"/>
                <w:szCs w:val="20"/>
                <w:lang w:eastAsia="zh-CN"/>
              </w:rPr>
              <w:t xml:space="preserve">e have identified following existing FGs (mandatory with capability signaling), which can be made optional for RedCap UEs, with the reasons provided below. </w:t>
            </w:r>
          </w:p>
          <w:p>
            <w:pPr>
              <w:adjustRightInd w:val="0"/>
              <w:snapToGrid w:val="0"/>
              <w:spacing w:after="50" w:line="240" w:lineRule="auto"/>
              <w:jc w:val="both"/>
              <w:textAlignment w:val="center"/>
              <w:rPr>
                <w:rFonts w:eastAsiaTheme="minorEastAsia"/>
                <w:szCs w:val="20"/>
                <w:lang w:eastAsia="zh-CN"/>
              </w:rPr>
            </w:pPr>
            <w: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146088" cy="236277"/>
                          </a:xfrm>
                          <a:prstGeom prst="rect">
                            <a:avLst/>
                          </a:prstGeom>
                        </pic:spPr>
                      </pic:pic>
                    </a:graphicData>
                  </a:graphic>
                </wp:inline>
              </w:drawing>
            </w:r>
            <w:r>
              <w:rPr>
                <w:rFonts w:hint="eastAsia" w:eastAsiaTheme="minor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pPr>
              <w:adjustRightInd w:val="0"/>
              <w:snapToGrid w:val="0"/>
              <w:spacing w:after="50" w:line="240" w:lineRule="auto"/>
              <w:jc w:val="both"/>
              <w:textAlignment w:val="center"/>
              <w:rPr>
                <w:rFonts w:eastAsia="等线"/>
                <w:szCs w:val="20"/>
                <w:lang w:eastAsia="zh-CN"/>
              </w:rPr>
            </w:pPr>
          </w:p>
          <w:p>
            <w:pPr>
              <w:adjustRightInd w:val="0"/>
              <w:snapToGrid w:val="0"/>
              <w:spacing w:after="50" w:line="240" w:lineRule="auto"/>
              <w:jc w:val="both"/>
              <w:textAlignment w:val="center"/>
              <w:rPr>
                <w:rFonts w:eastAsia="等线"/>
                <w:szCs w:val="20"/>
                <w:lang w:eastAsia="zh-CN"/>
              </w:rPr>
            </w:pPr>
          </w:p>
          <w:p>
            <w:pPr>
              <w:adjustRightInd w:val="0"/>
              <w:snapToGrid w:val="0"/>
              <w:spacing w:after="50" w:line="240" w:lineRule="auto"/>
              <w:jc w:val="both"/>
              <w:textAlignment w:val="center"/>
              <w:rPr>
                <w:rFonts w:eastAsia="等线"/>
                <w:szCs w:val="20"/>
                <w:lang w:eastAsia="zh-CN"/>
              </w:rPr>
            </w:pPr>
            <w:r>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817689" cy="438290"/>
                          </a:xfrm>
                          <a:prstGeom prst="rect">
                            <a:avLst/>
                          </a:prstGeom>
                        </pic:spPr>
                      </pic:pic>
                    </a:graphicData>
                  </a:graphic>
                </wp:inline>
              </w:drawing>
            </w:r>
          </w:p>
          <w:p>
            <w:pPr>
              <w:adjustRightInd w:val="0"/>
              <w:snapToGrid w:val="0"/>
              <w:spacing w:after="50" w:line="240" w:lineRule="auto"/>
              <w:jc w:val="both"/>
              <w:textAlignment w:val="center"/>
              <w:rPr>
                <w:rFonts w:eastAsia="等线"/>
                <w:szCs w:val="20"/>
                <w:lang w:eastAsia="zh-CN"/>
              </w:rPr>
            </w:pPr>
            <w:r>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926422" cy="320092"/>
                          </a:xfrm>
                          <a:prstGeom prst="rect">
                            <a:avLst/>
                          </a:prstGeom>
                        </pic:spPr>
                      </pic:pic>
                    </a:graphicData>
                  </a:graphic>
                </wp:inline>
              </w:drawing>
            </w:r>
          </w:p>
          <w:p>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pPr>
              <w:spacing w:after="180"/>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DL 256QAM is optional for RedCap UE.</w:t>
            </w: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mandatory features for non-RedCap UEs that should be supported for RedCap UEs but with different value</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541"/>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1372" w:type="dxa"/>
          </w:tcPr>
          <w:p>
            <w:pPr>
              <w:tabs>
                <w:tab w:val="left" w:pos="551"/>
              </w:tabs>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Y</w:t>
            </w:r>
          </w:p>
        </w:tc>
        <w:tc>
          <w:tcPr>
            <w:tcW w:w="6780"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W</w:t>
            </w:r>
            <w:r>
              <w:rPr>
                <w:rFonts w:ascii="Times New Roman" w:hAnsi="Times New Roman" w:eastAsia="等线"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pPr>
              <w:spacing w:after="180"/>
              <w:rPr>
                <w:rFonts w:ascii="Times New Roman" w:hAnsi="Times New Roman" w:eastAsia="等线" w:cs="Times New Roman"/>
                <w:szCs w:val="20"/>
                <w:lang w:eastAsia="zh-CN"/>
              </w:rPr>
            </w:pPr>
            <w: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380288" cy="1694120"/>
                          </a:xfrm>
                          <a:prstGeom prst="rect">
                            <a:avLst/>
                          </a:prstGeom>
                        </pic:spPr>
                      </pic:pic>
                    </a:graphicData>
                  </a:graphic>
                </wp:inline>
              </w:drawing>
            </w:r>
          </w:p>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419786" cy="2196196"/>
                          </a:xfrm>
                          <a:prstGeom prst="rect">
                            <a:avLst/>
                          </a:prstGeom>
                        </pic:spPr>
                      </pic:pic>
                    </a:graphicData>
                  </a:graphic>
                </wp:inline>
              </w:drawing>
            </w:r>
          </w:p>
          <w:p>
            <w:pPr>
              <w:spacing w:after="180"/>
              <w:rPr>
                <w:rFonts w:ascii="Times New Roman" w:hAnsi="Times New Roman" w:eastAsia="等线" w:cs="Times New Roman"/>
                <w:szCs w:val="20"/>
                <w:lang w:eastAsia="zh-CN"/>
              </w:rPr>
            </w:pPr>
            <w: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511628" cy="13339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Batang" w:cs="Times New Roman"/>
                <w:szCs w:val="20"/>
                <w:lang w:eastAsia="ko-KR"/>
              </w:rPr>
            </w:pP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ascii="Times New Roman" w:hAnsi="Times New Roman" w:eastAsia="Batang" w:cs="Times New Roman"/>
                <w:szCs w:val="20"/>
                <w:lang w:eastAsia="ko-KR"/>
              </w:rPr>
            </w:pPr>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optional features for non-RedCap UE that should not be applicable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 xml:space="preserve">Not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6780" w:type="dxa"/>
          </w:tcPr>
          <w:p>
            <w:pPr>
              <w:spacing w:after="180"/>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ab/>
            </w:r>
            <w:r>
              <w:rPr>
                <w:rFonts w:hint="default" w:ascii="Times New Roman" w:hAnsi="Times New Roman" w:eastAsia="宋体" w:cs="Times New Roman"/>
                <w:szCs w:val="20"/>
                <w:lang w:val="en-US" w:eastAsia="zh-CN"/>
              </w:rPr>
              <w:t>FG 10-20, FG 10-20a, and FG 10-29 are not needed due to the RedCap UE bandwidth limitation.</w:t>
            </w:r>
          </w:p>
          <w:p>
            <w:pPr>
              <w:spacing w:after="180"/>
              <w:rPr>
                <w:rFonts w:ascii="Times New Roman" w:hAnsi="Times New Roman" w:eastAsia="Batang" w:cs="Times New Roman"/>
                <w:szCs w:val="20"/>
                <w:lang w:eastAsia="ko-KR"/>
              </w:rPr>
            </w:pPr>
            <w:r>
              <w:rPr>
                <w:rFonts w:hint="default"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ab/>
            </w:r>
            <w:r>
              <w:rPr>
                <w:rFonts w:hint="eastAsia" w:ascii="Times New Roman" w:hAnsi="Times New Roman" w:eastAsia="Batang" w:cs="Times New Roman"/>
                <w:szCs w:val="20"/>
                <w:lang w:eastAsia="ko-KR"/>
              </w:rPr>
              <w:t xml:space="preserve">FGs exceeding </w:t>
            </w:r>
            <w:r>
              <w:rPr>
                <w:rFonts w:hint="eastAsia" w:ascii="Times New Roman" w:hAnsi="Times New Roman" w:eastAsia="宋体" w:cs="Times New Roman"/>
                <w:szCs w:val="20"/>
                <w:lang w:val="en-US" w:eastAsia="zh-CN"/>
              </w:rPr>
              <w:t xml:space="preserve">RX and </w:t>
            </w:r>
            <w:r>
              <w:rPr>
                <w:rFonts w:hint="eastAsia" w:ascii="Times New Roman" w:hAnsi="Times New Roman" w:eastAsia="Batang" w:cs="Times New Roman"/>
                <w:szCs w:val="20"/>
                <w:lang w:eastAsia="ko-KR"/>
              </w:rPr>
              <w:t>1 Tx are not supported, including 2-13, 2-14</w:t>
            </w:r>
            <w:r>
              <w:rPr>
                <w:rFonts w:hint="eastAsia" w:ascii="Times New Roman" w:hAnsi="Times New Roman" w:eastAsia="宋体" w:cs="Times New Roman"/>
                <w:szCs w:val="20"/>
                <w:lang w:val="en-US" w:eastAsia="zh-CN"/>
              </w:rPr>
              <w:t>,15-18, 15-19, 16-3a-3, 16-3b-2</w:t>
            </w:r>
            <w:bookmarkStart w:id="16" w:name="_GoBack"/>
            <w:bookmarkEnd w:id="16"/>
          </w:p>
        </w:tc>
      </w:tr>
    </w:tbl>
    <w:p>
      <w:pPr>
        <w:pStyle w:val="15"/>
        <w:rPr>
          <w:rFonts w:ascii="Times New Roman" w:hAnsi="Times New Roman" w:cs="Times New Roman"/>
          <w:szCs w:val="20"/>
        </w:rPr>
      </w:pP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w:t>
      </w:r>
      <w:r>
        <w:rPr>
          <w:rFonts w:ascii="Times New Roman" w:hAnsi="Times New Roman" w:eastAsia="Batang" w:cs="Times New Roman"/>
          <w:b/>
          <w:szCs w:val="20"/>
          <w:lang w:val="en-GB"/>
        </w:rPr>
        <w:t xml:space="preserve">: Are there any </w:t>
      </w:r>
      <w:r>
        <w:rPr>
          <w:rFonts w:ascii="Times New Roman" w:hAnsi="Times New Roman" w:eastAsia="Batang" w:cs="Times New Roman"/>
          <w:b/>
          <w:color w:val="00B050"/>
          <w:szCs w:val="20"/>
          <w:lang w:val="en-GB"/>
        </w:rPr>
        <w:t>optional features for non-RedCap UE that should be mandatorily supported for RedCap UEs</w:t>
      </w:r>
      <w:r>
        <w:rPr>
          <w:rFonts w:ascii="Times New Roman" w:hAnsi="Times New Roman" w:eastAsia="Batang" w:cs="Times New Roman"/>
          <w:b/>
          <w:szCs w:val="20"/>
          <w:lang w:val="en-GB"/>
        </w:rPr>
        <w:t>, beyond the capabilities related to the features already listed in this section of this document?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1372" w:type="dxa"/>
          </w:tcPr>
          <w:p>
            <w:pPr>
              <w:tabs>
                <w:tab w:val="left" w:pos="551"/>
              </w:tabs>
              <w:spacing w:after="180"/>
              <w:rPr>
                <w:rFonts w:ascii="Times New Roman" w:hAnsi="Times New Roman" w:eastAsia="Batang" w:cs="Times New Roman"/>
                <w:szCs w:val="20"/>
                <w:lang w:eastAsia="ko-KR"/>
              </w:rPr>
            </w:pPr>
          </w:p>
        </w:tc>
        <w:tc>
          <w:tcPr>
            <w:tcW w:w="6780" w:type="dxa"/>
          </w:tcPr>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S</w:t>
            </w:r>
            <w:r>
              <w:rPr>
                <w:rFonts w:ascii="Times New Roman" w:hAnsi="Times New Roman" w:eastAsia="等线" w:cs="Times New Roman"/>
                <w:szCs w:val="20"/>
                <w:lang w:eastAsia="zh-CN"/>
              </w:rPr>
              <w:t xml:space="preserve">uggest to discuss whether some or all the Rel-16 UE power saving features are mandatory for RedCap UEs, i.e. </w:t>
            </w:r>
          </w:p>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R</w:t>
            </w:r>
            <w:r>
              <w:rPr>
                <w:rFonts w:ascii="Times New Roman" w:hAnsi="Times New Roman" w:eastAsia="等线" w:cs="Times New Roman"/>
                <w:szCs w:val="20"/>
                <w:lang w:eastAsia="zh-CN"/>
              </w:rPr>
              <w:t>AN1 features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cs="Arial"/>
                      <w:szCs w:val="18"/>
                    </w:rPr>
                  </w:pPr>
                  <w:r>
                    <w:rPr>
                      <w:rFonts w:cs="Arial"/>
                      <w:szCs w:val="18"/>
                    </w:rPr>
                    <w:t>19-1</w:t>
                  </w:r>
                </w:p>
              </w:tc>
              <w:tc>
                <w:tcPr>
                  <w:tcW w:w="0" w:type="auto"/>
                </w:tcPr>
                <w:p>
                  <w:pPr>
                    <w:pStyle w:val="79"/>
                    <w:rPr>
                      <w:rFonts w:cs="Arial"/>
                      <w:szCs w:val="18"/>
                    </w:rPr>
                  </w:pPr>
                  <w:r>
                    <w:rPr>
                      <w:rFonts w:cs="Arial"/>
                      <w:szCs w:val="18"/>
                    </w:rPr>
                    <w:t xml:space="preserve">DRX Adaptation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cs="Arial"/>
                      <w:szCs w:val="18"/>
                    </w:rPr>
                  </w:pPr>
                  <w:r>
                    <w:rPr>
                      <w:rFonts w:cs="Arial"/>
                      <w:szCs w:val="18"/>
                    </w:rPr>
                    <w:t>19-2</w:t>
                  </w:r>
                </w:p>
              </w:tc>
              <w:tc>
                <w:tcPr>
                  <w:tcW w:w="0" w:type="auto"/>
                </w:tcPr>
                <w:p>
                  <w:pPr>
                    <w:pStyle w:val="79"/>
                    <w:rPr>
                      <w:rFonts w:cs="Arial"/>
                      <w:szCs w:val="18"/>
                    </w:rPr>
                  </w:pPr>
                  <w:r>
                    <w:rPr>
                      <w:rFonts w:cs="Arial"/>
                      <w:szCs w:val="18"/>
                    </w:rPr>
                    <w:t>Cross 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cs="Arial"/>
                      <w:szCs w:val="18"/>
                    </w:rPr>
                  </w:pPr>
                  <w:r>
                    <w:rPr>
                      <w:rFonts w:cs="Arial"/>
                      <w:szCs w:val="18"/>
                    </w:rPr>
                    <w:t>19-3</w:t>
                  </w:r>
                </w:p>
              </w:tc>
              <w:tc>
                <w:tcPr>
                  <w:tcW w:w="0" w:type="auto"/>
                </w:tcPr>
                <w:p>
                  <w:pPr>
                    <w:pStyle w:val="79"/>
                    <w:rPr>
                      <w:rFonts w:cs="Arial"/>
                      <w:szCs w:val="18"/>
                    </w:rPr>
                  </w:pPr>
                  <w:r>
                    <w:rPr>
                      <w:rFonts w:cs="Arial"/>
                      <w:szCs w:val="18"/>
                    </w:rPr>
                    <w:t>Maximum MIMO Layer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9"/>
                    <w:rPr>
                      <w:rFonts w:cs="Arial"/>
                      <w:szCs w:val="18"/>
                    </w:rPr>
                  </w:pPr>
                  <w:r>
                    <w:rPr>
                      <w:rFonts w:cs="Arial"/>
                      <w:szCs w:val="18"/>
                    </w:rPr>
                    <w:t>19-4a</w:t>
                  </w:r>
                </w:p>
              </w:tc>
              <w:tc>
                <w:tcPr>
                  <w:tcW w:w="0" w:type="auto"/>
                </w:tcPr>
                <w:p>
                  <w:pPr>
                    <w:pStyle w:val="79"/>
                    <w:rPr>
                      <w:rFonts w:cs="Arial"/>
                      <w:szCs w:val="18"/>
                    </w:rPr>
                  </w:pPr>
                  <w:r>
                    <w:rPr>
                      <w:rFonts w:cs="Arial"/>
                      <w:szCs w:val="18"/>
                    </w:rPr>
                    <w:t>UE assistance information</w:t>
                  </w:r>
                </w:p>
              </w:tc>
            </w:tr>
          </w:tbl>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R</w:t>
            </w:r>
            <w:r>
              <w:rPr>
                <w:rFonts w:ascii="Times New Roman" w:hAnsi="Times New Roman" w:eastAsia="等线" w:cs="Times New Roman"/>
                <w:szCs w:val="20"/>
                <w:lang w:eastAsia="zh-CN"/>
              </w:rPr>
              <w:t>AN2 features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tcPr>
                <w:p>
                  <w:pPr>
                    <w:pStyle w:val="79"/>
                    <w:rPr>
                      <w:rFonts w:asciiTheme="majorHAnsi" w:hAnsiTheme="majorHAnsi" w:cstheme="majorHAnsi"/>
                      <w:szCs w:val="18"/>
                    </w:rPr>
                  </w:pPr>
                  <w:r>
                    <w:t>19-1</w:t>
                  </w:r>
                </w:p>
              </w:tc>
              <w:tc>
                <w:tcPr>
                  <w:tcW w:w="5694" w:type="dxa"/>
                  <w:tcBorders>
                    <w:top w:val="single" w:color="auto" w:sz="4" w:space="0"/>
                    <w:left w:val="single" w:color="auto" w:sz="4" w:space="0"/>
                    <w:bottom w:val="single" w:color="auto" w:sz="4" w:space="0"/>
                    <w:right w:val="single" w:color="auto" w:sz="4" w:space="0"/>
                  </w:tcBorders>
                </w:tcPr>
                <w:p>
                  <w:pPr>
                    <w:pStyle w:val="79"/>
                    <w:rPr>
                      <w:rFonts w:eastAsia="宋体" w:asciiTheme="majorHAnsi" w:hAnsiTheme="majorHAnsi" w:cstheme="majorHAnsi"/>
                      <w:szCs w:val="18"/>
                      <w:lang w:eastAsia="zh-CN"/>
                    </w:rPr>
                  </w:pPr>
                  <w:r>
                    <w:t>UE assistance information for power saving – DRX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heme="majorHAnsi" w:hAnsiTheme="majorHAnsi" w:cstheme="majorHAnsi"/>
                      <w:szCs w:val="18"/>
                    </w:rPr>
                  </w:pPr>
                  <w:r>
                    <w:rPr>
                      <w:rFonts w:asciiTheme="majorHAnsi" w:hAnsiTheme="majorHAnsi" w:cstheme="majorHAnsi"/>
                      <w:szCs w:val="18"/>
                    </w:rPr>
                    <w:t>19-2</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eastAsia="宋体" w:asciiTheme="majorHAnsi" w:hAnsiTheme="majorHAnsi" w:cstheme="majorHAnsi"/>
                      <w:szCs w:val="18"/>
                      <w:lang w:eastAsia="zh-CN"/>
                    </w:rPr>
                  </w:pPr>
                  <w:r>
                    <w:t>UE assistance information for power saving – Maximum aggregated bandwidth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rPr>
                      <w:rFonts w:asciiTheme="majorHAnsi" w:hAnsiTheme="majorHAnsi" w:cstheme="majorHAnsi"/>
                      <w:szCs w:val="18"/>
                    </w:rPr>
                  </w:pPr>
                  <w:r>
                    <w:rPr>
                      <w:rFonts w:asciiTheme="majorHAnsi" w:hAnsiTheme="majorHAnsi" w:cstheme="majorHAnsi"/>
                      <w:szCs w:val="18"/>
                    </w:rPr>
                    <w:t>19-3</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eastAsia="宋体" w:asciiTheme="majorHAnsi" w:hAnsiTheme="majorHAnsi" w:cstheme="majorHAnsi"/>
                      <w:szCs w:val="18"/>
                      <w:lang w:eastAsia="zh-CN"/>
                    </w:rPr>
                  </w:pPr>
                  <w:r>
                    <w:t>UE assistance information for power saving – Maximum number of secondary component carrier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pPr>
                  <w:r>
                    <w:t>19-4</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pPr>
                  <w:r>
                    <w:t>UE assistance information for power saving – Maximum number of MIMO layers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pPr>
                  <w:r>
                    <w:t>19-5</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pPr>
                  <w:r>
                    <w:t>UE assistance information for power saving – preference to transition out of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60" w:type="dxa"/>
                  <w:tcBorders>
                    <w:top w:val="single" w:color="auto" w:sz="4" w:space="0"/>
                    <w:left w:val="single" w:color="auto" w:sz="4" w:space="0"/>
                    <w:bottom w:val="single" w:color="auto" w:sz="4" w:space="0"/>
                    <w:right w:val="single" w:color="auto" w:sz="4" w:space="0"/>
                  </w:tcBorders>
                  <w:shd w:val="clear" w:color="auto" w:fill="auto"/>
                </w:tcPr>
                <w:p>
                  <w:pPr>
                    <w:pStyle w:val="79"/>
                  </w:pPr>
                  <w:r>
                    <w:t>19-6</w:t>
                  </w:r>
                </w:p>
              </w:tc>
              <w:tc>
                <w:tcPr>
                  <w:tcW w:w="5694" w:type="dxa"/>
                  <w:tcBorders>
                    <w:top w:val="single" w:color="auto" w:sz="4" w:space="0"/>
                    <w:left w:val="single" w:color="auto" w:sz="4" w:space="0"/>
                    <w:bottom w:val="single" w:color="auto" w:sz="4" w:space="0"/>
                    <w:right w:val="single" w:color="auto" w:sz="4" w:space="0"/>
                  </w:tcBorders>
                  <w:shd w:val="clear" w:color="auto" w:fill="auto"/>
                </w:tcPr>
                <w:p>
                  <w:pPr>
                    <w:pStyle w:val="79"/>
                    <w:rPr>
                      <w:rFonts w:eastAsia="宋体"/>
                      <w:lang w:eastAsia="zh-CN"/>
                    </w:rPr>
                  </w:pPr>
                  <w:r>
                    <w:rPr>
                      <w:rFonts w:eastAsia="宋体"/>
                      <w:lang w:eastAsia="zh-CN"/>
                    </w:rPr>
                    <w:t>Relaxed measurement</w:t>
                  </w:r>
                </w:p>
              </w:tc>
            </w:tr>
          </w:tbl>
          <w:p>
            <w:pPr>
              <w:spacing w:after="180"/>
              <w:rPr>
                <w:rFonts w:ascii="Times New Roman" w:hAnsi="Times New Roman" w:eastAsia="等线" w:cs="Times New Roman"/>
                <w:szCs w:val="20"/>
                <w:lang w:eastAsia="zh-CN"/>
              </w:rPr>
            </w:pPr>
          </w:p>
          <w:p>
            <w:pPr>
              <w:spacing w:after="180"/>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I</w:t>
            </w:r>
            <w:r>
              <w:rPr>
                <w:rFonts w:ascii="Times New Roman" w:hAnsi="Times New Roman" w:eastAsia="等线"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hint="eastAsia" w:ascii="Times New Roman" w:hAnsi="Times New Roman" w:eastAsia="宋体" w:cs="Times New Roman"/>
                <w:szCs w:val="20"/>
                <w:lang w:val="en-US" w:eastAsia="zh-CN"/>
              </w:rPr>
            </w:pPr>
          </w:p>
        </w:tc>
        <w:tc>
          <w:tcPr>
            <w:tcW w:w="6780" w:type="dxa"/>
          </w:tcPr>
          <w:p>
            <w:pPr>
              <w:spacing w:after="180"/>
              <w:rPr>
                <w:rFonts w:ascii="Times New Roman" w:hAnsi="Times New Roman" w:eastAsia="Batang" w:cs="Times New Roman"/>
                <w:szCs w:val="20"/>
                <w:lang w:eastAsia="ko-KR"/>
              </w:rPr>
            </w:pPr>
            <w:r>
              <w:rPr>
                <w:rFonts w:ascii="Times New Roman" w:hAnsi="Times New Roman" w:eastAsia="等线" w:cs="Times New Roman"/>
                <w:szCs w:val="20"/>
                <w:lang w:eastAsia="zh-CN"/>
              </w:rPr>
              <w:t>Not identified.</w:t>
            </w:r>
          </w:p>
        </w:tc>
      </w:tr>
    </w:tbl>
    <w:p>
      <w:pPr>
        <w:pStyle w:val="15"/>
        <w:rPr>
          <w:rFonts w:ascii="Times New Roman" w:hAnsi="Times New Roman" w:cs="Times New Roman"/>
          <w:szCs w:val="20"/>
        </w:rPr>
      </w:pPr>
    </w:p>
    <w:p>
      <w:pPr>
        <w:pStyle w:val="2"/>
      </w:pPr>
      <w:r>
        <w:t>4</w:t>
      </w:r>
      <w:r>
        <w:tab/>
      </w:r>
      <w:r>
        <w:t>Rel-17 features not applicable for RedCap UEs</w:t>
      </w:r>
    </w:p>
    <w:p>
      <w:pPr>
        <w:pStyle w:val="15"/>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pPr>
        <w:pStyle w:val="15"/>
        <w:rPr>
          <w:rFonts w:ascii="Times New Roman" w:hAnsi="Times New Roman" w:cs="Times New Roman"/>
          <w:szCs w:val="20"/>
        </w:rPr>
      </w:pPr>
    </w:p>
    <w:p>
      <w:pPr>
        <w:pStyle w:val="2"/>
      </w:pPr>
      <w:r>
        <w:t>References</w:t>
      </w:r>
    </w:p>
    <w:p>
      <w:pPr>
        <w:pStyle w:val="68"/>
        <w:jc w:val="left"/>
        <w:rPr>
          <w:rFonts w:ascii="Times New Roman" w:hAnsi="Times New Roman" w:cs="Times New Roman"/>
        </w:rPr>
      </w:pPr>
      <w:bookmarkStart w:id="1" w:name="_Ref65143491"/>
      <w:bookmarkStart w:id="2" w:name="_Ref71040330"/>
      <w:bookmarkStart w:id="3" w:name="_Ref174151459"/>
      <w:bookmarkStart w:id="4" w:name="_Ref189809556"/>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8"/>
        <w:jc w:val="left"/>
        <w:rPr>
          <w:rFonts w:ascii="Times New Roman" w:hAnsi="Times New Roman" w:cs="Times New Roman"/>
        </w:rPr>
      </w:pPr>
      <w:bookmarkStart w:id="5" w:name="_Ref83717123"/>
      <w:bookmarkStart w:id="6"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End w:id="3"/>
    <w:bookmarkEnd w:id="4"/>
    <w:p>
      <w:pPr>
        <w:pStyle w:val="68"/>
        <w:rPr>
          <w:rFonts w:ascii="Times New Roman" w:hAnsi="Times New Roman" w:cs="Times New Roman"/>
        </w:rPr>
      </w:pPr>
      <w:bookmarkStart w:id="7"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p>
      <w:pPr>
        <w:pStyle w:val="68"/>
        <w:rPr>
          <w:rFonts w:ascii="Times New Roman" w:hAnsi="Times New Roman" w:cs="Times New Roman"/>
        </w:rPr>
      </w:pPr>
      <w:bookmarkStart w:id="8" w:name="_Ref8312372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p>
      <w:pPr>
        <w:pStyle w:val="68"/>
        <w:rPr>
          <w:rFonts w:ascii="Times New Roman" w:hAnsi="Times New Roman" w:cs="Times New Roman"/>
        </w:rPr>
      </w:pPr>
      <w:bookmarkStart w:id="9"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p>
      <w:pPr>
        <w:pStyle w:val="68"/>
        <w:rPr>
          <w:rFonts w:ascii="Times New Roman" w:hAnsi="Times New Roman" w:cs="Times New Roman"/>
        </w:rPr>
      </w:pPr>
      <w:bookmarkStart w:id="10"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p>
      <w:pPr>
        <w:pStyle w:val="68"/>
        <w:rPr>
          <w:rFonts w:ascii="Times New Roman" w:hAnsi="Times New Roman" w:cs="Times New Roman"/>
        </w:rPr>
      </w:pPr>
      <w:bookmarkStart w:id="11" w:name="_Ref84576569"/>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58"/>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pPr>
        <w:pStyle w:val="68"/>
        <w:rPr>
          <w:rFonts w:ascii="Times New Roman" w:hAnsi="Times New Roman" w:cs="Times New Roman"/>
        </w:rPr>
      </w:pPr>
      <w:r>
        <w:fldChar w:fldCharType="begin"/>
      </w:r>
      <w:r>
        <w:instrText xml:space="preserve"> HYPERLINK "https://www.3gpp.org/ftp/TSG_RAN/WG1_RL1/TSGR1_106b-e/Docs/R1-2108823.zip" </w:instrText>
      </w:r>
      <w:r>
        <w:fldChar w:fldCharType="separate"/>
      </w:r>
      <w:r>
        <w:rPr>
          <w:rStyle w:val="58"/>
          <w:rFonts w:ascii="Times New Roman" w:hAnsi="Times New Roman" w:cs="Times New Roman"/>
        </w:rPr>
        <w:t>R1-2108823</w:t>
      </w:r>
      <w:r>
        <w:rPr>
          <w:rStyle w:val="58"/>
          <w:rFonts w:ascii="Times New Roman" w:hAnsi="Times New Roman" w:cs="Times New Roman"/>
        </w:rPr>
        <w:fldChar w:fldCharType="end"/>
      </w:r>
      <w:r>
        <w:rPr>
          <w:rFonts w:ascii="Times New Roman" w:hAnsi="Times New Roman" w:cs="Times New Roman"/>
        </w:rPr>
        <w:t>, “RAN1 aspects for RAN2-led features for RedCap”, Ericsson</w:t>
      </w:r>
    </w:p>
    <w:p>
      <w:pPr>
        <w:pStyle w:val="68"/>
        <w:rPr>
          <w:rFonts w:ascii="Times New Roman" w:hAnsi="Times New Roman" w:cs="Times New Roman"/>
        </w:rPr>
      </w:pPr>
      <w:r>
        <w:fldChar w:fldCharType="begin"/>
      </w:r>
      <w:r>
        <w:instrText xml:space="preserve"> HYPERLINK "https://www.3gpp.org/ftp/TSG_RAN/WG1_RL1/TSGR1_106b-e/Docs/R1-2108984.zip" </w:instrText>
      </w:r>
      <w:r>
        <w:fldChar w:fldCharType="separate"/>
      </w:r>
      <w:r>
        <w:rPr>
          <w:rStyle w:val="58"/>
          <w:rFonts w:ascii="Times New Roman" w:hAnsi="Times New Roman" w:cs="Times New Roman"/>
        </w:rPr>
        <w:t>R1-2108984</w:t>
      </w:r>
      <w:r>
        <w:rPr>
          <w:rStyle w:val="58"/>
          <w:rFonts w:ascii="Times New Roman" w:hAnsi="Times New Roman" w:cs="Times New Roman"/>
        </w:rPr>
        <w:fldChar w:fldCharType="end"/>
      </w:r>
      <w:r>
        <w:rPr>
          <w:rFonts w:ascii="Times New Roman" w:hAnsi="Times New Roman" w:cs="Times New Roman"/>
        </w:rPr>
        <w:t>, “Discussion on L1 reduced capability signaling”, Vivo, Guangdong Genius</w:t>
      </w:r>
    </w:p>
    <w:p>
      <w:pPr>
        <w:pStyle w:val="68"/>
        <w:rPr>
          <w:rFonts w:ascii="Times New Roman" w:hAnsi="Times New Roman" w:cs="Times New Roman"/>
        </w:rPr>
      </w:pPr>
      <w:r>
        <w:fldChar w:fldCharType="begin"/>
      </w:r>
      <w:r>
        <w:instrText xml:space="preserve"> HYPERLINK "https://www.3gpp.org/ftp/TSG_RAN/WG1_RL1/TSGR1_106b-e/Docs/R1-2109313.zip" </w:instrText>
      </w:r>
      <w:r>
        <w:fldChar w:fldCharType="separate"/>
      </w:r>
      <w:r>
        <w:rPr>
          <w:rStyle w:val="58"/>
          <w:rFonts w:ascii="Times New Roman" w:hAnsi="Times New Roman" w:cs="Times New Roman"/>
        </w:rPr>
        <w:t>R1-2109313</w:t>
      </w:r>
      <w:r>
        <w:rPr>
          <w:rStyle w:val="58"/>
          <w:rFonts w:ascii="Times New Roman" w:hAnsi="Times New Roman" w:cs="Times New Roman"/>
        </w:rPr>
        <w:fldChar w:fldCharType="end"/>
      </w:r>
      <w:r>
        <w:rPr>
          <w:rFonts w:ascii="Times New Roman" w:hAnsi="Times New Roman" w:cs="Times New Roman"/>
        </w:rPr>
        <w:t>, “Discussion on RedCap UE capabilities”, Nokia, Nokia Shanghai Bell</w:t>
      </w:r>
    </w:p>
    <w:p>
      <w:pPr>
        <w:pStyle w:val="68"/>
        <w:rPr>
          <w:rFonts w:ascii="Times New Roman" w:hAnsi="Times New Roman" w:cs="Times New Roman"/>
        </w:rPr>
      </w:pPr>
      <w:r>
        <w:fldChar w:fldCharType="begin"/>
      </w:r>
      <w:r>
        <w:instrText xml:space="preserve"> HYPERLINK "https://www.3gpp.org/ftp/tsg_ran/WG1_RL1/TSGR1_106b-e/Docs/R1-2109331.zip" </w:instrText>
      </w:r>
      <w:r>
        <w:fldChar w:fldCharType="separate"/>
      </w:r>
      <w:r>
        <w:rPr>
          <w:rStyle w:val="58"/>
          <w:rFonts w:ascii="Times New Roman" w:hAnsi="Times New Roman" w:cs="Times New Roman"/>
        </w:rPr>
        <w:t>R1-2109331</w:t>
      </w:r>
      <w:r>
        <w:rPr>
          <w:rStyle w:val="58"/>
          <w:rFonts w:ascii="Times New Roman" w:hAnsi="Times New Roman" w:cs="Times New Roman"/>
        </w:rPr>
        <w:fldChar w:fldCharType="end"/>
      </w:r>
      <w:r>
        <w:rPr>
          <w:rFonts w:ascii="Times New Roman" w:hAnsi="Times New Roman" w:cs="Times New Roman"/>
        </w:rPr>
        <w:t>, “Discussion on RAN2 reply LS on UE capabilities for RedCap”, ZTE, Sanechips</w:t>
      </w:r>
    </w:p>
    <w:p>
      <w:pPr>
        <w:pStyle w:val="68"/>
        <w:rPr>
          <w:rFonts w:ascii="Times New Roman" w:hAnsi="Times New Roman" w:cs="Times New Roman"/>
        </w:rPr>
      </w:pPr>
      <w:bookmarkStart w:id="12" w:name="_Ref84804393"/>
      <w:r>
        <w:fldChar w:fldCharType="begin"/>
      </w:r>
      <w:r>
        <w:instrText xml:space="preserve"> HYPERLINK "https://www.3gpp.org/ftp/TSG_RAN/WG1_RL1/TSGR1_106b-e/Docs/R1-2109339.zip" </w:instrText>
      </w:r>
      <w:r>
        <w:fldChar w:fldCharType="separate"/>
      </w:r>
      <w:r>
        <w:rPr>
          <w:rStyle w:val="58"/>
          <w:rFonts w:ascii="Times New Roman" w:hAnsi="Times New Roman" w:cs="Times New Roman"/>
        </w:rPr>
        <w:t>R1-2109339</w:t>
      </w:r>
      <w:r>
        <w:rPr>
          <w:rStyle w:val="58"/>
          <w:rFonts w:ascii="Times New Roman" w:hAnsi="Times New Roman" w:cs="Times New Roman"/>
        </w:rPr>
        <w:fldChar w:fldCharType="end"/>
      </w:r>
      <w:r>
        <w:rPr>
          <w:rFonts w:ascii="Times New Roman" w:hAnsi="Times New Roman" w:cs="Times New Roman"/>
        </w:rPr>
        <w:t>, “Discussion on RedCap UE features”, ZTE, Sanechips</w:t>
      </w:r>
      <w:bookmarkEnd w:id="12"/>
    </w:p>
    <w:p>
      <w:pPr>
        <w:pStyle w:val="68"/>
        <w:rPr>
          <w:rFonts w:ascii="Times New Roman" w:hAnsi="Times New Roman" w:cs="Times New Roman"/>
        </w:rPr>
      </w:pPr>
      <w:r>
        <w:fldChar w:fldCharType="begin"/>
      </w:r>
      <w:r>
        <w:instrText xml:space="preserve"> HYPERLINK "https://www.3gpp.org/ftp/TSG_RAN/WG1_RL1/TSGR1_106b-e/Docs/R1-2109420.zip" </w:instrText>
      </w:r>
      <w:r>
        <w:fldChar w:fldCharType="separate"/>
      </w:r>
      <w:r>
        <w:rPr>
          <w:rStyle w:val="58"/>
          <w:rFonts w:ascii="Times New Roman" w:hAnsi="Times New Roman" w:cs="Times New Roman"/>
        </w:rPr>
        <w:t>R1-2109420</w:t>
      </w:r>
      <w:r>
        <w:rPr>
          <w:rStyle w:val="58"/>
          <w:rFonts w:ascii="Times New Roman" w:hAnsi="Times New Roman" w:cs="Times New Roman"/>
        </w:rPr>
        <w:fldChar w:fldCharType="end"/>
      </w:r>
      <w:r>
        <w:rPr>
          <w:rFonts w:ascii="Times New Roman" w:hAnsi="Times New Roman" w:cs="Times New Roman"/>
        </w:rPr>
        <w:t>, “Discussion on the remaining issues of higher layer related topics for RedCap”, Xiaomi</w:t>
      </w:r>
    </w:p>
    <w:p>
      <w:pPr>
        <w:pStyle w:val="68"/>
        <w:rPr>
          <w:rFonts w:ascii="Times New Roman" w:hAnsi="Times New Roman" w:cs="Times New Roman"/>
        </w:rPr>
      </w:pPr>
      <w:bookmarkStart w:id="13" w:name="_Ref84804461"/>
      <w:r>
        <w:fldChar w:fldCharType="begin"/>
      </w:r>
      <w:r>
        <w:instrText xml:space="preserve"> HYPERLINK "https://www.3gpp.org/ftp/TSG_RAN/WG1_RL1/TSGR1_106b-e/Docs/R1-2109499.zip" </w:instrText>
      </w:r>
      <w:r>
        <w:fldChar w:fldCharType="separate"/>
      </w:r>
      <w:r>
        <w:rPr>
          <w:rStyle w:val="58"/>
          <w:rFonts w:ascii="Times New Roman" w:hAnsi="Times New Roman" w:cs="Times New Roman"/>
        </w:rPr>
        <w:t>R1-2109499</w:t>
      </w:r>
      <w:r>
        <w:rPr>
          <w:rStyle w:val="58"/>
          <w:rFonts w:ascii="Times New Roman" w:hAnsi="Times New Roman" w:cs="Times New Roman"/>
        </w:rPr>
        <w:fldChar w:fldCharType="end"/>
      </w:r>
      <w:r>
        <w:rPr>
          <w:rFonts w:ascii="Times New Roman" w:hAnsi="Times New Roman" w:cs="Times New Roman"/>
        </w:rPr>
        <w:t>, “RAN1 aspects for RAN2-led features for RedCap”, Samsung</w:t>
      </w:r>
      <w:bookmarkEnd w:id="13"/>
    </w:p>
    <w:p>
      <w:pPr>
        <w:pStyle w:val="68"/>
        <w:rPr>
          <w:rFonts w:ascii="Times New Roman" w:hAnsi="Times New Roman" w:cs="Times New Roman"/>
        </w:rPr>
      </w:pPr>
      <w:r>
        <w:fldChar w:fldCharType="begin"/>
      </w:r>
      <w:r>
        <w:instrText xml:space="preserve"> HYPERLINK "https://www.3gpp.org/ftp/TSG_RAN/WG1_RL1/TSGR1_106b-e/Docs/R1-2109647.zip" </w:instrText>
      </w:r>
      <w:r>
        <w:fldChar w:fldCharType="separate"/>
      </w:r>
      <w:r>
        <w:rPr>
          <w:rStyle w:val="58"/>
          <w:rFonts w:ascii="Times New Roman" w:hAnsi="Times New Roman" w:cs="Times New Roman"/>
        </w:rPr>
        <w:t>R1-2109647</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r>
        <w:fldChar w:fldCharType="begin"/>
      </w:r>
      <w:r>
        <w:instrText xml:space="preserve"> HYPERLINK "https://www.3gpp.org/ftp/TSG_RAN/WG1_RL1/TSGR1_106b-e/Docs/R1-2109687.zip" </w:instrText>
      </w:r>
      <w:r>
        <w:fldChar w:fldCharType="separate"/>
      </w:r>
      <w:r>
        <w:rPr>
          <w:rStyle w:val="58"/>
          <w:rFonts w:ascii="Times New Roman" w:hAnsi="Times New Roman" w:cs="Times New Roman"/>
        </w:rPr>
        <w:t>R1-2109687</w:t>
      </w:r>
      <w:r>
        <w:rPr>
          <w:rStyle w:val="58"/>
          <w:rFonts w:ascii="Times New Roman" w:hAnsi="Times New Roman" w:cs="Times New Roman"/>
        </w:rPr>
        <w:fldChar w:fldCharType="end"/>
      </w:r>
      <w:r>
        <w:rPr>
          <w:rFonts w:ascii="Times New Roman" w:hAnsi="Times New Roman" w:cs="Times New Roman"/>
        </w:rPr>
        <w:t>, “Discussion on RAN1 aspects for RAN2-led features for RedCap”, NTT DOCOMO, INC.</w:t>
      </w:r>
    </w:p>
    <w:p>
      <w:pPr>
        <w:pStyle w:val="68"/>
        <w:rPr>
          <w:rFonts w:ascii="Times New Roman" w:hAnsi="Times New Roman" w:cs="Times New Roman"/>
        </w:rPr>
      </w:pPr>
      <w:bookmarkStart w:id="14" w:name="_Ref84804536"/>
      <w:r>
        <w:fldChar w:fldCharType="begin"/>
      </w:r>
      <w:r>
        <w:instrText xml:space="preserve"> HYPERLINK "https://www.3gpp.org/ftp/TSG_RAN/WG1_RL1/TSGR1_106b-e/Docs/R1-2109740.zip" </w:instrText>
      </w:r>
      <w:r>
        <w:fldChar w:fldCharType="separate"/>
      </w:r>
      <w:r>
        <w:rPr>
          <w:rStyle w:val="58"/>
          <w:rFonts w:ascii="Times New Roman" w:hAnsi="Times New Roman" w:cs="Times New Roman"/>
        </w:rPr>
        <w:t>R1-2109740</w:t>
      </w:r>
      <w:r>
        <w:rPr>
          <w:rStyle w:val="58"/>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pPr>
        <w:pStyle w:val="68"/>
        <w:rPr>
          <w:rFonts w:ascii="Times New Roman" w:hAnsi="Times New Roman" w:cs="Times New Roman"/>
        </w:rPr>
      </w:pPr>
      <w:r>
        <w:fldChar w:fldCharType="begin"/>
      </w:r>
      <w:r>
        <w:instrText xml:space="preserve"> HYPERLINK "https://www.3gpp.org/ftp/TSG_RAN/WG1_RL1/TSGR1_106b-e/Docs/R1-2109998.zip" </w:instrText>
      </w:r>
      <w:r>
        <w:fldChar w:fldCharType="separate"/>
      </w:r>
      <w:r>
        <w:rPr>
          <w:rStyle w:val="58"/>
          <w:rFonts w:ascii="Times New Roman" w:hAnsi="Times New Roman" w:cs="Times New Roman"/>
        </w:rPr>
        <w:t>R1-2109998</w:t>
      </w:r>
      <w:r>
        <w:rPr>
          <w:rStyle w:val="58"/>
          <w:rFonts w:ascii="Times New Roman" w:hAnsi="Times New Roman" w:cs="Times New Roman"/>
        </w:rPr>
        <w:fldChar w:fldCharType="end"/>
      </w:r>
      <w:r>
        <w:rPr>
          <w:rFonts w:ascii="Times New Roman" w:hAnsi="Times New Roman" w:cs="Times New Roman"/>
        </w:rPr>
        <w:t>, “RAN1 aspects for RAN2-led features for RedCap”, Sharp</w:t>
      </w:r>
    </w:p>
    <w:p>
      <w:pPr>
        <w:pStyle w:val="68"/>
        <w:rPr>
          <w:rFonts w:ascii="Times New Roman" w:hAnsi="Times New Roman" w:cs="Times New Roman"/>
        </w:rPr>
      </w:pPr>
      <w:bookmarkStart w:id="15" w:name="_Ref84576571"/>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58"/>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pPr>
        <w:pStyle w:val="68"/>
        <w:numPr>
          <w:ilvl w:val="0"/>
          <w:numId w:val="0"/>
        </w:numPr>
        <w:ind w:left="567" w:hanging="567"/>
        <w:rPr>
          <w:rFonts w:ascii="Times New Roman" w:hAnsi="Times New Roman" w:cs="Times New Roman"/>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MS Mincho">
    <w:panose1 w:val="02020609040205080304"/>
    <w:charset w:val="80"/>
    <w:family w:val="auto"/>
    <w:pitch w:val="fixed"/>
    <w:sig w:usb0="E00002FF" w:usb1="6AC7FDFB" w:usb2="00000012" w:usb3="00000000" w:csb0="4002009F" w:csb1="DFD70000"/>
  </w:font>
  <w:font w:name="游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2"/>
  </w:num>
  <w:num w:numId="4">
    <w:abstractNumId w:val="5"/>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6"/>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题注 字符"/>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
    <w:basedOn w:val="53"/>
    <w:unhideWhenUsed/>
    <w:qFormat/>
    <w:uiPriority w:val="99"/>
    <w:rPr>
      <w:color w:val="605E5C"/>
      <w:shd w:val="clear" w:color="auto" w:fill="E1DFDD"/>
    </w:rPr>
  </w:style>
  <w:style w:type="character" w:customStyle="1" w:styleId="158">
    <w:name w:val="Mention"/>
    <w:basedOn w:val="53"/>
    <w:unhideWhenUsed/>
    <w:qFormat/>
    <w:uiPriority w:val="99"/>
    <w:rPr>
      <w:color w:val="2B579A"/>
      <w:shd w:val="clear" w:color="auto" w:fill="E1DFDD"/>
    </w:rPr>
  </w:style>
  <w:style w:type="paragraph" w:customStyle="1" w:styleId="159">
    <w:name w:val="Revision"/>
    <w:hidden/>
    <w:semiHidden/>
    <w:qFormat/>
    <w:uiPriority w:val="99"/>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uiPriority w:val="3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after="160" w:line="256"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ascii="Times New Roman" w:hAnsi="Times New Roman"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uiPriority w:val="59"/>
    <w:rPr>
      <w:rFonts w:ascii="Times New Roman" w:hAnsi="Times New Roman"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pPr>
      <w:spacing w:after="160" w:line="259"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4ED07-F9D7-4824-AC35-363ED7F9F6CB}">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9744CBD9-10EA-431E-84F3-30CD53C8A2B5}">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2281</Words>
  <Characters>13002</Characters>
  <Lines>108</Lines>
  <Paragraphs>30</Paragraphs>
  <TotalTime>1</TotalTime>
  <ScaleCrop>false</ScaleCrop>
  <LinksUpToDate>false</LinksUpToDate>
  <CharactersWithSpaces>15253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2021-10-13T04:23:00Z</dcterms:created>
  <dc:creator>Asbjörn Grövlen</dc:creator>
  <cp:keywords>3GPP; Ericsson; TDoc</cp:keywords>
  <cp:lastModifiedBy>ZTE-Youjun Hu</cp:lastModifiedBy>
  <cp:lastPrinted>2008-01-31T16:09:00Z</cp:lastPrinted>
  <dcterms:modified xsi:type="dcterms:W3CDTF">2021-10-13T13:56:37Z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