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6B627E73"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r w:rsidR="00E54258" w:rsidRPr="00E54258">
        <w:rPr>
          <w:rFonts w:eastAsia="Microsoft YaHei"/>
          <w:i/>
          <w:sz w:val="20"/>
          <w:szCs w:val="20"/>
        </w:rPr>
        <w:t xml:space="preserve"> (e.g., with R</w:t>
      </w:r>
      <w:r w:rsidR="006F2935">
        <w:rPr>
          <w:rFonts w:eastAsia="Microsoft YaHei"/>
          <w:i/>
          <w:sz w:val="20"/>
          <w:szCs w:val="20"/>
        </w:rPr>
        <w:t>el-</w:t>
      </w:r>
      <w:r w:rsidR="00E54258" w:rsidRPr="00E54258">
        <w:rPr>
          <w:rFonts w:eastAsia="Microsoft YaHei"/>
          <w:i/>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6F1397" w14:paraId="00E3AE4D" w14:textId="77777777" w:rsidTr="00515754">
        <w:tc>
          <w:tcPr>
            <w:tcW w:w="2405" w:type="dxa"/>
          </w:tcPr>
          <w:p w14:paraId="00E3AE4B" w14:textId="434EB7E3" w:rsidR="006F1397" w:rsidRDefault="006F1397" w:rsidP="00A70AEE">
            <w:pPr>
              <w:widowControl w:val="0"/>
              <w:snapToGrid w:val="0"/>
              <w:spacing w:before="120" w:after="120" w:line="240" w:lineRule="auto"/>
              <w:rPr>
                <w:rFonts w:eastAsia="Microsoft YaHei"/>
                <w:sz w:val="20"/>
                <w:szCs w:val="20"/>
              </w:rPr>
            </w:pPr>
          </w:p>
        </w:tc>
        <w:tc>
          <w:tcPr>
            <w:tcW w:w="6945" w:type="dxa"/>
          </w:tcPr>
          <w:p w14:paraId="00E3AE4C" w14:textId="26F5EB40" w:rsidR="006F1397" w:rsidRDefault="006F1397" w:rsidP="00A70AEE">
            <w:pPr>
              <w:widowControl w:val="0"/>
              <w:snapToGrid w:val="0"/>
              <w:spacing w:before="120" w:after="120" w:line="240" w:lineRule="auto"/>
              <w:rPr>
                <w:rFonts w:eastAsia="Microsoft YaHei"/>
                <w:sz w:val="20"/>
                <w:szCs w:val="20"/>
              </w:rPr>
            </w:pPr>
          </w:p>
        </w:tc>
      </w:tr>
      <w:tr w:rsidR="006F1397" w14:paraId="00E3AE50" w14:textId="77777777" w:rsidTr="00515754">
        <w:tc>
          <w:tcPr>
            <w:tcW w:w="2405" w:type="dxa"/>
          </w:tcPr>
          <w:p w14:paraId="00E3AE4E" w14:textId="6FA84F3F" w:rsidR="006F1397" w:rsidRPr="00E07FB6" w:rsidRDefault="006F1397" w:rsidP="00E07FB6">
            <w:pPr>
              <w:widowControl w:val="0"/>
              <w:snapToGrid w:val="0"/>
              <w:spacing w:before="120" w:after="120" w:line="240" w:lineRule="auto"/>
              <w:rPr>
                <w:rFonts w:eastAsia="Microsoft YaHei"/>
                <w:sz w:val="20"/>
                <w:szCs w:val="20"/>
              </w:rPr>
            </w:pPr>
          </w:p>
        </w:tc>
        <w:tc>
          <w:tcPr>
            <w:tcW w:w="6945" w:type="dxa"/>
          </w:tcPr>
          <w:p w14:paraId="00E3AE4F" w14:textId="3DF15DCD" w:rsidR="006F1397" w:rsidRDefault="006F1397" w:rsidP="00E07FB6">
            <w:pPr>
              <w:widowControl w:val="0"/>
              <w:snapToGrid w:val="0"/>
              <w:spacing w:before="120" w:after="120" w:line="240" w:lineRule="auto"/>
              <w:rPr>
                <w:rFonts w:eastAsia="Microsoft YaHe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3E5EA4C6"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EE" w14:textId="2BBE4B61" w:rsidR="00A70AEE" w:rsidRDefault="00A70AEE" w:rsidP="00A70AEE">
            <w:pPr>
              <w:widowControl w:val="0"/>
              <w:snapToGrid w:val="0"/>
              <w:spacing w:before="120" w:after="120" w:line="240" w:lineRule="auto"/>
              <w:rPr>
                <w:rFonts w:eastAsia="Microsoft YaHei"/>
                <w:sz w:val="20"/>
                <w:szCs w:val="20"/>
              </w:rPr>
            </w:pP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A8546F">
        <w:tc>
          <w:tcPr>
            <w:tcW w:w="2405" w:type="dxa"/>
            <w:shd w:val="clear" w:color="auto" w:fill="E2EFD9" w:themeFill="accent6" w:themeFillTint="33"/>
          </w:tcPr>
          <w:p w14:paraId="33E5E17E"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A8546F">
        <w:tc>
          <w:tcPr>
            <w:tcW w:w="2405" w:type="dxa"/>
          </w:tcPr>
          <w:p w14:paraId="09DE90CE" w14:textId="28826ED7" w:rsidR="001532C8" w:rsidRPr="000343C7"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A8546F">
        <w:tc>
          <w:tcPr>
            <w:tcW w:w="2405" w:type="dxa"/>
          </w:tcPr>
          <w:p w14:paraId="264B5700" w14:textId="6BF29E0F" w:rsidR="001532C8" w:rsidRDefault="00F8226C" w:rsidP="00A8546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8A707C" w14:textId="069B81CC" w:rsidR="001532C8" w:rsidRDefault="00F8226C" w:rsidP="00A8546F">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 xml:space="preserve">Any change on the configured </w:t>
            </w:r>
            <w:r>
              <w:rPr>
                <w:rFonts w:eastAsia="Microsoft YaHei"/>
                <w:i/>
                <w:sz w:val="20"/>
                <w:szCs w:val="20"/>
              </w:rPr>
              <w:lastRenderedPageBreak/>
              <w:t xml:space="preserve">number of Tx antennas in </w:t>
            </w:r>
            <w:r>
              <w:rPr>
                <w:rFonts w:eastAsia="Microsoft YaHei"/>
                <w:i/>
                <w:sz w:val="20"/>
                <w:szCs w:val="20"/>
              </w:rPr>
              <w:t>…</w:t>
            </w:r>
            <w:r>
              <w:rPr>
                <w:rFonts w:eastAsia="Microsoft YaHei"/>
                <w:i/>
                <w:sz w:val="20"/>
                <w:szCs w:val="20"/>
              </w:rPr>
              <w:t xml:space="preserve"> is precluded in either the gNB indication or UE reporting</w:t>
            </w:r>
            <w:r>
              <w:rPr>
                <w:rFonts w:eastAsia="Microsoft YaHei"/>
                <w:sz w:val="20"/>
                <w:szCs w:val="20"/>
              </w:rPr>
              <w:t>”</w:t>
            </w:r>
          </w:p>
        </w:tc>
      </w:tr>
      <w:tr w:rsidR="001532C8" w14:paraId="1453B613" w14:textId="77777777" w:rsidTr="00A8546F">
        <w:tc>
          <w:tcPr>
            <w:tcW w:w="2405" w:type="dxa"/>
          </w:tcPr>
          <w:p w14:paraId="0F365FD5" w14:textId="686EBE4D" w:rsidR="001532C8" w:rsidRDefault="001532C8" w:rsidP="00A8546F">
            <w:pPr>
              <w:widowControl w:val="0"/>
              <w:snapToGrid w:val="0"/>
              <w:spacing w:before="120" w:after="120" w:line="240" w:lineRule="auto"/>
              <w:rPr>
                <w:rFonts w:eastAsia="Microsoft YaHei"/>
                <w:sz w:val="20"/>
                <w:szCs w:val="20"/>
              </w:rPr>
            </w:pPr>
          </w:p>
        </w:tc>
        <w:tc>
          <w:tcPr>
            <w:tcW w:w="6945" w:type="dxa"/>
          </w:tcPr>
          <w:p w14:paraId="34073A48" w14:textId="633AF8FC" w:rsidR="001532C8" w:rsidRDefault="001532C8" w:rsidP="00A8546F">
            <w:pPr>
              <w:widowControl w:val="0"/>
              <w:snapToGrid w:val="0"/>
              <w:spacing w:before="120" w:after="120" w:line="240" w:lineRule="auto"/>
              <w:rPr>
                <w:rFonts w:eastAsia="Microsoft YaHei"/>
                <w:sz w:val="20"/>
                <w:szCs w:val="20"/>
              </w:rPr>
            </w:pPr>
          </w:p>
        </w:tc>
      </w:tr>
    </w:tbl>
    <w:p w14:paraId="6484C5D0" w14:textId="77777777" w:rsidR="001532C8"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0FEBF34F"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95"/>
        <w:gridCol w:w="7555"/>
      </w:tblGrid>
      <w:tr w:rsidR="0063231E" w14:paraId="00E3AFC6" w14:textId="77777777" w:rsidTr="00CA042A">
        <w:tc>
          <w:tcPr>
            <w:tcW w:w="179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5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CA042A">
        <w:tc>
          <w:tcPr>
            <w:tcW w:w="1795"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555"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CA042A">
        <w:tc>
          <w:tcPr>
            <w:tcW w:w="1795" w:type="dxa"/>
          </w:tcPr>
          <w:p w14:paraId="00E3AFCA" w14:textId="19ADBDC1" w:rsidR="00F9038C" w:rsidRDefault="00EC4A64" w:rsidP="00F9038C">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555"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chnnel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34244FB" w14:textId="269618A1"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ListParagraph"/>
              <w:widowControl w:val="0"/>
              <w:numPr>
                <w:ilvl w:val="1"/>
                <w:numId w:val="8"/>
              </w:numPr>
              <w:snapToGrid w:val="0"/>
              <w:spacing w:before="120" w:after="120" w:line="240" w:lineRule="auto"/>
              <w:jc w:val="both"/>
              <w:rPr>
                <w:rStyle w:val="Emphasis"/>
                <w:iCs/>
                <w:color w:val="FF0000"/>
              </w:rPr>
            </w:pPr>
            <w:r w:rsidRPr="00CA042A">
              <w:rPr>
                <w:rStyle w:val="Emphasis"/>
                <w:iCs/>
                <w:color w:val="FF0000"/>
              </w:rPr>
              <w:lastRenderedPageBreak/>
              <w:t xml:space="preserve">For </w:t>
            </w:r>
            <w:r w:rsidRPr="00CA042A">
              <w:rPr>
                <w:rStyle w:val="Emphasis"/>
                <w:iCs/>
                <w:color w:val="FF0000"/>
              </w:rPr>
              <w:t>SCS=15, 30 and 60KHz</w:t>
            </w:r>
            <w:r w:rsidRPr="00CA042A">
              <w:rPr>
                <w:rStyle w:val="Emphasis"/>
                <w:iCs/>
                <w:color w:val="FF0000"/>
              </w:rPr>
              <w:t xml:space="preserve">: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604CC1">
            <w:pPr>
              <w:pStyle w:val="ListParagraph"/>
              <w:widowControl w:val="0"/>
              <w:numPr>
                <w:ilvl w:val="1"/>
                <w:numId w:val="8"/>
              </w:numPr>
              <w:snapToGrid w:val="0"/>
              <w:spacing w:before="120" w:after="120" w:line="240" w:lineRule="auto"/>
              <w:jc w:val="both"/>
              <w:rPr>
                <w:rFonts w:eastAsia="Microsoft YaHei"/>
                <w:i/>
                <w:sz w:val="20"/>
                <w:szCs w:val="20"/>
              </w:rPr>
            </w:pPr>
            <w:r>
              <w:rPr>
                <w:rStyle w:val="Emphasis"/>
                <w:color w:val="FF0000"/>
                <w:sz w:val="20"/>
                <w:szCs w:val="20"/>
              </w:rPr>
              <w:t>F</w:t>
            </w:r>
            <w:r>
              <w:rPr>
                <w:rStyle w:val="Emphasis"/>
                <w:color w:val="FF0000"/>
              </w:rPr>
              <w:t xml:space="preserve">or SCS=120 KHz: </w:t>
            </w:r>
            <w:r>
              <w:rPr>
                <w:rStyle w:val="Emphasis"/>
                <w:color w:val="FF0000"/>
                <w:sz w:val="20"/>
                <w:szCs w:val="20"/>
              </w:rPr>
              <w:t>N</w:t>
            </w:r>
            <w:r>
              <w:rPr>
                <w:rStyle w:val="Emphasis"/>
                <w:color w:val="FF0000"/>
                <w:sz w:val="20"/>
                <w:szCs w:val="20"/>
              </w:rPr>
              <w:t>o guard symbols between </w:t>
            </w:r>
            <w:r>
              <w:rPr>
                <w:rStyle w:val="Emphasis"/>
                <w:color w:val="FF0000"/>
                <w:sz w:val="20"/>
                <w:szCs w:val="20"/>
                <w:u w:val="single"/>
              </w:rPr>
              <w:t xml:space="preserve">the </w:t>
            </w:r>
            <w:r>
              <w:rPr>
                <w:rStyle w:val="Emphasis"/>
                <w:color w:val="FF0000"/>
                <w:sz w:val="20"/>
                <w:szCs w:val="20"/>
                <w:u w:val="single"/>
              </w:rPr>
              <w:t>1</w:t>
            </w:r>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 the </w:t>
            </w:r>
            <w:r>
              <w:rPr>
                <w:rStyle w:val="Emphasis"/>
                <w:color w:val="FF0000"/>
                <w:sz w:val="20"/>
                <w:szCs w:val="20"/>
                <w:u w:val="single"/>
              </w:rPr>
              <w:t>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sz w:val="20"/>
                <w:szCs w:val="20"/>
              </w:rPr>
              <w:t>,</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145BF36B" w14:textId="77777777" w:rsidR="00604CC1" w:rsidRPr="007645C5"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4FB96511" w14:textId="77777777" w:rsidR="00604CC1" w:rsidRDefault="00604CC1" w:rsidP="00F9038C">
            <w:pPr>
              <w:widowControl w:val="0"/>
              <w:snapToGrid w:val="0"/>
              <w:spacing w:before="120" w:after="120" w:line="240" w:lineRule="auto"/>
              <w:rPr>
                <w:rFonts w:eastAsia="Microsoft YaHei"/>
                <w:sz w:val="20"/>
                <w:szCs w:val="20"/>
              </w:rPr>
            </w:pPr>
          </w:p>
          <w:p w14:paraId="00E3AFCB" w14:textId="343C824C" w:rsidR="00604CC1" w:rsidRDefault="00604CC1" w:rsidP="00F9038C">
            <w:pPr>
              <w:widowControl w:val="0"/>
              <w:snapToGrid w:val="0"/>
              <w:spacing w:before="120" w:after="120" w:line="240" w:lineRule="auto"/>
              <w:rPr>
                <w:rFonts w:eastAsia="Microsoft YaHei"/>
                <w:sz w:val="20"/>
                <w:szCs w:val="20"/>
              </w:rPr>
            </w:pPr>
          </w:p>
        </w:tc>
      </w:tr>
      <w:tr w:rsidR="00FA6A0F" w14:paraId="00E3AFCF" w14:textId="77777777" w:rsidTr="00CA042A">
        <w:tc>
          <w:tcPr>
            <w:tcW w:w="1795" w:type="dxa"/>
          </w:tcPr>
          <w:p w14:paraId="00E3AFCD" w14:textId="768D0CBB" w:rsidR="00FA6A0F" w:rsidRDefault="00FA6A0F" w:rsidP="00FA6A0F">
            <w:pPr>
              <w:widowControl w:val="0"/>
              <w:snapToGrid w:val="0"/>
              <w:spacing w:before="120" w:after="120" w:line="240" w:lineRule="auto"/>
              <w:rPr>
                <w:rFonts w:eastAsia="Microsoft YaHei"/>
                <w:sz w:val="20"/>
                <w:szCs w:val="20"/>
              </w:rPr>
            </w:pPr>
          </w:p>
        </w:tc>
        <w:tc>
          <w:tcPr>
            <w:tcW w:w="7555" w:type="dxa"/>
          </w:tcPr>
          <w:p w14:paraId="00E3AFCE" w14:textId="462E3AA8" w:rsidR="00FA6A0F" w:rsidRDefault="00FA6A0F" w:rsidP="00FA6A0F">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FA6A0F" w14:paraId="5E96F4F6" w14:textId="77777777" w:rsidTr="006E3B3D">
        <w:tc>
          <w:tcPr>
            <w:tcW w:w="2405" w:type="dxa"/>
          </w:tcPr>
          <w:p w14:paraId="0FF65CC8" w14:textId="2EF90173" w:rsidR="00FA6A0F" w:rsidRDefault="00FA6A0F" w:rsidP="00FA6A0F">
            <w:pPr>
              <w:widowControl w:val="0"/>
              <w:snapToGrid w:val="0"/>
              <w:spacing w:before="120" w:after="120" w:line="240" w:lineRule="auto"/>
              <w:rPr>
                <w:rFonts w:eastAsia="Microsoft YaHei"/>
                <w:sz w:val="20"/>
                <w:szCs w:val="20"/>
              </w:rPr>
            </w:pPr>
          </w:p>
        </w:tc>
        <w:tc>
          <w:tcPr>
            <w:tcW w:w="6945" w:type="dxa"/>
          </w:tcPr>
          <w:p w14:paraId="79521FB2" w14:textId="2EE1FECE" w:rsidR="00FA6A0F" w:rsidRDefault="00FA6A0F" w:rsidP="00FA6A0F">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D0295"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D0295"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D0295"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D0295"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D0295"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D0295"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D0295"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D0295"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C0B0" w14:textId="77777777" w:rsidR="002D0295" w:rsidRDefault="002D0295" w:rsidP="0066336C">
      <w:pPr>
        <w:spacing w:after="0" w:line="240" w:lineRule="auto"/>
      </w:pPr>
      <w:r>
        <w:separator/>
      </w:r>
    </w:p>
  </w:endnote>
  <w:endnote w:type="continuationSeparator" w:id="0">
    <w:p w14:paraId="52847F81" w14:textId="77777777" w:rsidR="002D0295" w:rsidRDefault="002D029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32C3" w14:textId="77777777" w:rsidR="002D0295" w:rsidRDefault="002D0295" w:rsidP="0066336C">
      <w:pPr>
        <w:spacing w:after="0" w:line="240" w:lineRule="auto"/>
      </w:pPr>
      <w:r>
        <w:separator/>
      </w:r>
    </w:p>
  </w:footnote>
  <w:footnote w:type="continuationSeparator" w:id="0">
    <w:p w14:paraId="0B8EAACF" w14:textId="77777777" w:rsidR="002D0295" w:rsidRDefault="002D029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3"/>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1"/>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10"/>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15"/>
  </w:num>
  <w:num w:numId="4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5CF"/>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4C72625-B80B-494E-83E6-67E48E4DDF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4847</Words>
  <Characters>27631</Characters>
  <Application>Microsoft Office Word</Application>
  <DocSecurity>0</DocSecurity>
  <Lines>230</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2021-10-14T17:54:00Z</dcterms:created>
  <dcterms:modified xsi:type="dcterms:W3CDTF">2021-10-14T18:29:00Z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