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46E1D53" w:rsidR="00B22CDE" w:rsidRDefault="00675453">
      <w:pPr>
        <w:pStyle w:val="Header"/>
        <w:snapToGrid w:val="0"/>
        <w:rPr>
          <w:rFonts w:eastAsia="SimSun"/>
          <w:sz w:val="22"/>
          <w:szCs w:val="22"/>
          <w:lang w:eastAsia="zh-CN"/>
        </w:rPr>
      </w:pPr>
      <w:bookmarkStart w:id="0" w:name="_GoBack"/>
      <w:bookmarkEnd w:id="0"/>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EA46D9">
        <w:rPr>
          <w:rFonts w:eastAsia="SimSun"/>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1" w:name="Source"/>
      <w:bookmarkEnd w:id="1"/>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2" w:name="DocumentFor"/>
      <w:bookmarkEnd w:id="2"/>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0198FE0B" w:rsidR="00E07FB6" w:rsidRPr="00E07FB6" w:rsidRDefault="00E07FB6" w:rsidP="00E07FB6">
            <w:pPr>
              <w:widowControl w:val="0"/>
              <w:snapToGrid w:val="0"/>
              <w:spacing w:before="120" w:after="120" w:line="240" w:lineRule="auto"/>
              <w:rPr>
                <w:rFonts w:eastAsia="Microsoft YaHei"/>
                <w:sz w:val="20"/>
                <w:szCs w:val="20"/>
              </w:rPr>
            </w:pPr>
          </w:p>
        </w:tc>
        <w:tc>
          <w:tcPr>
            <w:tcW w:w="6945" w:type="dxa"/>
          </w:tcPr>
          <w:p w14:paraId="00E3AE4F" w14:textId="3DCD21DD" w:rsidR="00E07FB6" w:rsidRDefault="00E07FB6" w:rsidP="00E07FB6">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1D8A5A2D"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4B76899E"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535F616E"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5FB239C7" w:rsidR="00E07FB6" w:rsidRDefault="00E07FB6" w:rsidP="00E07FB6">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w:t>
            </w:r>
            <w:r w:rsidRPr="00531E0E">
              <w:rPr>
                <w:rFonts w:eastAsia="Microsoft YaHei"/>
                <w:sz w:val="20"/>
                <w:szCs w:val="20"/>
              </w:rPr>
              <w:lastRenderedPageBreak/>
              <w:t>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5980BEC3"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F4F" w14:textId="4D79ECDD" w:rsidR="001D2028" w:rsidRDefault="001D2028" w:rsidP="00A70AEE">
            <w:pPr>
              <w:widowControl w:val="0"/>
              <w:snapToGrid w:val="0"/>
              <w:spacing w:before="120" w:after="120" w:line="240" w:lineRule="auto"/>
              <w:rPr>
                <w:rFonts w:eastAsia="Microsoft YaHei"/>
                <w:sz w:val="20"/>
                <w:szCs w:val="20"/>
              </w:rPr>
            </w:pPr>
          </w:p>
        </w:tc>
      </w:tr>
      <w:tr w:rsidR="00E07FB6" w14:paraId="00E3AF53" w14:textId="77777777" w:rsidTr="00515754">
        <w:tc>
          <w:tcPr>
            <w:tcW w:w="2405" w:type="dxa"/>
          </w:tcPr>
          <w:p w14:paraId="00E3AF51" w14:textId="4FCC5679"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52" w14:textId="3B232EEF"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9009A9"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CATT, </w:t>
      </w:r>
      <w:r>
        <w:rPr>
          <w:rFonts w:eastAsia="Microsoft YaHei" w:hint="eastAsia"/>
          <w:sz w:val="20"/>
          <w:szCs w:val="20"/>
        </w:rPr>
        <w:t>I</w:t>
      </w:r>
      <w:r>
        <w:rPr>
          <w:rFonts w:eastAsia="Microsoft YaHei"/>
          <w:sz w:val="20"/>
          <w:szCs w:val="20"/>
        </w:rPr>
        <w:t>ntel, ZTE, Qualcomm</w:t>
      </w:r>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7AFBDF9" w:rsidR="00FA6A0F" w:rsidRDefault="00FA6A0F" w:rsidP="00FA6A0F">
            <w:pPr>
              <w:widowControl w:val="0"/>
              <w:snapToGrid w:val="0"/>
              <w:spacing w:before="120" w:after="120" w:line="240" w:lineRule="auto"/>
              <w:rPr>
                <w:rFonts w:eastAsia="Microsoft YaHei"/>
                <w:sz w:val="20"/>
                <w:szCs w:val="20"/>
              </w:rPr>
            </w:pPr>
          </w:p>
        </w:tc>
        <w:tc>
          <w:tcPr>
            <w:tcW w:w="6945" w:type="dxa"/>
          </w:tcPr>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1B22C47D" w:rsidR="00FA6A0F" w:rsidRDefault="00FA6A0F" w:rsidP="00FA6A0F">
            <w:pPr>
              <w:widowControl w:val="0"/>
              <w:snapToGrid w:val="0"/>
              <w:spacing w:before="120" w:after="120" w:line="240" w:lineRule="auto"/>
              <w:rPr>
                <w:rFonts w:eastAsia="Microsoft YaHei"/>
                <w:sz w:val="20"/>
                <w:szCs w:val="20"/>
              </w:rPr>
            </w:pPr>
          </w:p>
        </w:tc>
        <w:tc>
          <w:tcPr>
            <w:tcW w:w="6945" w:type="dxa"/>
          </w:tcPr>
          <w:p w14:paraId="588CADCA" w14:textId="5C17E115" w:rsidR="00FA6A0F" w:rsidRDefault="00FA6A0F" w:rsidP="00FA6A0F">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359B2AE" w:rsidR="00FA6A0F" w:rsidRDefault="00FA6A0F" w:rsidP="00FA6A0F">
            <w:pPr>
              <w:widowControl w:val="0"/>
              <w:snapToGrid w:val="0"/>
              <w:spacing w:before="120" w:after="120" w:line="240" w:lineRule="auto"/>
              <w:rPr>
                <w:rFonts w:eastAsia="Microsoft YaHei"/>
                <w:sz w:val="20"/>
                <w:szCs w:val="20"/>
              </w:rPr>
            </w:pPr>
          </w:p>
        </w:tc>
        <w:tc>
          <w:tcPr>
            <w:tcW w:w="6945" w:type="dxa"/>
          </w:tcPr>
          <w:p w14:paraId="18D91FF4" w14:textId="68C331C8" w:rsidR="00F827EC" w:rsidRDefault="00F827EC"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413F89"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06C7537F" w:rsidR="00FA6A0F" w:rsidRDefault="00FA6A0F" w:rsidP="00FA6A0F">
            <w:pPr>
              <w:widowControl w:val="0"/>
              <w:snapToGrid w:val="0"/>
              <w:spacing w:before="120" w:after="120" w:line="240" w:lineRule="auto"/>
              <w:rPr>
                <w:rFonts w:eastAsia="Microsoft YaHei"/>
                <w:sz w:val="20"/>
                <w:szCs w:val="20"/>
              </w:rPr>
            </w:pPr>
          </w:p>
        </w:tc>
        <w:tc>
          <w:tcPr>
            <w:tcW w:w="6945" w:type="dxa"/>
          </w:tcPr>
          <w:p w14:paraId="00E3AFCE" w14:textId="1DEF777A"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0B08375C"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the majority of companies can accept this proposal, FL encourages companies to consider the limited </w:t>
      </w:r>
      <w:r>
        <w:rPr>
          <w:rFonts w:eastAsiaTheme="minorEastAsia"/>
          <w:sz w:val="20"/>
          <w:szCs w:val="20"/>
        </w:rPr>
        <w:lastRenderedPageBreak/>
        <w:t>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2D391437"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1611355E" w:rsidR="00FA6A0F" w:rsidRDefault="00FA6A0F" w:rsidP="00FA6A0F">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4384DAB8" w:rsidR="00FA6A0F" w:rsidRDefault="00FA6A0F" w:rsidP="00FA6A0F">
            <w:pPr>
              <w:widowControl w:val="0"/>
              <w:snapToGrid w:val="0"/>
              <w:spacing w:before="120" w:after="120" w:line="240" w:lineRule="auto"/>
              <w:rPr>
                <w:rFonts w:eastAsia="Microsoft YaHei"/>
                <w:sz w:val="20"/>
                <w:szCs w:val="20"/>
              </w:rPr>
            </w:pPr>
          </w:p>
        </w:tc>
        <w:tc>
          <w:tcPr>
            <w:tcW w:w="6945" w:type="dxa"/>
          </w:tcPr>
          <w:p w14:paraId="09EF832B" w14:textId="47633213" w:rsidR="0024070B" w:rsidRPr="00FA6A0F" w:rsidRDefault="0024070B" w:rsidP="006A0F20">
            <w:pPr>
              <w:widowControl w:val="0"/>
              <w:snapToGrid w:val="0"/>
              <w:spacing w:before="120" w:after="120" w:line="240" w:lineRule="auto"/>
              <w:rPr>
                <w:rFonts w:eastAsia="Microsoft YaHei"/>
                <w:sz w:val="20"/>
                <w:szCs w:val="20"/>
                <w:highlight w:val="yellow"/>
              </w:rPr>
            </w:pP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Microsoft YaHei"/>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5AA6634B" w:rsidR="00FA6A0F" w:rsidRDefault="00FA6A0F" w:rsidP="00FA6A0F">
            <w:pPr>
              <w:widowControl w:val="0"/>
              <w:snapToGrid w:val="0"/>
              <w:spacing w:before="120" w:after="120" w:line="240" w:lineRule="auto"/>
              <w:rPr>
                <w:rFonts w:eastAsia="Microsoft YaHei"/>
                <w:sz w:val="20"/>
                <w:szCs w:val="20"/>
              </w:rPr>
            </w:pPr>
          </w:p>
        </w:tc>
        <w:tc>
          <w:tcPr>
            <w:tcW w:w="6945" w:type="dxa"/>
          </w:tcPr>
          <w:p w14:paraId="4F965776" w14:textId="7377EC05" w:rsidR="00FA6A0F" w:rsidRDefault="00FA6A0F" w:rsidP="00FA6A0F">
            <w:pPr>
              <w:widowControl w:val="0"/>
              <w:snapToGrid w:val="0"/>
              <w:spacing w:before="120" w:after="120" w:line="240" w:lineRule="auto"/>
              <w:rPr>
                <w:rFonts w:eastAsia="Microsoft YaHei"/>
                <w:sz w:val="20"/>
                <w:szCs w:val="20"/>
              </w:rPr>
            </w:pPr>
          </w:p>
        </w:tc>
      </w:tr>
      <w:tr w:rsidR="00FA6A0F" w14:paraId="118CCB9D" w14:textId="77777777" w:rsidTr="006E3B3D">
        <w:tc>
          <w:tcPr>
            <w:tcW w:w="2405" w:type="dxa"/>
          </w:tcPr>
          <w:p w14:paraId="620244EF" w14:textId="6614FDC0" w:rsidR="00FA6A0F" w:rsidRDefault="00FA6A0F" w:rsidP="00FA6A0F">
            <w:pPr>
              <w:widowControl w:val="0"/>
              <w:snapToGrid w:val="0"/>
              <w:spacing w:before="120" w:after="120" w:line="240" w:lineRule="auto"/>
              <w:rPr>
                <w:rFonts w:eastAsia="Microsoft YaHei"/>
                <w:sz w:val="20"/>
                <w:szCs w:val="20"/>
              </w:rPr>
            </w:pPr>
          </w:p>
        </w:tc>
        <w:tc>
          <w:tcPr>
            <w:tcW w:w="6945" w:type="dxa"/>
          </w:tcPr>
          <w:p w14:paraId="0C1B620A" w14:textId="3C3C083E" w:rsidR="005F7FD5" w:rsidRDefault="005F7FD5" w:rsidP="00FA6A0F">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623A8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lastRenderedPageBreak/>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7ADD53B8" w:rsidR="00FA6A0F" w:rsidRDefault="00FA6A0F" w:rsidP="00FA6A0F">
            <w:pPr>
              <w:widowControl w:val="0"/>
              <w:snapToGrid w:val="0"/>
              <w:spacing w:before="120" w:after="120" w:line="240" w:lineRule="auto"/>
              <w:rPr>
                <w:rFonts w:eastAsia="Microsoft YaHei"/>
                <w:sz w:val="20"/>
                <w:szCs w:val="20"/>
              </w:rPr>
            </w:pPr>
          </w:p>
        </w:tc>
        <w:tc>
          <w:tcPr>
            <w:tcW w:w="6945" w:type="dxa"/>
          </w:tcPr>
          <w:p w14:paraId="184D2371" w14:textId="225D9301" w:rsidR="00FA6A0F" w:rsidRDefault="00FA6A0F" w:rsidP="006B77E5">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210AC4CC"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On how to support 4 port, we do acknowlege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50043A47" w:rsidR="00FA6A0F" w:rsidRDefault="00FA6A0F" w:rsidP="00FA6A0F">
            <w:pPr>
              <w:widowControl w:val="0"/>
              <w:snapToGrid w:val="0"/>
              <w:spacing w:before="120" w:after="120" w:line="240" w:lineRule="auto"/>
              <w:rPr>
                <w:rFonts w:eastAsia="Microsoft YaHei"/>
                <w:sz w:val="20"/>
                <w:szCs w:val="20"/>
              </w:rPr>
            </w:pPr>
          </w:p>
        </w:tc>
        <w:tc>
          <w:tcPr>
            <w:tcW w:w="6945" w:type="dxa"/>
          </w:tcPr>
          <w:p w14:paraId="26A38A0B" w14:textId="03E05407" w:rsidR="00FA6A0F" w:rsidRDefault="00FA6A0F" w:rsidP="00FA6A0F">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413F89"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413F89"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413F89"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413F89"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413F89"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413F89"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413F89"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413F89"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41A4" w14:textId="77777777" w:rsidR="00413F89" w:rsidRDefault="00413F89" w:rsidP="0066336C">
      <w:pPr>
        <w:spacing w:after="0" w:line="240" w:lineRule="auto"/>
      </w:pPr>
      <w:r>
        <w:separator/>
      </w:r>
    </w:p>
  </w:endnote>
  <w:endnote w:type="continuationSeparator" w:id="0">
    <w:p w14:paraId="253782CF" w14:textId="77777777" w:rsidR="00413F89" w:rsidRDefault="00413F8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18B0D" w14:textId="77777777" w:rsidR="00F17301" w:rsidRDefault="00F17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A7855" w14:textId="77777777" w:rsidR="00F17301" w:rsidRDefault="00F17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637AA" w14:textId="77777777" w:rsidR="00F17301" w:rsidRDefault="00F1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71D23" w14:textId="77777777" w:rsidR="00413F89" w:rsidRDefault="00413F89" w:rsidP="0066336C">
      <w:pPr>
        <w:spacing w:after="0" w:line="240" w:lineRule="auto"/>
      </w:pPr>
      <w:r>
        <w:separator/>
      </w:r>
    </w:p>
  </w:footnote>
  <w:footnote w:type="continuationSeparator" w:id="0">
    <w:p w14:paraId="791CCD34" w14:textId="77777777" w:rsidR="00413F89" w:rsidRDefault="00413F89" w:rsidP="00663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3A79C" w14:textId="77777777" w:rsidR="00F17301" w:rsidRDefault="00F17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E580" w14:textId="77777777" w:rsidR="00F17301" w:rsidRDefault="00F17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B4C9" w14:textId="77777777" w:rsidR="00F17301" w:rsidRDefault="00F17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23" Type="http://schemas.openxmlformats.org/officeDocument/2006/relationships/fontTable" Target="fontTable.xml"/><Relationship Id="rId10" Type="http://schemas.openxmlformats.org/officeDocument/2006/relationships/hyperlink" Target="https://www.3gpp.org/ftp/TSG_RAN/WG1_RL1/TSGR1_106b-e/Docs/R1-2108956.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F747DE-7F6E-492C-9D82-23539985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6199</Words>
  <Characters>35340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2021-10-12T05:24:00Z</dcterms:created>
  <dcterms:modified xsi:type="dcterms:W3CDTF">2021-10-12T05:24:00Z</dcterms:modified>
</cp:coreProperties>
</file>