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B14F82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B14F82">
        <w:trPr>
          <w:trHeight w:val="894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等线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等线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For the value range, suggest updating the deiscrtipon </w:t>
            </w:r>
            <w:r>
              <w:rPr>
                <w:rFonts w:eastAsia="等线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We need to discuss the granularity of RRC parameter ‘TriggerSRSOnly’. There is no RAN1 agreement that indicate per-UE configuration. Our preference is per-CC. So, suggest adding FFS on the gruanlirty</w:t>
            </w:r>
            <w:r w:rsidR="007D5FD7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For “EnableStartRBHopping”, suggest clarifying the description field and use similar language based on the RAN1 agreement</w:t>
            </w:r>
            <w:r w:rsidR="007F2B84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a3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a3"/>
              <w:snapToGrid w:val="0"/>
              <w:ind w:left="36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1528"/>
              <w:gridCol w:w="652"/>
              <w:gridCol w:w="739"/>
              <w:gridCol w:w="3188"/>
              <w:gridCol w:w="1472"/>
              <w:gridCol w:w="999"/>
              <w:gridCol w:w="1250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n+k to the slot where the aperiodic SRS resource set is transmitted, where slot n is the slot with the triggering DCI, and k is the legacy triggering offset (slotOffset).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in different SRS frequency hopping periods for periodic/semi-persistent SRS based on the hopping pattern k_hopping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B14F82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，</w:t>
            </w:r>
            <w:r>
              <w:rPr>
                <w:rFonts w:eastAsia="等线"/>
                <w:sz w:val="18"/>
                <w:szCs w:val="18"/>
                <w:lang w:eastAsia="zh-CN"/>
              </w:rPr>
              <w:t>HiSilicon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>With UE capability reporting, UE tell gNB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gNB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>”, we do NOT think the restriction should be be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B14F82">
        <w:trPr>
          <w:trHeight w:val="2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r w:rsidRPr="00C35B8D">
              <w:rPr>
                <w:i/>
                <w:iCs/>
                <w:sz w:val="20"/>
                <w:szCs w:val="20"/>
              </w:rPr>
              <w:t>nrofSymbols</w:t>
            </w:r>
            <w:r>
              <w:rPr>
                <w:sz w:val="20"/>
                <w:szCs w:val="20"/>
              </w:rPr>
              <w:t xml:space="preserve">, and </w:t>
            </w:r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 the agreement means the candidate values for t should include 0, not each SRS resource set has to be configured with t value euqals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gNB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data 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lastRenderedPageBreak/>
              <w:t xml:space="preserve">On </w:t>
            </w:r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symobls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ence, an another</w:t>
            </w:r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等线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377BA7">
              <w:rPr>
                <w:rFonts w:eastAsia="等线"/>
                <w:i/>
                <w:sz w:val="18"/>
                <w:szCs w:val="18"/>
              </w:rPr>
              <w:t>transmissionComb</w:t>
            </w:r>
            <w:r>
              <w:rPr>
                <w:rFonts w:eastAsia="等线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377BA7">
              <w:rPr>
                <w:rFonts w:eastAsia="等线"/>
                <w:i/>
                <w:sz w:val="18"/>
                <w:szCs w:val="18"/>
              </w:rPr>
              <w:t>TriggerSRSOnly</w:t>
            </w:r>
            <w:r>
              <w:rPr>
                <w:rFonts w:eastAsia="等线"/>
                <w:sz w:val="18"/>
                <w:szCs w:val="18"/>
              </w:rPr>
              <w:t xml:space="preserve">: We support to keep this parameter. If there is no RRC configuration, when the UE received a such kind of SRS triggering, UE doesn’t know whether it is an erro case from legay gNB or is an valid DCI from new gNB with the intention. </w:t>
            </w:r>
          </w:p>
        </w:tc>
      </w:tr>
      <w:tr w:rsidR="00B14F82" w14:paraId="6BC65ECD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36F35B6B" w:rsidR="00B14F82" w:rsidRDefault="00B14F82" w:rsidP="00B14F8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103C29">
              <w:rPr>
                <w:rFonts w:eastAsia="等线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B1E" w14:textId="48ADE1AA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等线"/>
                <w:sz w:val="18"/>
                <w:szCs w:val="18"/>
                <w:lang w:eastAsia="zh-CN"/>
              </w:rPr>
              <w:t>n updated list has been uploaded to V02.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240A81" w:rsidRPr="00240A81">
              <w:rPr>
                <w:rFonts w:eastAsia="等线" w:hint="eastAsia"/>
                <w:b/>
                <w:sz w:val="18"/>
                <w:szCs w:val="18"/>
                <w:u w:val="single"/>
                <w:lang w:eastAsia="zh-CN"/>
              </w:rPr>
              <w:t>It</w:t>
            </w:r>
            <w:r w:rsidR="00240A81" w:rsidRPr="00240A81">
              <w:rPr>
                <w:rFonts w:eastAsia="等线"/>
                <w:b/>
                <w:sz w:val="18"/>
                <w:szCs w:val="18"/>
                <w:u w:val="single"/>
                <w:lang w:eastAsia="zh-CN"/>
              </w:rPr>
              <w:t xml:space="preserve"> seems one contentious point is whether “TriggerSRSOnly” should be kept. FL encourages more companies to share your view on this.</w:t>
            </w:r>
          </w:p>
          <w:p w14:paraId="7176B02B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71514C6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 xml:space="preserve">@Qualcomm, </w:t>
            </w:r>
          </w:p>
          <w:p w14:paraId="56EC9263" w14:textId="59B79D1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The text is updated based on your last two bullets. For your first bullet, I tend to agree with Huawei</w:t>
            </w:r>
            <w:r w:rsidR="0056207B">
              <w:rPr>
                <w:rFonts w:eastAsia="等线"/>
                <w:sz w:val="18"/>
                <w:szCs w:val="18"/>
                <w:lang w:eastAsia="zh-CN"/>
              </w:rPr>
              <w:t>, OPPO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and CATT that the previous agreement talks about candidate values not configured values.</w:t>
            </w:r>
          </w:p>
          <w:p w14:paraId="4CB8B5C2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6521AC7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@Huawei,</w:t>
            </w:r>
          </w:p>
          <w:p w14:paraId="57E32F85" w14:textId="2BFB452C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For TriggerSRSOnly, my understanding is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similar as OPPO’s.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>I</w:t>
            </w:r>
            <w:r>
              <w:rPr>
                <w:rFonts w:eastAsia="等线"/>
                <w:sz w:val="18"/>
                <w:szCs w:val="18"/>
                <w:lang w:eastAsia="zh-CN"/>
              </w:rPr>
              <w:t>t is needed to have this RRC parameter as two different bahavi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>ors are defined for receiving a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DCI Rel-15 and Rel-17. Otherwise there would be some issue for a Rel-15 gNB to serve a Rel-17 UE.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Let’s keep it here for now. Let’s see how other companies think in the second round.</w:t>
            </w:r>
          </w:p>
          <w:p w14:paraId="41A2E1A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20B873F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@Intel,</w:t>
            </w:r>
          </w:p>
          <w:p w14:paraId="5F4523C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This parameter is updated based on your preference, but these two should be new parameters. We shouldn’t change Rel-15 ASN.1, otherwise there would be NBC issue for Rel-15 UEs to receive RRC message.</w:t>
            </w:r>
          </w:p>
          <w:p w14:paraId="7A7A0505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361F8375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等线"/>
                <w:sz w:val="18"/>
                <w:szCs w:val="18"/>
                <w:lang w:eastAsia="zh-CN"/>
              </w:rPr>
              <w:t>CATT,</w:t>
            </w:r>
          </w:p>
          <w:p w14:paraId="7202F60B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AvalaibleSlotOffset: see my reply to QC.</w:t>
            </w:r>
          </w:p>
          <w:p w14:paraId="76A5FC5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TriggerSRSOnly: see my reply to Huawei.</w:t>
            </w:r>
          </w:p>
          <w:p w14:paraId="58CE17E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IncreaseRepetitionPattern: see my reply to Intel. For the start position, at least it should be fine to reuse the Rel-16 start position from RAN1 perspective. If RAN2 finds an issue and wants to define a totally new resourceMapping IE, they can do this by themselves. It should be up to RAN2’s discussion and decision. Let’s do not debate too much on the detailed signaling design.</w:t>
            </w:r>
          </w:p>
          <w:p w14:paraId="7578D136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>ransmissionComb: Agree. Have changed it to “New”.</w:t>
            </w:r>
          </w:p>
          <w:p w14:paraId="004C50B9" w14:textId="77777777" w:rsidR="00240A81" w:rsidRDefault="00240A81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0EF997F6" w14:textId="77777777" w:rsidR="002432FE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@</w:t>
            </w:r>
            <w:r>
              <w:rPr>
                <w:sz w:val="18"/>
                <w:szCs w:val="18"/>
                <w:lang w:eastAsia="zh-CN"/>
              </w:rPr>
              <w:t>OPPO,</w:t>
            </w:r>
          </w:p>
          <w:p w14:paraId="35BB4156" w14:textId="0B7B2813" w:rsidR="002432FE" w:rsidRPr="00240A81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Please see the update on transmissionComb. Let’s see how other companies think on “TriggerSRSOnly”.</w:t>
            </w:r>
          </w:p>
        </w:tc>
      </w:tr>
      <w:tr w:rsidR="0099314C" w14:paraId="658A9854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3688B12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501CC89" w14:textId="21107EA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10D7D989" w14:textId="43C122D4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361F27C" w14:textId="3FA0663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77E771F" w14:textId="19AC8EA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BE91421" w14:textId="07B5F4B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A797880" w14:textId="5110C1E8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AEBC158" w14:textId="77777777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C32B0D0" w14:textId="21B3FC70" w:rsidR="00F843D2" w:rsidRDefault="00F843D2" w:rsidP="00274E42">
      <w:pPr>
        <w:pStyle w:val="2"/>
        <w:numPr>
          <w:ilvl w:val="0"/>
          <w:numId w:val="5"/>
        </w:numPr>
      </w:pPr>
      <w:r>
        <w:t xml:space="preserve">Inputs on </w:t>
      </w:r>
      <w:r w:rsidR="00D8552C">
        <w:t xml:space="preserve">version </w:t>
      </w:r>
      <w:r w:rsidR="00DF3594"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F3594" w14:paraId="1A9D41EF" w14:textId="77777777" w:rsidTr="00FD05E6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B01F" w14:textId="77777777" w:rsidR="00DF3594" w:rsidRDefault="00DF3594" w:rsidP="00FD05E6">
            <w:pPr>
              <w:snapToGrid w:val="0"/>
            </w:pPr>
            <w:r>
              <w:rPr>
                <w:b/>
                <w:sz w:val="18"/>
                <w:szCs w:val="18"/>
              </w:rPr>
              <w:lastRenderedPageBreak/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3C3A" w14:textId="77777777" w:rsidR="00DF3594" w:rsidRDefault="00DF3594" w:rsidP="00FD05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F3594" w14:paraId="0E22956E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68" w14:textId="56E17428" w:rsidR="00DF3594" w:rsidRDefault="005840DE" w:rsidP="00FD05E6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F1C" w14:textId="2EAD10E3" w:rsidR="00DF3594" w:rsidRDefault="005840DE" w:rsidP="00FD05E6">
            <w:pPr>
              <w:snapToGrid w:val="0"/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</w:rPr>
              <w:t xml:space="preserve">We think that the </w:t>
            </w:r>
            <w:r w:rsidRPr="00240A81">
              <w:rPr>
                <w:rFonts w:eastAsia="等线"/>
                <w:b/>
                <w:sz w:val="18"/>
                <w:szCs w:val="18"/>
                <w:u w:val="single"/>
                <w:lang w:eastAsia="zh-CN"/>
              </w:rPr>
              <w:t>TriggerSRSOnly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RRC parameter 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>should be kept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. Every UE feature should be accompanied by RRC parameter to indicate to the UE the configuration of that feature by that gNB. </w:t>
            </w:r>
          </w:p>
          <w:p w14:paraId="13E9BFB1" w14:textId="096BB4FB" w:rsidR="005840DE" w:rsidRDefault="005840DE" w:rsidP="00FD05E6">
            <w:pPr>
              <w:snapToGrid w:val="0"/>
              <w:jc w:val="both"/>
              <w:rPr>
                <w:rFonts w:eastAsia="等线"/>
                <w:b/>
                <w:sz w:val="18"/>
                <w:szCs w:val="18"/>
                <w:u w:val="single"/>
                <w:lang w:eastAsia="zh-CN"/>
              </w:rPr>
            </w:pPr>
          </w:p>
          <w:p w14:paraId="040AC632" w14:textId="22F545EF" w:rsidR="005840DE" w:rsidRPr="005840DE" w:rsidRDefault="005840DE" w:rsidP="00FD05E6">
            <w:pPr>
              <w:snapToGrid w:val="0"/>
              <w:jc w:val="both"/>
              <w:rPr>
                <w:rFonts w:eastAsia="等线"/>
                <w:bCs/>
                <w:i/>
                <w:iCs/>
                <w:sz w:val="18"/>
                <w:szCs w:val="18"/>
                <w:lang w:eastAsia="zh-CN"/>
              </w:rPr>
            </w:pPr>
            <w:r w:rsidRPr="005840DE">
              <w:rPr>
                <w:rFonts w:eastAsia="等线"/>
                <w:bCs/>
                <w:i/>
                <w:iCs/>
                <w:sz w:val="18"/>
                <w:szCs w:val="18"/>
                <w:lang w:eastAsia="zh-CN"/>
              </w:rPr>
              <w:t xml:space="preserve">We would like to ask the group on the common understanding when only one t-value is configured, what should be this value? </w:t>
            </w:r>
          </w:p>
          <w:p w14:paraId="5E4051CC" w14:textId="372396A0" w:rsidR="005840DE" w:rsidRPr="005840DE" w:rsidRDefault="005840DE" w:rsidP="00FD05E6">
            <w:pPr>
              <w:snapToGrid w:val="0"/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 xml:space="preserve">Based on my reading to the agreement and prior discussion in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earlier 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>GTW session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s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>, this single t-value should be ‘0’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  <w:p w14:paraId="2C171F90" w14:textId="58876BD3" w:rsidR="005840DE" w:rsidRPr="00565AE4" w:rsidRDefault="005840DE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DF3594" w14:paraId="4A1A3E57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6B0" w14:textId="271C9DAD" w:rsidR="00DF3594" w:rsidRDefault="001F1DC0" w:rsidP="00FD05E6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0668" w14:textId="77777777" w:rsidR="00DF3594" w:rsidRDefault="001F1DC0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Regarding TriggerSRSOnly, we are fine to remove it.</w:t>
            </w:r>
          </w:p>
          <w:p w14:paraId="5AD9D19C" w14:textId="77777777" w:rsidR="001F1DC0" w:rsidRDefault="001F1DC0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  <w:p w14:paraId="192F63F4" w14:textId="1B1794E8" w:rsidR="001F1DC0" w:rsidRPr="00565AE4" w:rsidRDefault="001F1DC0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Regarding the candidate values of ‘t’, we think QC’s interpretation is more aligned with the agreement. But we are also fine to further clarify on this. Single t value means 0 is too restrictive.</w:t>
            </w:r>
          </w:p>
        </w:tc>
      </w:tr>
      <w:tr w:rsidR="007C62D1" w14:paraId="766B4BE7" w14:textId="77777777" w:rsidTr="00FD05E6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5A02" w14:textId="2F44F4FF" w:rsidR="007C62D1" w:rsidRDefault="007C62D1" w:rsidP="007C62D1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Malgun Gothic" w:hint="eastAsia"/>
                <w:sz w:val="18"/>
                <w:szCs w:val="18"/>
              </w:rPr>
              <w:t>LGE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A7BE" w14:textId="77777777" w:rsidR="007C62D1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F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ine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with updated </w:t>
            </w:r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repetitionFactor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and </w:t>
            </w:r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nrofSymbols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. </w:t>
            </w:r>
          </w:p>
          <w:p w14:paraId="206AD3FB" w14:textId="77777777" w:rsidR="007C62D1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F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or </w:t>
            </w:r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TriggerSRSOnly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, we can live with it.</w:t>
            </w:r>
          </w:p>
          <w:p w14:paraId="1947E6BB" w14:textId="3D530140" w:rsidR="007C62D1" w:rsidRPr="00565AE4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Regarding “</w:t>
            </w:r>
            <w:r w:rsidRPr="00921C33">
              <w:rPr>
                <w:rFonts w:eastAsia="Malgun Gothic"/>
                <w:sz w:val="18"/>
                <w:szCs w:val="18"/>
                <w:lang w:eastAsia="ko-KR"/>
              </w:rPr>
              <w:t>At least one candidate values include 0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”, we share the similar view with HW, CATT, and OPPO. For QC’s question, we think there is no restriction for t-value when only one t-value is configured.</w:t>
            </w:r>
          </w:p>
        </w:tc>
      </w:tr>
      <w:tr w:rsidR="007C62D1" w14:paraId="03833490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D10F" w14:textId="3C265947" w:rsidR="007C62D1" w:rsidRDefault="00813B1B" w:rsidP="007C62D1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Futurewei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1FC" w14:textId="77777777" w:rsidR="007C62D1" w:rsidRDefault="00813B1B" w:rsidP="007C62D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Row2: For ‘k is the legacy triggering offset’, suggest to clarify it is NOT based on available slots. For ‘each entry takes value from {0,1,2,…7}, did we have agreement on this? Sorry if we missed anything.</w:t>
            </w:r>
          </w:p>
          <w:p w14:paraId="2D6A7873" w14:textId="55FCE681" w:rsidR="00813B1B" w:rsidRDefault="005807C7" w:rsidP="007C62D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Row3: We feel that triggering SRS only and without data/CSI should be the default/baseline from now on as long as the UE supports it. Therefore, </w:t>
            </w:r>
            <w:r w:rsidR="00F5793D">
              <w:rPr>
                <w:rFonts w:eastAsia="等线"/>
                <w:sz w:val="18"/>
                <w:szCs w:val="18"/>
              </w:rPr>
              <w:t>the parameter</w:t>
            </w:r>
            <w:r>
              <w:rPr>
                <w:rFonts w:eastAsia="等线"/>
                <w:sz w:val="18"/>
                <w:szCs w:val="18"/>
              </w:rPr>
              <w:t xml:space="preserve"> does not seem necessary.</w:t>
            </w:r>
          </w:p>
          <w:p w14:paraId="309FF4E8" w14:textId="54A78178" w:rsidR="005807C7" w:rsidRPr="00565AE4" w:rsidRDefault="00AB1AF9" w:rsidP="007C62D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@QC: </w:t>
            </w:r>
            <w:r w:rsidR="00AB510E">
              <w:rPr>
                <w:rFonts w:eastAsia="等线"/>
                <w:sz w:val="18"/>
                <w:szCs w:val="18"/>
              </w:rPr>
              <w:t>I guess this is for the case that no bit is used to indicate the t offset</w:t>
            </w:r>
            <w:r>
              <w:rPr>
                <w:rFonts w:eastAsia="等线"/>
                <w:sz w:val="18"/>
                <w:szCs w:val="18"/>
              </w:rPr>
              <w:t>?</w:t>
            </w:r>
            <w:r w:rsidR="00AB510E">
              <w:rPr>
                <w:rFonts w:eastAsia="等线"/>
                <w:sz w:val="18"/>
                <w:szCs w:val="18"/>
              </w:rPr>
              <w:t xml:space="preserve"> It seems we do not have agreement on what the value has to be. An agreement will be needed if we want to impose additional restriction.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  <w:r w:rsidR="002555E2">
              <w:rPr>
                <w:rFonts w:eastAsia="等线"/>
                <w:sz w:val="18"/>
                <w:szCs w:val="18"/>
              </w:rPr>
              <w:t>So no restriction as of now, but we are open for further discussion.</w:t>
            </w:r>
          </w:p>
        </w:tc>
      </w:tr>
      <w:tr w:rsidR="007C62D1" w14:paraId="11FE0982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2857" w14:textId="37AD6F3A" w:rsidR="007C62D1" w:rsidRDefault="000E3FEC" w:rsidP="007C62D1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H</w:t>
            </w:r>
            <w:r>
              <w:rPr>
                <w:rFonts w:eastAsia="等线"/>
                <w:sz w:val="18"/>
                <w:szCs w:val="18"/>
                <w:lang w:eastAsia="zh-CN"/>
              </w:rPr>
              <w:t>uawei, HiSilicon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DBAD" w14:textId="101E14AC" w:rsidR="000B6BEC" w:rsidRDefault="000E3FEC" w:rsidP="000E3FE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 w:rsidRPr="000B6BEC"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 xml:space="preserve">or </w:t>
            </w:r>
            <w:r w:rsidRPr="000B6BEC">
              <w:rPr>
                <w:rFonts w:eastAsia="等线"/>
                <w:b/>
                <w:i/>
                <w:sz w:val="18"/>
                <w:szCs w:val="18"/>
                <w:lang w:eastAsia="zh-CN"/>
              </w:rPr>
              <w:t>TriggeringSRSOnly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>, it should be removed, which only increase RRC signaling but nothing to do for the functionality. The feature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 xml:space="preserve"> in R17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 xml:space="preserve"> for SRS transmission without CSI and Data is for releasing the retrictions on UEs, no need to waste RRC signaling to </w:t>
            </w:r>
            <w:r w:rsidR="000B6BEC" w:rsidRPr="000B6BEC">
              <w:rPr>
                <w:rFonts w:eastAsia="等线"/>
                <w:sz w:val="18"/>
                <w:szCs w:val="18"/>
                <w:lang w:eastAsia="zh-CN"/>
              </w:rPr>
              <w:t xml:space="preserve">tell 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 xml:space="preserve">UE again for the information that UE want to tell gNB. </w:t>
            </w:r>
          </w:p>
          <w:p w14:paraId="3C33FA01" w14:textId="6D0BBDBC" w:rsidR="000B6BEC" w:rsidRDefault="007E5059" w:rsidP="000B6BEC">
            <w:pPr>
              <w:pStyle w:val="a3"/>
              <w:adjustRightInd w:val="0"/>
              <w:snapToGrid w:val="0"/>
              <w:spacing w:beforeLines="50" w:before="182"/>
              <w:ind w:left="36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For the comment from OPPO and ZTE, R15 gNB can not and never schedule the SRS with data, how can UE wrongly understand the behavior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>?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or the argument that UE error decode R15 gNB’ DCI to R17 behavior, it is very very low probability 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 xml:space="preserve">(even never) 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to happen the error decoding could be from one valid case to another valied case with CRC calibration. 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>We do not need to waste RRC signaling for the very very low probability.</w:t>
            </w:r>
          </w:p>
          <w:p w14:paraId="780C7C00" w14:textId="69EB884C" w:rsidR="000E3FEC" w:rsidRPr="00565AE4" w:rsidRDefault="000B6BEC" w:rsidP="0004786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beforeLines="50" w:before="182"/>
              <w:jc w:val="both"/>
              <w:rPr>
                <w:rFonts w:eastAsia="等线" w:hint="eastAsia"/>
                <w:sz w:val="18"/>
                <w:szCs w:val="18"/>
                <w:lang w:eastAsia="zh-CN"/>
              </w:rPr>
            </w:pPr>
            <w:r w:rsidRPr="007E5059">
              <w:rPr>
                <w:rFonts w:eastAsiaTheme="minorEastAsia"/>
                <w:sz w:val="18"/>
                <w:szCs w:val="18"/>
                <w:lang w:eastAsia="zh-CN"/>
              </w:rPr>
              <w:t>Regarding “At least one candidate values include 0”</w:t>
            </w:r>
            <w:r w:rsidRPr="007E5059">
              <w:rPr>
                <w:rFonts w:eastAsiaTheme="minorEastAsia" w:hint="eastAsia"/>
                <w:sz w:val="18"/>
                <w:szCs w:val="18"/>
                <w:lang w:eastAsia="zh-CN"/>
              </w:rPr>
              <w:t>,</w:t>
            </w:r>
            <w:r w:rsidRPr="007E5059">
              <w:rPr>
                <w:rFonts w:eastAsiaTheme="minorEastAsia"/>
                <w:sz w:val="18"/>
                <w:szCs w:val="18"/>
                <w:lang w:eastAsia="zh-CN"/>
              </w:rPr>
              <w:t xml:space="preserve"> as we mentioned, the previous agreement is for the values range include 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0, but not to say</w:t>
            </w:r>
            <w:r w:rsidRPr="007E5059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one of {t0, t1, t2, t3} is always 0</w:t>
            </w:r>
            <w:r w:rsidR="00FC5C63" w:rsidRPr="007E5059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 xml:space="preserve"> If only one value of t configured, it could be any one value from the value range. Actually, if following QC’s understanding, always t=0 for only one t configured, why we need the RRC configuration? </w:t>
            </w:r>
            <w:r w:rsidR="0004786E">
              <w:rPr>
                <w:rFonts w:eastAsiaTheme="minorEastAsia"/>
                <w:sz w:val="18"/>
                <w:szCs w:val="18"/>
                <w:lang w:eastAsia="zh-CN"/>
              </w:rPr>
              <w:t xml:space="preserve">Only for the case without t configured, 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t=0 is default assumed</w:t>
            </w:r>
            <w:r w:rsidR="0004786E">
              <w:rPr>
                <w:rFonts w:eastAsiaTheme="minorEastAsia"/>
                <w:sz w:val="18"/>
                <w:szCs w:val="18"/>
                <w:lang w:eastAsia="zh-CN"/>
              </w:rPr>
              <w:t xml:space="preserve"> as we agreed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.</w:t>
            </w:r>
            <w:bookmarkStart w:id="0" w:name="_GoBack"/>
            <w:bookmarkEnd w:id="0"/>
          </w:p>
        </w:tc>
      </w:tr>
    </w:tbl>
    <w:p w14:paraId="4FD3D22C" w14:textId="10E80BF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9E019" w14:textId="77777777" w:rsidR="008A1166" w:rsidRDefault="008A1166">
      <w:r>
        <w:separator/>
      </w:r>
    </w:p>
  </w:endnote>
  <w:endnote w:type="continuationSeparator" w:id="0">
    <w:p w14:paraId="3AE4E502" w14:textId="77777777" w:rsidR="008A1166" w:rsidRDefault="008A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65689" w14:textId="77777777" w:rsidR="008A1166" w:rsidRDefault="008A1166">
      <w:r>
        <w:rPr>
          <w:color w:val="000000"/>
        </w:rPr>
        <w:separator/>
      </w:r>
    </w:p>
  </w:footnote>
  <w:footnote w:type="continuationSeparator" w:id="0">
    <w:p w14:paraId="6DE106FC" w14:textId="77777777" w:rsidR="008A1166" w:rsidRDefault="008A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F46335"/>
    <w:multiLevelType w:val="hybridMultilevel"/>
    <w:tmpl w:val="85AA6F2E"/>
    <w:lvl w:ilvl="0" w:tplc="537E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9D3986"/>
    <w:multiLevelType w:val="hybridMultilevel"/>
    <w:tmpl w:val="8AF6881C"/>
    <w:lvl w:ilvl="0" w:tplc="9C7E0D46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4786E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6BEC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3FEC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6EC3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22D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DC0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0A81"/>
    <w:rsid w:val="002414AD"/>
    <w:rsid w:val="0024227D"/>
    <w:rsid w:val="002425BC"/>
    <w:rsid w:val="00242E27"/>
    <w:rsid w:val="00242FAE"/>
    <w:rsid w:val="002432F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55E2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02CB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07B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7C7"/>
    <w:rsid w:val="00580AE0"/>
    <w:rsid w:val="00581B4A"/>
    <w:rsid w:val="00582374"/>
    <w:rsid w:val="00582BCF"/>
    <w:rsid w:val="00583505"/>
    <w:rsid w:val="00583AF0"/>
    <w:rsid w:val="00584053"/>
    <w:rsid w:val="005840DE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2D1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059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3B1B"/>
    <w:rsid w:val="00813F62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3883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166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39E9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1AF9"/>
    <w:rsid w:val="00AB2192"/>
    <w:rsid w:val="00AB232C"/>
    <w:rsid w:val="00AB3DD7"/>
    <w:rsid w:val="00AB3DE3"/>
    <w:rsid w:val="00AB4240"/>
    <w:rsid w:val="00AB510E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4F82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26F5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6D2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594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2C5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DFA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5793D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C63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501E-A3B9-4ADA-B5FD-8E6D3E6C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Huawei</cp:lastModifiedBy>
  <cp:revision>3</cp:revision>
  <dcterms:created xsi:type="dcterms:W3CDTF">2021-10-19T00:03:00Z</dcterms:created>
  <dcterms:modified xsi:type="dcterms:W3CDTF">2021-10-19T00:07:00Z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