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Heading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B14F82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B14F82">
        <w:trPr>
          <w:trHeight w:val="894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DengXian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A given aperiodic SRS resource set is transmitted in the (t+1)-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th</w:t>
                                  </w:r>
                                  <w:proofErr w:type="spellEnd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available slot counting from a reference slot, where 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proofErr w:type="spellEnd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Microsoft YaHei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DengXian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A given aperiodic SRS resource set is transmitted in the (t+1)-</w:t>
                            </w:r>
                            <w:proofErr w:type="spellStart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th</w:t>
                            </w:r>
                            <w:proofErr w:type="spellEnd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 xml:space="preserve"> available slot counting from a reference slot, where </w:t>
                            </w:r>
                            <w:proofErr w:type="spellStart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 xml:space="preserve"> is indicated from DCI, or RRC (if only one value of t is configured in RRC), </w:t>
                            </w:r>
                            <w:r w:rsidRPr="007D5FD7">
                              <w:rPr>
                                <w:rFonts w:eastAsia="Microsoft YaHei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For the value range, suggest updating the </w:t>
            </w:r>
            <w:proofErr w:type="spellStart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>deiscrtipon</w:t>
            </w:r>
            <w:proofErr w:type="spellEnd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We need to discuss the granularity of RRC parameter ‘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TriggerSRSOnly</w:t>
            </w:r>
            <w:proofErr w:type="spellEnd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’. There is no RAN1 agreement that indicate per-UE configuration. Our preference is per-CC. So, suggest adding FFS on the 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gruanlirty</w:t>
            </w:r>
            <w:proofErr w:type="spellEnd"/>
            <w:r w:rsidR="007D5FD7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For “</w:t>
            </w:r>
            <w:proofErr w:type="spellStart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EnableStartRBHopping</w:t>
            </w:r>
            <w:proofErr w:type="spellEnd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”, suggest clarifying the description field and use similar language based on the RAN1 agreement</w:t>
            </w:r>
            <w:r w:rsidR="007F2B84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ListParagraph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Microsoft YaHei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ListParagraph"/>
              <w:snapToGrid w:val="0"/>
              <w:ind w:left="36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2284"/>
              <w:gridCol w:w="1094"/>
              <w:gridCol w:w="1195"/>
              <w:gridCol w:w="2053"/>
              <w:gridCol w:w="1188"/>
              <w:gridCol w:w="931"/>
              <w:gridCol w:w="1083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n+k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to the slot where the aperiodic SRS resource set is transmitted, where slot n is the slot with the triggering DCI, and k is the legacy triggering offset (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slotOffset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in different SRS frequency hopping periods for periodic/semi-persistent SRS based on the hopping pattern </w:t>
                  </w:r>
                  <w:proofErr w:type="spell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k_hopping</w:t>
                  </w:r>
                  <w:proofErr w:type="spell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B14F82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DengXian" w:hint="eastAsia"/>
                <w:sz w:val="18"/>
                <w:szCs w:val="18"/>
                <w:lang w:eastAsia="zh-CN"/>
              </w:rPr>
              <w:t>，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proofErr w:type="spellStart"/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 xml:space="preserve">With UE capability reporting, UE tell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”, we do NOT think the restriction should be </w:t>
            </w:r>
            <w:proofErr w:type="spellStart"/>
            <w:r w:rsidRPr="001471FE">
              <w:rPr>
                <w:b/>
                <w:sz w:val="20"/>
                <w:szCs w:val="20"/>
                <w:lang w:eastAsia="zh-CN"/>
              </w:rPr>
              <w:t>be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B14F82">
        <w:trPr>
          <w:trHeight w:val="2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in the agreement means the candidate values for t should include 0, not each SRS resource set has to be configured with t value </w:t>
            </w:r>
            <w:proofErr w:type="spellStart"/>
            <w:r w:rsidR="004C0799" w:rsidRPr="00A614B9">
              <w:rPr>
                <w:bCs/>
                <w:sz w:val="20"/>
                <w:szCs w:val="20"/>
                <w:lang w:eastAsia="zh-CN"/>
              </w:rPr>
              <w:t>euqals</w:t>
            </w:r>
            <w:proofErr w:type="spellEnd"/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</w:t>
            </w:r>
            <w:proofErr w:type="spellStart"/>
            <w:r w:rsidR="005E295A" w:rsidRPr="00A614B9">
              <w:rPr>
                <w:bCs/>
                <w:sz w:val="20"/>
                <w:szCs w:val="20"/>
                <w:lang w:eastAsia="zh-CN"/>
              </w:rPr>
              <w:t>gNB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data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lastRenderedPageBreak/>
              <w:t>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t xml:space="preserve">On </w:t>
            </w:r>
            <w:proofErr w:type="spellStart"/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proofErr w:type="spellEnd"/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</w:t>
            </w:r>
            <w:proofErr w:type="spellStart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>symobls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ence, an another</w:t>
            </w:r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proofErr w:type="spellStart"/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proofErr w:type="spellEnd"/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DengXian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proofErr w:type="spellStart"/>
            <w:r w:rsidRPr="00377BA7">
              <w:rPr>
                <w:rFonts w:eastAsia="DengXian"/>
                <w:i/>
                <w:sz w:val="18"/>
                <w:szCs w:val="18"/>
              </w:rPr>
              <w:t>transmissionComb</w:t>
            </w:r>
            <w:proofErr w:type="spellEnd"/>
            <w:r>
              <w:rPr>
                <w:rFonts w:eastAsia="DengXian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proofErr w:type="spellStart"/>
            <w:r w:rsidRPr="00377BA7">
              <w:rPr>
                <w:rFonts w:eastAsia="DengXian"/>
                <w:i/>
                <w:sz w:val="18"/>
                <w:szCs w:val="18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: We support to keep this parameter. If there is no RRC configuration, when the UE received a such kind of SRS triggering, UE doesn’t know whether it is an </w:t>
            </w:r>
            <w:proofErr w:type="spellStart"/>
            <w:r>
              <w:rPr>
                <w:rFonts w:eastAsia="DengXian"/>
                <w:sz w:val="18"/>
                <w:szCs w:val="18"/>
              </w:rPr>
              <w:t>erro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case from </w:t>
            </w:r>
            <w:proofErr w:type="spellStart"/>
            <w:r>
              <w:rPr>
                <w:rFonts w:eastAsia="DengXian"/>
                <w:sz w:val="18"/>
                <w:szCs w:val="18"/>
              </w:rPr>
              <w:t>legay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DengXian"/>
                <w:sz w:val="18"/>
                <w:szCs w:val="18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or is an valid DCI from new </w:t>
            </w:r>
            <w:proofErr w:type="spellStart"/>
            <w:r>
              <w:rPr>
                <w:rFonts w:eastAsia="DengXian"/>
                <w:sz w:val="18"/>
                <w:szCs w:val="18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with the intention. </w:t>
            </w:r>
          </w:p>
        </w:tc>
      </w:tr>
      <w:tr w:rsidR="00B14F82" w14:paraId="6BC65ECD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36F35B6B" w:rsidR="00B14F82" w:rsidRDefault="00B14F82" w:rsidP="00B14F8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103C29">
              <w:rPr>
                <w:rFonts w:eastAsia="DengXian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B1E" w14:textId="48ADE1AA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DengXian"/>
                <w:sz w:val="18"/>
                <w:szCs w:val="18"/>
                <w:lang w:eastAsia="zh-CN"/>
              </w:rPr>
              <w:t>n updated list has been uploaded to V02.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 w:rsidRPr="00240A81">
              <w:rPr>
                <w:rFonts w:eastAsia="DengXian" w:hint="eastAsia"/>
                <w:b/>
                <w:sz w:val="18"/>
                <w:szCs w:val="18"/>
                <w:u w:val="single"/>
                <w:lang w:eastAsia="zh-CN"/>
              </w:rPr>
              <w:t>It</w:t>
            </w:r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 xml:space="preserve"> seems one contentious point is whether “</w:t>
            </w:r>
            <w:proofErr w:type="spellStart"/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TriggerSRSOnly</w:t>
            </w:r>
            <w:proofErr w:type="spellEnd"/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” should be kept. FL encourages more companies to share your view on this.</w:t>
            </w:r>
          </w:p>
          <w:p w14:paraId="7176B02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71514C6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@Qualcomm, </w:t>
            </w:r>
          </w:p>
          <w:p w14:paraId="56EC9263" w14:textId="59B79D1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The text is updated based on your last two bullets. For your first bullet, I tend to agree with Huawei</w:t>
            </w:r>
            <w:r w:rsidR="0056207B">
              <w:rPr>
                <w:rFonts w:eastAsia="DengXian"/>
                <w:sz w:val="18"/>
                <w:szCs w:val="18"/>
                <w:lang w:eastAsia="zh-CN"/>
              </w:rPr>
              <w:t>, OPPO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and CATT that the previous agreement talks about candidate values not configured values.</w:t>
            </w:r>
          </w:p>
          <w:p w14:paraId="4CB8B5C2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6521AC7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@Huawei,</w:t>
            </w:r>
          </w:p>
          <w:p w14:paraId="57E32F85" w14:textId="2BFB452C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For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, my understanding is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similar as OPPO’s.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t is needed to have this RRC parameter as two different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bahavi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ors</w:t>
            </w:r>
            <w:proofErr w:type="spellEnd"/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are defined for receiving 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DCI Rel-15 and Rel-17. Otherwise there would be some issue for a Rel-15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 to serve a Rel-17 UE.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Let’s keep it here for now. Let’s see how other companies think in the second round.</w:t>
            </w:r>
          </w:p>
          <w:p w14:paraId="41A2E1A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20B873F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@Intel,</w:t>
            </w:r>
          </w:p>
          <w:p w14:paraId="5F4523C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This parameter is updated based on your preference, but these two should be new parameters. We shouldn’t change Rel-15 ASN.1, otherwise there would be NBC issue for Rel-15 UEs to receive RRC message.</w:t>
            </w:r>
          </w:p>
          <w:p w14:paraId="7A7A050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61F837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DengXian"/>
                <w:sz w:val="18"/>
                <w:szCs w:val="18"/>
                <w:lang w:eastAsia="zh-CN"/>
              </w:rPr>
              <w:t>CATT,</w:t>
            </w:r>
          </w:p>
          <w:p w14:paraId="7202F60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AvalaibleSlotOffset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see my reply to QC.</w:t>
            </w:r>
          </w:p>
          <w:p w14:paraId="76A5FC5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see my reply to Huawei.</w:t>
            </w:r>
          </w:p>
          <w:p w14:paraId="58CE17E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IncreaseRepetitionPattern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: see my reply to Intel. For the start position, at least it should be fine to reuse the Rel-16 start position from RAN1 perspective. If RAN2 finds an issue and wants to define a totally new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resourceMapping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 IE, they can do this by themselves. It should be up to RAN2’s discussion and decision. Let’s do not debate too much on the detailed signaling design.</w:t>
            </w:r>
          </w:p>
          <w:p w14:paraId="7578D136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DengXian"/>
                <w:sz w:val="18"/>
                <w:szCs w:val="18"/>
                <w:lang w:eastAsia="zh-CN"/>
              </w:rPr>
              <w:t>ransmissionComb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Agree. Have changed it to “New”.</w:t>
            </w:r>
          </w:p>
          <w:p w14:paraId="004C50B9" w14:textId="77777777" w:rsidR="00240A81" w:rsidRDefault="00240A81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0EF997F6" w14:textId="77777777" w:rsidR="002432FE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@</w:t>
            </w:r>
            <w:r>
              <w:rPr>
                <w:sz w:val="18"/>
                <w:szCs w:val="18"/>
                <w:lang w:eastAsia="zh-CN"/>
              </w:rPr>
              <w:t>OPPO,</w:t>
            </w:r>
          </w:p>
          <w:p w14:paraId="35BB4156" w14:textId="0B7B2813" w:rsidR="002432FE" w:rsidRPr="00240A81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Please see the update on </w:t>
            </w:r>
            <w:proofErr w:type="spellStart"/>
            <w:r>
              <w:rPr>
                <w:sz w:val="18"/>
                <w:szCs w:val="18"/>
                <w:lang w:eastAsia="zh-CN"/>
              </w:rPr>
              <w:t>transmissionComb</w:t>
            </w:r>
            <w:proofErr w:type="spellEnd"/>
            <w:r>
              <w:rPr>
                <w:sz w:val="18"/>
                <w:szCs w:val="18"/>
                <w:lang w:eastAsia="zh-CN"/>
              </w:rPr>
              <w:t>. Let’s see how other companies think on “</w:t>
            </w:r>
            <w:proofErr w:type="spellStart"/>
            <w:r>
              <w:rPr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sz w:val="18"/>
                <w:szCs w:val="18"/>
                <w:lang w:eastAsia="zh-CN"/>
              </w:rPr>
              <w:t>”.</w:t>
            </w:r>
          </w:p>
        </w:tc>
      </w:tr>
      <w:tr w:rsidR="0099314C" w14:paraId="658A9854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3688B12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501CC89" w14:textId="21107EA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10D7D989" w14:textId="43C122D4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361F27C" w14:textId="3FA0663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77E771F" w14:textId="19AC8EA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BE91421" w14:textId="07B5F4B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A797880" w14:textId="5110C1E8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AEBC158" w14:textId="77777777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C32B0D0" w14:textId="21B3FC70" w:rsidR="00F843D2" w:rsidRDefault="00F843D2" w:rsidP="00274E42">
      <w:pPr>
        <w:pStyle w:val="Heading2"/>
        <w:numPr>
          <w:ilvl w:val="0"/>
          <w:numId w:val="5"/>
        </w:numPr>
      </w:pPr>
      <w:r>
        <w:lastRenderedPageBreak/>
        <w:t xml:space="preserve">Inputs on </w:t>
      </w:r>
      <w:r w:rsidR="00D8552C">
        <w:t xml:space="preserve">version </w:t>
      </w:r>
      <w:r w:rsidR="00DF3594"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F3594" w14:paraId="1A9D41EF" w14:textId="77777777" w:rsidTr="00FD05E6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B01F" w14:textId="77777777" w:rsidR="00DF3594" w:rsidRDefault="00DF3594" w:rsidP="00FD05E6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3C3A" w14:textId="77777777" w:rsidR="00DF3594" w:rsidRDefault="00DF3594" w:rsidP="00FD05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F3594" w14:paraId="0E22956E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68" w14:textId="56E17428" w:rsidR="00DF3594" w:rsidRDefault="005840DE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F1C" w14:textId="2EAD10E3" w:rsidR="00DF3594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</w:rPr>
              <w:t xml:space="preserve">We think that the </w:t>
            </w:r>
            <w:proofErr w:type="spellStart"/>
            <w:r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TriggerSRSOnly</w:t>
            </w:r>
            <w:proofErr w:type="spellEnd"/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RRC parameter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should be kept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Every UE feature should be accompanied by RRC parameter to indicate to the UE the configuration of that feature by that 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gNB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</w:t>
            </w:r>
          </w:p>
          <w:p w14:paraId="13E9BFB1" w14:textId="096BB4FB" w:rsidR="005840DE" w:rsidRDefault="005840DE" w:rsidP="00FD05E6">
            <w:pPr>
              <w:snapToGrid w:val="0"/>
              <w:jc w:val="both"/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</w:pPr>
          </w:p>
          <w:p w14:paraId="040AC632" w14:textId="22F545EF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  <w:t xml:space="preserve">We would like to ask the group on the common understanding when only one t-value is configured, what should be this value? </w:t>
            </w:r>
          </w:p>
          <w:p w14:paraId="5E4051CC" w14:textId="372396A0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Based on my reading to the agreement and prior discussion in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earlier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GTW session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s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, this single t-value should be ‘0’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  <w:p w14:paraId="2C171F90" w14:textId="58876BD3" w:rsidR="005840DE" w:rsidRPr="00565AE4" w:rsidRDefault="005840DE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4A1A3E57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6B0" w14:textId="77777777" w:rsidR="00DF3594" w:rsidRDefault="00DF3594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63F4" w14:textId="77777777" w:rsidR="00DF3594" w:rsidRPr="00565AE4" w:rsidRDefault="00DF3594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766B4BE7" w14:textId="77777777" w:rsidTr="00FD05E6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5A02" w14:textId="77777777" w:rsidR="00DF3594" w:rsidRDefault="00DF3594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E6BB" w14:textId="77777777" w:rsidR="00DF3594" w:rsidRPr="00565AE4" w:rsidRDefault="00DF3594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03833490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D10F" w14:textId="77777777" w:rsidR="00DF3594" w:rsidRDefault="00DF3594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F4E8" w14:textId="77777777" w:rsidR="00DF3594" w:rsidRPr="00565AE4" w:rsidRDefault="00DF3594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11FE0982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2857" w14:textId="77777777" w:rsidR="00DF3594" w:rsidRDefault="00DF3594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7C00" w14:textId="77777777" w:rsidR="00DF3594" w:rsidRPr="00565AE4" w:rsidRDefault="00DF3594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4FD3D22C" w14:textId="10E80BF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0881" w14:textId="77777777" w:rsidR="000F6EC3" w:rsidRDefault="000F6EC3">
      <w:r>
        <w:separator/>
      </w:r>
    </w:p>
  </w:endnote>
  <w:endnote w:type="continuationSeparator" w:id="0">
    <w:p w14:paraId="2EA6EC3E" w14:textId="77777777" w:rsidR="000F6EC3" w:rsidRDefault="000F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AE23" w14:textId="77777777" w:rsidR="000F6EC3" w:rsidRDefault="000F6EC3">
      <w:r>
        <w:rPr>
          <w:color w:val="000000"/>
        </w:rPr>
        <w:separator/>
      </w:r>
    </w:p>
  </w:footnote>
  <w:footnote w:type="continuationSeparator" w:id="0">
    <w:p w14:paraId="1A5A3410" w14:textId="77777777" w:rsidR="000F6EC3" w:rsidRDefault="000F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6EC3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0A81"/>
    <w:rsid w:val="002414AD"/>
    <w:rsid w:val="0024227D"/>
    <w:rsid w:val="002425BC"/>
    <w:rsid w:val="00242E27"/>
    <w:rsid w:val="00242FAE"/>
    <w:rsid w:val="002432F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02CB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07B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0DE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4F82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594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DFA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066E-71FF-4E2E-83CB-9633F58C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Muhammad Abdelghaffar (Khairy)</cp:lastModifiedBy>
  <cp:revision>3</cp:revision>
  <dcterms:created xsi:type="dcterms:W3CDTF">2021-10-14T23:42:00Z</dcterms:created>
  <dcterms:modified xsi:type="dcterms:W3CDTF">2021-10-14T23:47:00Z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