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af"/>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r w:rsidR="00DD28D8">
              <w:rPr>
                <w:sz w:val="18"/>
                <w:szCs w:val="18"/>
              </w:rPr>
              <w:t>Spreadtrum, OPPO, Intel, Apple, Sony, Ericsson, Huawei/HiSi</w:t>
            </w:r>
            <w:r w:rsidR="00DD28D8">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af"/>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Spreadtrum, Samsung, Convida, Nokia/NSB, vivo, Xiaomi</w:t>
            </w:r>
            <w:r w:rsidR="003416D2">
              <w:rPr>
                <w:sz w:val="18"/>
                <w:szCs w:val="18"/>
              </w:rPr>
              <w:t>, Sony</w:t>
            </w:r>
          </w:p>
          <w:p w14:paraId="6E4F6DD1" w14:textId="12CE3838" w:rsidR="00DD28D8" w:rsidRDefault="00DD28D8" w:rsidP="005B13A1">
            <w:pPr>
              <w:pStyle w:val="af"/>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af"/>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af"/>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it is 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 RRC.</w:t>
      </w:r>
    </w:p>
    <w:p w14:paraId="4032436F" w14:textId="18E79758" w:rsidR="007C67F7" w:rsidRPr="004B580C" w:rsidRDefault="005C5976" w:rsidP="00CC0BE0">
      <w:pPr>
        <w:pStyle w:val="af"/>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af"/>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QCL-TypeD]</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af"/>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af"/>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af"/>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af"/>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af"/>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[Mod: I symphatize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c"/>
                <w:color w:val="000000"/>
                <w:sz w:val="20"/>
                <w:szCs w:val="20"/>
                <w:highlight w:val="green"/>
              </w:rPr>
              <w:t>Agreement</w:t>
            </w:r>
          </w:p>
          <w:p w14:paraId="12F11C61" w14:textId="77777777" w:rsidR="00CA5254" w:rsidRPr="003C42D4" w:rsidRDefault="00CA5254" w:rsidP="00CA5254">
            <w:pPr>
              <w:pStyle w:v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新細明體"/>
                <w:sz w:val="18"/>
                <w:szCs w:val="18"/>
                <w:lang w:eastAsia="zh-TW"/>
              </w:rPr>
            </w:pPr>
            <w:r>
              <w:rPr>
                <w:rFonts w:eastAsia="新細明體"/>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af"/>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新細明體"/>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新細明體"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新細明體"/>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af"/>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af"/>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r w:rsidRPr="00D24AD1">
              <w:rPr>
                <w:sz w:val="20"/>
                <w:szCs w:val="20"/>
              </w:rPr>
              <w:t>refering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QCL-typeD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neve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but RAN1 may continue to study the configuration level. Perhap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r>
              <w:rPr>
                <w:sz w:val="20"/>
                <w:szCs w:val="18"/>
                <w:lang w:eastAsia="zh-CN"/>
              </w:rPr>
              <w:t>Remaing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Support. It has been agreed to reuse R15 QCL rule, which supports using CSI-RS for CSI as QCL source for PDCCH/PDSCH. Reading the arguments from Apple/OPPO, they are mostly talking about their preferred configurations, which are not the only configurations allowed by agrrements. For example, while aperiodic CSI-RS for CSI can be optionally configured to follow PDCCH/PDSCH, periodic CSI-RS for CSI can still be used as QCL source for PDCCH/PDSCH. We failed to see a solid reason to revert preivous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Ericssion’s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af"/>
              <w:numPr>
                <w:ilvl w:val="0"/>
                <w:numId w:val="52"/>
              </w:numPr>
              <w:snapToGrid w:val="0"/>
              <w:jc w:val="both"/>
              <w:rPr>
                <w:sz w:val="20"/>
              </w:rPr>
            </w:pPr>
            <w:r w:rsidRPr="00BE0C23">
              <w:rPr>
                <w:sz w:val="20"/>
              </w:rPr>
              <w:t>Option 1</w:t>
            </w:r>
          </w:p>
          <w:p w14:paraId="651223FA" w14:textId="77777777" w:rsidR="00253856" w:rsidRDefault="00253856" w:rsidP="00253856">
            <w:pPr>
              <w:pStyle w:val="af"/>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af"/>
              <w:numPr>
                <w:ilvl w:val="0"/>
                <w:numId w:val="52"/>
              </w:numPr>
              <w:snapToGrid w:val="0"/>
              <w:jc w:val="both"/>
              <w:rPr>
                <w:sz w:val="20"/>
              </w:rPr>
            </w:pPr>
            <w:r w:rsidRPr="00BE0C23">
              <w:rPr>
                <w:sz w:val="20"/>
              </w:rPr>
              <w:t>Option 2</w:t>
            </w:r>
          </w:p>
          <w:p w14:paraId="529236D9" w14:textId="77777777" w:rsidR="00253856" w:rsidRDefault="00253856" w:rsidP="00253856">
            <w:pPr>
              <w:pStyle w:val="af"/>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af"/>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af"/>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新細明體"/>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rPr>
            </w:pPr>
            <w:r w:rsidRPr="004B6DC1">
              <w:rPr>
                <w:sz w:val="20"/>
                <w:szCs w:val="20"/>
              </w:rPr>
              <w:t xml:space="preserve">Proposal 1.A: </w:t>
            </w:r>
            <w:r>
              <w:rPr>
                <w:sz w:val="20"/>
                <w:szCs w:val="20"/>
              </w:rPr>
              <w:t>We would propose that for separate TCI we use 128 states for DL and 128 for UL, is any particular reason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
            </w:pPr>
            <w:r w:rsidRPr="00CB4B88">
              <w:rPr>
                <w:sz w:val="20"/>
                <w:szCs w:val="20"/>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
              <w:t>Proposal 1.G: Support</w:t>
            </w:r>
          </w:p>
          <w:p w14:paraId="58DFA46C" w14:textId="77777777" w:rsidR="00FE1360" w:rsidRPr="009A3467" w:rsidRDefault="00FE1360" w:rsidP="00FE1360">
            <w:pPr>
              <w:snapToGrid w:val="0"/>
              <w:jc w:val="both"/>
              <w:rPr>
                <w:sz w:val="20"/>
              </w:rPr>
            </w:pPr>
          </w:p>
        </w:tc>
      </w:tr>
      <w:tr w:rsidR="00A05BA6" w:rsidRPr="00473088" w14:paraId="04503D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F417D" w14:textId="226811DC" w:rsidR="00A05BA6" w:rsidRPr="00CB4B88" w:rsidRDefault="00A05BA6" w:rsidP="00FE1360">
            <w:pPr>
              <w:snapToGrid w:val="0"/>
              <w:rPr>
                <w:rFonts w:eastAsia="新細明體"/>
                <w:sz w:val="18"/>
                <w:szCs w:val="18"/>
                <w:lang w:eastAsia="zh-TW"/>
              </w:rPr>
            </w:pPr>
            <w:r>
              <w:rPr>
                <w:rFonts w:eastAsia="新細明體"/>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E611" w14:textId="77777777" w:rsidR="00A05BA6" w:rsidRDefault="00A05BA6" w:rsidP="00FE1360">
            <w:pPr>
              <w:tabs>
                <w:tab w:val="left" w:pos="1440"/>
              </w:tabs>
              <w:snapToGrid w:val="0"/>
              <w:jc w:val="both"/>
              <w:rPr>
                <w:sz w:val="20"/>
                <w:szCs w:val="20"/>
              </w:rPr>
            </w:pPr>
            <w:r>
              <w:rPr>
                <w:sz w:val="20"/>
                <w:szCs w:val="20"/>
              </w:rPr>
              <w:t>Proposal 1.B.2: Support, we suggest a small update:</w:t>
            </w:r>
          </w:p>
          <w:p w14:paraId="2B21B783" w14:textId="77777777" w:rsidR="00A05BA6" w:rsidRPr="004B580C" w:rsidRDefault="00A05BA6" w:rsidP="00A05BA6">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4789F42E" w14:textId="37B0E1D2" w:rsidR="00A05BA6" w:rsidRPr="004B580C" w:rsidRDefault="00A05BA6" w:rsidP="00A05BA6">
            <w:pPr>
              <w:pStyle w:val="af"/>
              <w:numPr>
                <w:ilvl w:val="0"/>
                <w:numId w:val="47"/>
              </w:numPr>
              <w:tabs>
                <w:tab w:val="left" w:pos="1440"/>
              </w:tabs>
              <w:snapToGrid w:val="0"/>
              <w:spacing w:after="0" w:line="240" w:lineRule="auto"/>
              <w:jc w:val="both"/>
              <w:rPr>
                <w:rFonts w:eastAsia="Times New Roman"/>
                <w:sz w:val="20"/>
                <w:szCs w:val="20"/>
              </w:rPr>
            </w:pPr>
            <w:ins w:id="80" w:author="Eko Onggosanusi" w:date="2021-10-13T12:44:00Z">
              <w:r>
                <w:rPr>
                  <w:sz w:val="20"/>
                  <w:szCs w:val="20"/>
                </w:rPr>
                <w:t xml:space="preserve">If there is at least one </w:t>
              </w:r>
            </w:ins>
            <w:del w:id="81" w:author="Eko Onggosanusi" w:date="2021-10-13T12:44:00Z">
              <w:r w:rsidDel="005C5976">
                <w:rPr>
                  <w:sz w:val="20"/>
                  <w:szCs w:val="20"/>
                </w:rPr>
                <w:delText>Whether a</w:delText>
              </w:r>
              <w:r w:rsidRPr="004B580C" w:rsidDel="005C5976">
                <w:rPr>
                  <w:sz w:val="20"/>
                  <w:szCs w:val="20"/>
                </w:rPr>
                <w:delText xml:space="preserve"> </w:delText>
              </w:r>
            </w:del>
            <w:r w:rsidRPr="004B580C">
              <w:rPr>
                <w:rFonts w:eastAsia="Times New Roman"/>
                <w:bCs/>
                <w:sz w:val="20"/>
                <w:szCs w:val="20"/>
              </w:rPr>
              <w:t xml:space="preserve">DL channel/signal </w:t>
            </w:r>
            <w:ins w:id="82" w:author="Eko Onggosanusi" w:date="2021-10-13T12:44:00Z">
              <w:r>
                <w:rPr>
                  <w:rFonts w:eastAsia="Times New Roman"/>
                  <w:bCs/>
                  <w:sz w:val="20"/>
                  <w:szCs w:val="20"/>
                </w:rPr>
                <w:t xml:space="preserve">that does not </w:t>
              </w:r>
            </w:ins>
            <w:r w:rsidRPr="004B580C">
              <w:rPr>
                <w:rFonts w:eastAsia="Times New Roman"/>
                <w:bCs/>
                <w:sz w:val="20"/>
                <w:szCs w:val="20"/>
              </w:rPr>
              <w:t>share</w:t>
            </w:r>
            <w:del w:id="83" w:author="Eko Onggosanusi" w:date="2021-10-13T12:44: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ins w:id="84" w:author="Eko Onggosanusi" w:date="2021-10-13T12:44:00Z">
              <w:r>
                <w:rPr>
                  <w:rFonts w:eastAsia="Times New Roman"/>
                  <w:bCs/>
                  <w:sz w:val="20"/>
                  <w:szCs w:val="20"/>
                </w:rPr>
                <w:t xml:space="preserve">, </w:t>
              </w:r>
            </w:ins>
            <w:ins w:id="85" w:author="Eko Onggosanusi" w:date="2021-10-13T12:45:00Z">
              <w:r>
                <w:rPr>
                  <w:rFonts w:eastAsia="Times New Roman"/>
                  <w:bCs/>
                  <w:sz w:val="20"/>
                  <w:szCs w:val="20"/>
                </w:rPr>
                <w:t>it is</w:t>
              </w:r>
            </w:ins>
            <w:r>
              <w:rPr>
                <w:rFonts w:eastAsia="Times New Roman"/>
                <w:bCs/>
                <w:sz w:val="20"/>
                <w:szCs w:val="20"/>
              </w:rPr>
              <w:t xml:space="preserve"> </w:t>
            </w:r>
            <w:r w:rsidRPr="00A05BA6">
              <w:rPr>
                <w:rFonts w:eastAsia="Times New Roman"/>
                <w:b/>
                <w:bCs/>
                <w:color w:val="FF0000"/>
                <w:sz w:val="20"/>
                <w:szCs w:val="20"/>
              </w:rPr>
              <w:t>signaled</w:t>
            </w:r>
            <w:ins w:id="86" w:author="Eko Onggosanusi" w:date="2021-10-13T12:45:00Z">
              <w:r>
                <w:rPr>
                  <w:rFonts w:eastAsia="Times New Roman"/>
                  <w:bCs/>
                  <w:sz w:val="20"/>
                  <w:szCs w:val="20"/>
                </w:rPr>
                <w:t xml:space="preserve"> </w:t>
              </w:r>
              <w:r w:rsidRPr="00A05BA6">
                <w:rPr>
                  <w:rFonts w:eastAsia="Times New Roman"/>
                  <w:bCs/>
                  <w:strike/>
                  <w:color w:val="FF0000"/>
                  <w:sz w:val="20"/>
                  <w:szCs w:val="20"/>
                </w:rPr>
                <w:t>indicated</w:t>
              </w:r>
            </w:ins>
            <w:del w:id="87" w:author="Eko Onggosanusi" w:date="2021-10-13T12:45:00Z">
              <w:r w:rsidRPr="00A05BA6" w:rsidDel="005C5976">
                <w:rPr>
                  <w:rFonts w:eastAsia="Times New Roman"/>
                  <w:bCs/>
                  <w:color w:val="FF0000"/>
                  <w:sz w:val="20"/>
                  <w:szCs w:val="20"/>
                </w:rPr>
                <w:delText xml:space="preserve"> </w:delText>
              </w:r>
              <w:r w:rsidRPr="004B580C" w:rsidDel="005C5976">
                <w:rPr>
                  <w:rFonts w:eastAsia="Times New Roman"/>
                  <w:bCs/>
                  <w:sz w:val="20"/>
                  <w:szCs w:val="20"/>
                </w:rPr>
                <w:delText xml:space="preserve">is configured </w:delText>
              </w:r>
            </w:del>
            <w:r w:rsidRPr="004B580C">
              <w:rPr>
                <w:rFonts w:eastAsia="Times New Roman"/>
                <w:bCs/>
                <w:sz w:val="20"/>
                <w:szCs w:val="20"/>
              </w:rPr>
              <w:t>via RRC.</w:t>
            </w:r>
          </w:p>
          <w:p w14:paraId="12696F84" w14:textId="76BE6FEC" w:rsidR="00A05BA6" w:rsidRPr="004B580C" w:rsidRDefault="00A05BA6" w:rsidP="00A05BA6">
            <w:pPr>
              <w:pStyle w:val="af"/>
              <w:numPr>
                <w:ilvl w:val="0"/>
                <w:numId w:val="47"/>
              </w:numPr>
              <w:tabs>
                <w:tab w:val="left" w:pos="1440"/>
              </w:tabs>
              <w:snapToGrid w:val="0"/>
              <w:spacing w:after="0" w:line="240" w:lineRule="auto"/>
              <w:jc w:val="both"/>
              <w:rPr>
                <w:rFonts w:eastAsia="Times New Roman"/>
                <w:sz w:val="20"/>
                <w:szCs w:val="20"/>
              </w:rPr>
            </w:pPr>
            <w:ins w:id="88" w:author="Eko Onggosanusi" w:date="2021-10-13T12:45:00Z">
              <w:r>
                <w:rPr>
                  <w:sz w:val="20"/>
                  <w:szCs w:val="20"/>
                </w:rPr>
                <w:t xml:space="preserve">If there is at least one </w:t>
              </w:r>
            </w:ins>
            <w:del w:id="89" w:author="Eko Onggosanusi" w:date="2021-10-13T12:45:00Z">
              <w:r w:rsidDel="005C5976">
                <w:rPr>
                  <w:sz w:val="20"/>
                  <w:szCs w:val="20"/>
                </w:rPr>
                <w:delText>Whether an</w:delText>
              </w:r>
            </w:del>
            <w:r w:rsidRPr="004B580C">
              <w:rPr>
                <w:sz w:val="20"/>
                <w:szCs w:val="20"/>
              </w:rPr>
              <w:t xml:space="preserve"> </w:t>
            </w:r>
            <w:r w:rsidRPr="004B580C">
              <w:rPr>
                <w:rFonts w:eastAsia="Times New Roman"/>
                <w:bCs/>
                <w:sz w:val="20"/>
                <w:szCs w:val="20"/>
              </w:rPr>
              <w:t xml:space="preserve">UL channel/signal </w:t>
            </w:r>
            <w:ins w:id="90" w:author="Eko Onggosanusi" w:date="2021-10-13T12:45:00Z">
              <w:r>
                <w:rPr>
                  <w:rFonts w:eastAsia="Times New Roman"/>
                  <w:bCs/>
                  <w:sz w:val="20"/>
                  <w:szCs w:val="20"/>
                </w:rPr>
                <w:t xml:space="preserve">that does not </w:t>
              </w:r>
            </w:ins>
            <w:r w:rsidRPr="004B580C">
              <w:rPr>
                <w:rFonts w:eastAsia="Times New Roman"/>
                <w:bCs/>
                <w:sz w:val="20"/>
                <w:szCs w:val="20"/>
              </w:rPr>
              <w:t>share</w:t>
            </w:r>
            <w:del w:id="91" w:author="Eko Onggosanusi" w:date="2021-10-13T12:45:00Z">
              <w:r w:rsidDel="005C5976">
                <w:rPr>
                  <w:rFonts w:eastAsia="Times New Roman"/>
                  <w:bCs/>
                  <w:sz w:val="20"/>
                  <w:szCs w:val="20"/>
                </w:rPr>
                <w:delText>s</w:delText>
              </w:r>
            </w:del>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ins w:id="92" w:author="Eko Onggosanusi" w:date="2021-10-13T12:45:00Z">
              <w:r>
                <w:rPr>
                  <w:rFonts w:eastAsia="Times New Roman"/>
                  <w:bCs/>
                  <w:sz w:val="20"/>
                  <w:szCs w:val="20"/>
                </w:rPr>
                <w:t>, it</w:t>
              </w:r>
            </w:ins>
            <w:r w:rsidRPr="004B580C">
              <w:rPr>
                <w:rFonts w:eastAsia="Times New Roman"/>
                <w:bCs/>
                <w:sz w:val="20"/>
                <w:szCs w:val="20"/>
              </w:rPr>
              <w:t xml:space="preserve"> is</w:t>
            </w:r>
            <w:r>
              <w:rPr>
                <w:rFonts w:eastAsia="Times New Roman"/>
                <w:bCs/>
                <w:sz w:val="20"/>
                <w:szCs w:val="20"/>
              </w:rPr>
              <w:t xml:space="preserve"> </w:t>
            </w:r>
            <w:r w:rsidRPr="00A05BA6">
              <w:rPr>
                <w:rFonts w:eastAsia="Times New Roman"/>
                <w:bCs/>
                <w:color w:val="FF0000"/>
                <w:sz w:val="20"/>
                <w:szCs w:val="20"/>
              </w:rPr>
              <w:t xml:space="preserve">signaled </w:t>
            </w:r>
            <w:ins w:id="93" w:author="Eko Onggosanusi" w:date="2021-10-13T12:45:00Z">
              <w:r w:rsidRPr="00A05BA6">
                <w:rPr>
                  <w:rFonts w:eastAsia="Times New Roman"/>
                  <w:bCs/>
                  <w:strike/>
                  <w:color w:val="FF0000"/>
                  <w:sz w:val="20"/>
                  <w:szCs w:val="20"/>
                </w:rPr>
                <w:t>indicated</w:t>
              </w:r>
              <w:r w:rsidRPr="00A05BA6">
                <w:rPr>
                  <w:rFonts w:eastAsia="Times New Roman"/>
                  <w:bCs/>
                  <w:color w:val="FF0000"/>
                  <w:sz w:val="20"/>
                  <w:szCs w:val="20"/>
                </w:rPr>
                <w:t xml:space="preserve"> </w:t>
              </w:r>
            </w:ins>
            <w:del w:id="94" w:author="Eko Onggosanusi" w:date="2021-10-13T12:45:00Z">
              <w:r w:rsidRPr="004B580C" w:rsidDel="005C5976">
                <w:rPr>
                  <w:rFonts w:eastAsia="Times New Roman"/>
                  <w:bCs/>
                  <w:sz w:val="20"/>
                  <w:szCs w:val="20"/>
                </w:rPr>
                <w:delText xml:space="preserve">configured </w:delText>
              </w:r>
            </w:del>
            <w:r w:rsidRPr="004B580C">
              <w:rPr>
                <w:rFonts w:eastAsia="Times New Roman"/>
                <w:bCs/>
                <w:sz w:val="20"/>
                <w:szCs w:val="20"/>
              </w:rPr>
              <w:t>via RRC.</w:t>
            </w:r>
          </w:p>
          <w:p w14:paraId="71E7D685" w14:textId="77777777" w:rsidR="00A05BA6" w:rsidDel="00713532" w:rsidRDefault="00A05BA6" w:rsidP="00A05BA6">
            <w:pPr>
              <w:snapToGrid w:val="0"/>
              <w:jc w:val="both"/>
              <w:rPr>
                <w:del w:id="95" w:author="Eko Onggosanusi" w:date="2021-10-13T12:39:00Z"/>
                <w:sz w:val="20"/>
                <w:szCs w:val="18"/>
                <w:lang w:eastAsia="zh-CN"/>
              </w:rPr>
            </w:pPr>
            <w:del w:id="96" w:author="Eko Onggosanusi" w:date="2021-10-13T12:39:00Z">
              <w:r w:rsidDel="00713532">
                <w:rPr>
                  <w:sz w:val="20"/>
                  <w:szCs w:val="18"/>
                  <w:lang w:eastAsia="zh-CN"/>
                </w:rPr>
                <w:delText>Details are up to RAN2</w:delText>
              </w:r>
            </w:del>
          </w:p>
          <w:p w14:paraId="661D95AA" w14:textId="77777777" w:rsidR="00A05BA6" w:rsidRPr="004B580C" w:rsidRDefault="00A05BA6" w:rsidP="00A05BA6">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62702BE1" w14:textId="1FB7EDE3" w:rsidR="00A05BA6" w:rsidRPr="004B6DC1" w:rsidRDefault="00A05BA6" w:rsidP="00FE1360">
            <w:pPr>
              <w:tabs>
                <w:tab w:val="left" w:pos="1440"/>
              </w:tabs>
              <w:snapToGrid w:val="0"/>
              <w:jc w:val="both"/>
              <w:rPr>
                <w:sz w:val="20"/>
                <w:szCs w:val="20"/>
              </w:rPr>
            </w:pPr>
          </w:p>
        </w:tc>
      </w:tr>
      <w:tr w:rsidR="00EF2AC8" w:rsidRPr="00473088" w14:paraId="5067C6D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8471" w14:textId="35FEF010" w:rsidR="00EF2AC8" w:rsidRDefault="00EF2AC8" w:rsidP="00FE1360">
            <w:pPr>
              <w:snapToGrid w:val="0"/>
              <w:rPr>
                <w:rFonts w:eastAsia="新細明體"/>
                <w:sz w:val="18"/>
                <w:szCs w:val="18"/>
                <w:lang w:eastAsia="zh-TW"/>
              </w:rPr>
            </w:pPr>
            <w:r>
              <w:rPr>
                <w:rFonts w:eastAsia="新細明體"/>
                <w:sz w:val="18"/>
                <w:szCs w:val="18"/>
                <w:lang w:eastAsia="zh-TW"/>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DF2F" w14:textId="6A7E28D3" w:rsidR="00582B49" w:rsidRDefault="00582B49" w:rsidP="00FE1360">
            <w:pPr>
              <w:tabs>
                <w:tab w:val="left" w:pos="1440"/>
              </w:tabs>
              <w:snapToGrid w:val="0"/>
              <w:jc w:val="both"/>
              <w:rPr>
                <w:sz w:val="20"/>
                <w:szCs w:val="20"/>
              </w:rPr>
            </w:pPr>
            <w:r>
              <w:rPr>
                <w:sz w:val="20"/>
                <w:szCs w:val="20"/>
              </w:rPr>
              <w:t>OK with 1.A, 1.B.1 and 1.B.2</w:t>
            </w:r>
          </w:p>
          <w:p w14:paraId="75E49094" w14:textId="77777777" w:rsidR="00582B49" w:rsidRDefault="00582B49" w:rsidP="00FE1360">
            <w:pPr>
              <w:tabs>
                <w:tab w:val="left" w:pos="1440"/>
              </w:tabs>
              <w:snapToGrid w:val="0"/>
              <w:jc w:val="both"/>
              <w:rPr>
                <w:sz w:val="20"/>
                <w:szCs w:val="20"/>
              </w:rPr>
            </w:pPr>
          </w:p>
          <w:p w14:paraId="6961CBED" w14:textId="77777777" w:rsidR="00EF2AC8" w:rsidRDefault="00EF2AC8" w:rsidP="00FE1360">
            <w:pPr>
              <w:tabs>
                <w:tab w:val="left" w:pos="1440"/>
              </w:tabs>
              <w:snapToGrid w:val="0"/>
              <w:jc w:val="both"/>
              <w:rPr>
                <w:sz w:val="20"/>
                <w:szCs w:val="20"/>
              </w:rPr>
            </w:pPr>
            <w:r w:rsidRPr="007130D4">
              <w:rPr>
                <w:b/>
                <w:bCs/>
                <w:sz w:val="20"/>
                <w:szCs w:val="20"/>
              </w:rPr>
              <w:t>Proposal 1.G</w:t>
            </w:r>
            <w:r w:rsidR="007130D4" w:rsidRPr="007130D4">
              <w:rPr>
                <w:b/>
                <w:bCs/>
                <w:sz w:val="20"/>
                <w:szCs w:val="20"/>
              </w:rPr>
              <w:t>:</w:t>
            </w:r>
            <w:r w:rsidR="007130D4">
              <w:rPr>
                <w:b/>
                <w:bCs/>
                <w:sz w:val="20"/>
                <w:szCs w:val="20"/>
              </w:rPr>
              <w:t xml:space="preserve"> </w:t>
            </w:r>
            <w:r w:rsidR="007130D4">
              <w:rPr>
                <w:sz w:val="20"/>
                <w:szCs w:val="20"/>
              </w:rPr>
              <w:t xml:space="preserve">On the last bullet within brackets, we are wondering why with the new TCI framework, there should be use case of two SRS </w:t>
            </w:r>
            <w:r w:rsidR="00260FA1">
              <w:rPr>
                <w:sz w:val="20"/>
                <w:szCs w:val="20"/>
              </w:rPr>
              <w:t>resources in the QCL chain as commented by LGE? This is not clear to us. Additionally, the last bullet itself is not very clear. It should explicitly state the SRS use case for which it is targeted</w:t>
            </w:r>
          </w:p>
          <w:p w14:paraId="12069488" w14:textId="77777777" w:rsidR="00260FA1" w:rsidRDefault="00260FA1" w:rsidP="00FE1360">
            <w:pPr>
              <w:tabs>
                <w:tab w:val="left" w:pos="1440"/>
              </w:tabs>
              <w:snapToGrid w:val="0"/>
              <w:jc w:val="both"/>
              <w:rPr>
                <w:sz w:val="20"/>
                <w:szCs w:val="20"/>
              </w:rPr>
            </w:pPr>
          </w:p>
          <w:p w14:paraId="57835E10" w14:textId="77777777" w:rsidR="00260FA1" w:rsidRDefault="00260FA1" w:rsidP="00FE1360">
            <w:pPr>
              <w:tabs>
                <w:tab w:val="left" w:pos="1440"/>
              </w:tabs>
              <w:snapToGrid w:val="0"/>
              <w:jc w:val="both"/>
              <w:rPr>
                <w:sz w:val="20"/>
                <w:szCs w:val="20"/>
              </w:rPr>
            </w:pPr>
            <w:r w:rsidRPr="00F80A1C">
              <w:rPr>
                <w:b/>
                <w:bCs/>
                <w:sz w:val="20"/>
                <w:szCs w:val="20"/>
              </w:rPr>
              <w:t>Proposal 1.H</w:t>
            </w:r>
            <w:r w:rsidR="00F80A1C" w:rsidRPr="00F80A1C">
              <w:rPr>
                <w:b/>
                <w:bCs/>
                <w:sz w:val="20"/>
                <w:szCs w:val="20"/>
              </w:rPr>
              <w:t>:</w:t>
            </w:r>
            <w:r w:rsidR="00F80A1C">
              <w:rPr>
                <w:b/>
                <w:bCs/>
                <w:sz w:val="20"/>
                <w:szCs w:val="20"/>
              </w:rPr>
              <w:t xml:space="preserve"> S</w:t>
            </w:r>
            <w:r w:rsidR="00F80A1C">
              <w:rPr>
                <w:sz w:val="20"/>
                <w:szCs w:val="20"/>
              </w:rPr>
              <w:t xml:space="preserve">upport Alt. 1. In the main bullet, </w:t>
            </w:r>
            <w:r w:rsidR="00DD03E3">
              <w:rPr>
                <w:sz w:val="20"/>
                <w:szCs w:val="20"/>
              </w:rPr>
              <w:t xml:space="preserve">for the SRS part, we want to clarify if this setting is per SRS resource/resource set or per usage type? </w:t>
            </w:r>
          </w:p>
          <w:p w14:paraId="04EE98C7" w14:textId="3C7E6206" w:rsidR="00E6563A" w:rsidRPr="00F80A1C" w:rsidRDefault="00E6563A" w:rsidP="00FE1360">
            <w:pPr>
              <w:tabs>
                <w:tab w:val="left" w:pos="1440"/>
              </w:tabs>
              <w:snapToGrid w:val="0"/>
              <w:jc w:val="both"/>
              <w:rPr>
                <w:sz w:val="20"/>
                <w:szCs w:val="20"/>
              </w:rPr>
            </w:pPr>
          </w:p>
        </w:tc>
      </w:tr>
      <w:tr w:rsidR="00E81FC8" w:rsidRPr="00473088" w14:paraId="27B6155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FB5C9" w14:textId="65729EA0" w:rsidR="00E81FC8" w:rsidRDefault="00E81FC8" w:rsidP="00FE1360">
            <w:pPr>
              <w:snapToGrid w:val="0"/>
              <w:rPr>
                <w:rFonts w:eastAsia="新細明體"/>
                <w:sz w:val="18"/>
                <w:szCs w:val="18"/>
                <w:lang w:eastAsia="zh-TW"/>
              </w:rPr>
            </w:pPr>
            <w:r>
              <w:rPr>
                <w:rFonts w:eastAsia="新細明體"/>
                <w:sz w:val="18"/>
                <w:szCs w:val="18"/>
                <w:lang w:eastAsia="zh-TW"/>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C4FB" w14:textId="0BEB3D4E" w:rsidR="00E81FC8" w:rsidRDefault="00E81FC8" w:rsidP="00E81FC8">
            <w:pPr>
              <w:snapToGrid w:val="0"/>
              <w:jc w:val="both"/>
              <w:rPr>
                <w:rFonts w:eastAsia="Malgun Gothic"/>
                <w:bCs/>
                <w:sz w:val="20"/>
              </w:rPr>
            </w:pPr>
            <w:r w:rsidRPr="003A5EC7">
              <w:rPr>
                <w:rFonts w:eastAsia="Malgun Gothic"/>
                <w:bCs/>
                <w:sz w:val="20"/>
              </w:rPr>
              <w:t xml:space="preserve">Proposal 1.A: </w:t>
            </w:r>
            <w:r>
              <w:rPr>
                <w:rFonts w:eastAsia="Malgun Gothic"/>
                <w:bCs/>
                <w:sz w:val="20"/>
              </w:rPr>
              <w:t xml:space="preserve">Do not support. </w:t>
            </w:r>
            <w:r w:rsidRPr="003A5EC7">
              <w:rPr>
                <w:rFonts w:eastAsia="Malgun Gothic"/>
                <w:bCs/>
                <w:sz w:val="20"/>
              </w:rPr>
              <w:t xml:space="preserve">Does this </w:t>
            </w:r>
            <w:r>
              <w:rPr>
                <w:rFonts w:eastAsia="Malgun Gothic"/>
                <w:bCs/>
                <w:sz w:val="20"/>
              </w:rPr>
              <w:t>imply all the TCI states configured for a UE have to be joint DL/UL, or have to be separate DL/UL, i.e. a UE cannot be configured with a mixture of different TCI types? This is not what we agreed previously. Because there is no way to a UE to tell the TCI type from MAC-CE or DCI, RRC needs to identify their types in the configuration. To allow flexibility for the network configuration, a UE shall be allowed to be configured a mixture of different TCI types: joint DL/UL TCI, separate DL/UL TCI, DL-only, and UL-only TCI.</w:t>
            </w:r>
          </w:p>
          <w:p w14:paraId="645BA806" w14:textId="77777777" w:rsidR="00E81FC8" w:rsidRDefault="00E81FC8" w:rsidP="00E81FC8">
            <w:pPr>
              <w:snapToGrid w:val="0"/>
              <w:jc w:val="both"/>
              <w:rPr>
                <w:rFonts w:eastAsia="Malgun Gothic"/>
                <w:bCs/>
                <w:sz w:val="20"/>
              </w:rPr>
            </w:pPr>
            <w:r>
              <w:rPr>
                <w:rFonts w:eastAsia="Malgun Gothic"/>
                <w:bCs/>
                <w:sz w:val="20"/>
              </w:rPr>
              <w:t xml:space="preserve"> </w:t>
            </w:r>
          </w:p>
          <w:p w14:paraId="0B1C0F96" w14:textId="77777777" w:rsidR="00E81FC8" w:rsidRDefault="00E81FC8" w:rsidP="00E81FC8">
            <w:pPr>
              <w:tabs>
                <w:tab w:val="left" w:pos="1440"/>
              </w:tabs>
              <w:snapToGrid w:val="0"/>
              <w:jc w:val="both"/>
              <w:rPr>
                <w:rFonts w:eastAsia="Malgun Gothic"/>
                <w:bCs/>
                <w:sz w:val="20"/>
              </w:rPr>
            </w:pPr>
            <w:r>
              <w:rPr>
                <w:rFonts w:eastAsia="Malgun Gothic"/>
                <w:bCs/>
                <w:sz w:val="20"/>
              </w:rPr>
              <w:t>Proposal 1.B.2: Support</w:t>
            </w:r>
          </w:p>
          <w:p w14:paraId="63D0161D" w14:textId="77777777" w:rsidR="00E81FC8" w:rsidRDefault="00E81FC8" w:rsidP="00E81FC8">
            <w:pPr>
              <w:tabs>
                <w:tab w:val="left" w:pos="1440"/>
              </w:tabs>
              <w:snapToGrid w:val="0"/>
              <w:jc w:val="both"/>
              <w:rPr>
                <w:rFonts w:eastAsia="Malgun Gothic"/>
                <w:bCs/>
                <w:sz w:val="20"/>
              </w:rPr>
            </w:pPr>
            <w:r>
              <w:rPr>
                <w:rFonts w:eastAsia="Malgun Gothic"/>
                <w:bCs/>
                <w:sz w:val="20"/>
              </w:rPr>
              <w:t>Proposal 1.G: Support</w:t>
            </w:r>
          </w:p>
          <w:p w14:paraId="5F5DACAB" w14:textId="25DB7546" w:rsidR="00E81FC8" w:rsidRDefault="00E81FC8" w:rsidP="00E81FC8">
            <w:pPr>
              <w:tabs>
                <w:tab w:val="left" w:pos="1440"/>
              </w:tabs>
              <w:snapToGrid w:val="0"/>
              <w:jc w:val="both"/>
              <w:rPr>
                <w:sz w:val="20"/>
                <w:szCs w:val="20"/>
              </w:rPr>
            </w:pPr>
            <w:r>
              <w:rPr>
                <w:rFonts w:eastAsia="Malgun Gothic"/>
                <w:bCs/>
                <w:sz w:val="20"/>
              </w:rPr>
              <w:t>Proposal 1.H: Support</w:t>
            </w:r>
          </w:p>
        </w:tc>
      </w:tr>
      <w:tr w:rsidR="0077011A" w:rsidRPr="00473088" w14:paraId="68C4CF5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EF24" w14:textId="4D4E7A0D" w:rsidR="0077011A" w:rsidRDefault="0077011A" w:rsidP="0077011A">
            <w:pPr>
              <w:snapToGrid w:val="0"/>
              <w:rPr>
                <w:rFonts w:eastAsia="新細明體"/>
                <w:sz w:val="18"/>
                <w:szCs w:val="18"/>
                <w:lang w:eastAsia="zh-TW"/>
              </w:rPr>
            </w:pPr>
            <w:r>
              <w:rPr>
                <w:rFonts w:eastAsia="新細明體"/>
                <w:sz w:val="18"/>
                <w:szCs w:val="18"/>
                <w:lang w:eastAsia="zh-TW"/>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2A06" w14:textId="77777777" w:rsidR="0077011A" w:rsidRDefault="0077011A" w:rsidP="0077011A">
            <w:pPr>
              <w:snapToGrid w:val="0"/>
              <w:jc w:val="both"/>
              <w:rPr>
                <w:sz w:val="20"/>
              </w:rPr>
            </w:pPr>
            <w:r>
              <w:rPr>
                <w:b/>
                <w:sz w:val="20"/>
              </w:rPr>
              <w:t>Proposal 1.A</w:t>
            </w:r>
            <w:r w:rsidRPr="006C6A24">
              <w:rPr>
                <w:sz w:val="20"/>
              </w:rPr>
              <w:t>: S</w:t>
            </w:r>
            <w:r>
              <w:rPr>
                <w:sz w:val="20"/>
              </w:rPr>
              <w:t>upport.</w:t>
            </w:r>
          </w:p>
          <w:p w14:paraId="4C321832" w14:textId="77777777" w:rsidR="0077011A" w:rsidRDefault="0077011A" w:rsidP="0077011A">
            <w:pPr>
              <w:snapToGrid w:val="0"/>
              <w:jc w:val="both"/>
              <w:rPr>
                <w:sz w:val="20"/>
              </w:rPr>
            </w:pPr>
            <w:r>
              <w:rPr>
                <w:b/>
                <w:sz w:val="20"/>
              </w:rPr>
              <w:t>Proposal 1.B.1</w:t>
            </w:r>
            <w:r w:rsidRPr="006C6A24">
              <w:rPr>
                <w:sz w:val="20"/>
              </w:rPr>
              <w:t>: S</w:t>
            </w:r>
            <w:r>
              <w:rPr>
                <w:sz w:val="20"/>
              </w:rPr>
              <w:t>upport.</w:t>
            </w:r>
          </w:p>
          <w:p w14:paraId="38D72535" w14:textId="231D2D87" w:rsidR="0077011A" w:rsidRPr="007F0156" w:rsidRDefault="0077011A" w:rsidP="0077011A">
            <w:pPr>
              <w:snapToGrid w:val="0"/>
              <w:jc w:val="both"/>
              <w:rPr>
                <w:rFonts w:eastAsia="Times New Roman"/>
                <w:bCs/>
                <w:sz w:val="20"/>
                <w:szCs w:val="20"/>
              </w:rPr>
            </w:pPr>
            <w:r>
              <w:rPr>
                <w:b/>
                <w:sz w:val="20"/>
              </w:rPr>
              <w:t>Proposal 1.B.2</w:t>
            </w:r>
            <w:r w:rsidRPr="006C6A24">
              <w:rPr>
                <w:sz w:val="20"/>
              </w:rPr>
              <w:t xml:space="preserve">: </w:t>
            </w:r>
            <w:r>
              <w:rPr>
                <w:sz w:val="20"/>
              </w:rPr>
              <w:t xml:space="preserve">Not support.  The formulation of the latest proposal in v29 implies that by default, all the DL channels/signals share </w:t>
            </w:r>
            <w:r w:rsidRPr="004B580C">
              <w:rPr>
                <w:rFonts w:eastAsia="Times New Roman"/>
                <w:bCs/>
                <w:sz w:val="20"/>
                <w:szCs w:val="20"/>
              </w:rPr>
              <w:t xml:space="preserve">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w:t>
            </w:r>
            <w:r>
              <w:rPr>
                <w:rFonts w:eastAsia="Times New Roman"/>
                <w:bCs/>
                <w:sz w:val="20"/>
                <w:szCs w:val="20"/>
              </w:rPr>
              <w:t xml:space="preserve">, and all the UL channels/signals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which is not true.  According to the agreements in RAN1 106-e, </w:t>
            </w:r>
            <w:r w:rsidRPr="0071098E">
              <w:rPr>
                <w:sz w:val="20"/>
                <w:szCs w:val="20"/>
              </w:rPr>
              <w:t>for intra-cell beam indication,</w:t>
            </w:r>
            <w:r w:rsidRPr="0071098E">
              <w:rPr>
                <w:rFonts w:eastAsia="Times New Roman"/>
                <w:bCs/>
                <w:sz w:val="20"/>
                <w:szCs w:val="20"/>
              </w:rPr>
              <w:t xml:space="preserve"> </w:t>
            </w:r>
            <w:r>
              <w:rPr>
                <w:rFonts w:eastAsia="Times New Roman"/>
                <w:bCs/>
                <w:sz w:val="20"/>
                <w:szCs w:val="20"/>
              </w:rPr>
              <w:t xml:space="preserve">only </w:t>
            </w:r>
            <w:r w:rsidRPr="0071098E">
              <w:rPr>
                <w:rFonts w:eastAsia="Times New Roman"/>
                <w:bCs/>
                <w:sz w:val="20"/>
                <w:szCs w:val="20"/>
              </w:rPr>
              <w:t xml:space="preserve">the following channels/signals </w:t>
            </w:r>
            <w:r>
              <w:rPr>
                <w:rFonts w:eastAsia="Times New Roman"/>
                <w:bCs/>
                <w:sz w:val="20"/>
                <w:szCs w:val="20"/>
              </w:rPr>
              <w:t xml:space="preserve">can </w:t>
            </w:r>
            <w:r w:rsidRPr="0071098E">
              <w:rPr>
                <w:rFonts w:eastAsia="Times New Roman"/>
                <w:bCs/>
                <w:sz w:val="20"/>
                <w:szCs w:val="20"/>
              </w:rPr>
              <w:t>share the same indicated Rel-17 TCI state as U</w:t>
            </w:r>
            <w:r w:rsidRPr="0046771F">
              <w:rPr>
                <w:rFonts w:eastAsia="Times New Roman"/>
                <w:bCs/>
                <w:sz w:val="20"/>
                <w:szCs w:val="20"/>
              </w:rPr>
              <w:t>E-dedicated reception on PDSCH/PDCCH (via Rel-17 MAC-CE/DCI TCI state update)</w:t>
            </w:r>
            <w:r>
              <w:rPr>
                <w:rFonts w:eastAsia="Times New Roman"/>
                <w:bCs/>
                <w:sz w:val="20"/>
                <w:szCs w:val="20"/>
              </w:rPr>
              <w:t xml:space="preserve">: </w:t>
            </w:r>
            <w:r w:rsidRPr="0071098E">
              <w:rPr>
                <w:sz w:val="20"/>
                <w:szCs w:val="20"/>
              </w:rPr>
              <w:t xml:space="preserve">aperiodic CSI-RS resources for CSI, aperiodic CSI-RS resources for BM, </w:t>
            </w:r>
            <w:r>
              <w:rPr>
                <w:sz w:val="20"/>
                <w:szCs w:val="20"/>
              </w:rPr>
              <w:t xml:space="preserve">and </w:t>
            </w:r>
            <w:r w:rsidRPr="0071098E">
              <w:rPr>
                <w:rFonts w:ascii="Times" w:eastAsia="Batang" w:hAnsi="Times"/>
                <w:sz w:val="20"/>
                <w:szCs w:val="20"/>
                <w:lang w:val="en-GB" w:eastAsia="x-none"/>
              </w:rPr>
              <w:t xml:space="preserve">DMRS(s) associated with non-UE-dedicated reception on CORESET(s) and </w:t>
            </w:r>
            <w:r w:rsidRPr="0071098E">
              <w:rPr>
                <w:rFonts w:ascii="Times" w:hAnsi="Times"/>
                <w:sz w:val="20"/>
                <w:szCs w:val="20"/>
                <w:lang w:val="en-GB" w:eastAsia="zh-CN"/>
              </w:rPr>
              <w:t>the associated PDSCH</w:t>
            </w:r>
            <w:r>
              <w:rPr>
                <w:rFonts w:ascii="Times" w:hAnsi="Times"/>
                <w:sz w:val="20"/>
                <w:szCs w:val="20"/>
                <w:lang w:val="en-GB" w:eastAsia="zh-CN"/>
              </w:rPr>
              <w:t xml:space="preserve">.  And only the following channels/signals can share </w:t>
            </w:r>
            <w:r w:rsidRPr="004B580C">
              <w:rPr>
                <w:rFonts w:eastAsia="Times New Roman"/>
                <w:bCs/>
                <w:sz w:val="20"/>
                <w:szCs w:val="20"/>
              </w:rPr>
              <w:t xml:space="preserve">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w:t>
            </w:r>
            <w:r>
              <w:rPr>
                <w:rFonts w:eastAsia="Times New Roman"/>
                <w:bCs/>
                <w:sz w:val="20"/>
                <w:szCs w:val="20"/>
              </w:rPr>
              <w:t xml:space="preserve">: </w:t>
            </w:r>
            <w:r w:rsidRPr="0071098E">
              <w:rPr>
                <w:rFonts w:eastAsia="Times New Roman"/>
                <w:bCs/>
                <w:sz w:val="20"/>
                <w:szCs w:val="20"/>
              </w:rPr>
              <w:t>aperiodic SRS resources or resources sets for BM</w:t>
            </w:r>
            <w:r>
              <w:rPr>
                <w:rFonts w:eastAsia="Times New Roman"/>
                <w:bCs/>
                <w:sz w:val="20"/>
                <w:szCs w:val="20"/>
              </w:rPr>
              <w:t xml:space="preserve">.  In our view, it is clearer to indicate the channels/signals that share the same indicated Rel-17 TCI state since </w:t>
            </w:r>
            <w:r>
              <w:rPr>
                <w:rFonts w:eastAsia="Times New Roman"/>
                <w:bCs/>
                <w:sz w:val="20"/>
                <w:szCs w:val="20"/>
              </w:rPr>
              <w:lastRenderedPageBreak/>
              <w:t xml:space="preserve">which channels/signals are allowed to do the sharing is clear from the agreements.  We are fine </w:t>
            </w:r>
            <w:r w:rsidR="00C03DA0">
              <w:rPr>
                <w:rFonts w:eastAsia="Times New Roman"/>
                <w:bCs/>
                <w:sz w:val="20"/>
                <w:szCs w:val="20"/>
              </w:rPr>
              <w:t>with</w:t>
            </w:r>
            <w:r>
              <w:rPr>
                <w:rFonts w:eastAsia="Times New Roman"/>
                <w:bCs/>
                <w:sz w:val="20"/>
                <w:szCs w:val="20"/>
              </w:rPr>
              <w:t xml:space="preserve"> the proposal in v28 with “</w:t>
            </w:r>
            <w:r w:rsidRPr="00E53B68">
              <w:rPr>
                <w:rFonts w:eastAsia="Times New Roman"/>
                <w:bCs/>
                <w:sz w:val="20"/>
                <w:szCs w:val="20"/>
              </w:rPr>
              <w:t>Details are up to RAN2</w:t>
            </w:r>
            <w:r>
              <w:rPr>
                <w:rFonts w:eastAsia="Times New Roman"/>
                <w:bCs/>
                <w:sz w:val="20"/>
                <w:szCs w:val="20"/>
              </w:rPr>
              <w:t xml:space="preserve">” removed.   </w:t>
            </w:r>
          </w:p>
          <w:p w14:paraId="30BB4370" w14:textId="77777777" w:rsidR="0077011A" w:rsidRDefault="0077011A" w:rsidP="0077011A">
            <w:pPr>
              <w:snapToGrid w:val="0"/>
              <w:jc w:val="both"/>
              <w:rPr>
                <w:sz w:val="20"/>
              </w:rPr>
            </w:pPr>
            <w:r>
              <w:rPr>
                <w:b/>
                <w:sz w:val="20"/>
              </w:rPr>
              <w:t>Proposal 1.G</w:t>
            </w:r>
            <w:r w:rsidRPr="006C6A24">
              <w:rPr>
                <w:sz w:val="20"/>
              </w:rPr>
              <w:t>: S</w:t>
            </w:r>
            <w:r>
              <w:rPr>
                <w:sz w:val="20"/>
              </w:rPr>
              <w:t>upport.</w:t>
            </w:r>
          </w:p>
          <w:p w14:paraId="4BE9F0B9" w14:textId="1B16E9B8" w:rsidR="0077011A" w:rsidRPr="003A5EC7" w:rsidRDefault="0077011A" w:rsidP="0077011A">
            <w:pPr>
              <w:snapToGrid w:val="0"/>
              <w:jc w:val="both"/>
              <w:rPr>
                <w:rFonts w:eastAsia="Malgun Gothic"/>
                <w:bCs/>
                <w:sz w:val="20"/>
              </w:rPr>
            </w:pPr>
            <w:r>
              <w:rPr>
                <w:b/>
                <w:sz w:val="20"/>
              </w:rPr>
              <w:t>Proposal 1.H</w:t>
            </w:r>
            <w:r w:rsidRPr="006C6A24">
              <w:rPr>
                <w:sz w:val="20"/>
              </w:rPr>
              <w:t xml:space="preserve">: </w:t>
            </w:r>
            <w:r>
              <w:rPr>
                <w:sz w:val="20"/>
              </w:rPr>
              <w:t>We prefer the MAC-CE approach (e.g., Alt. 2).</w:t>
            </w:r>
          </w:p>
        </w:tc>
      </w:tr>
      <w:tr w:rsidR="005D286D" w:rsidRPr="00473088" w14:paraId="0B1DE1B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53A31" w14:textId="744FDA39" w:rsidR="005D286D" w:rsidRDefault="005D286D" w:rsidP="0077011A">
            <w:pPr>
              <w:snapToGrid w:val="0"/>
              <w:rPr>
                <w:rFonts w:eastAsia="新細明體"/>
                <w:sz w:val="18"/>
                <w:szCs w:val="18"/>
                <w:lang w:eastAsia="zh-TW"/>
              </w:rPr>
            </w:pPr>
            <w:r>
              <w:rPr>
                <w:rFonts w:eastAsia="新細明體" w:hint="eastAsia"/>
                <w:sz w:val="18"/>
                <w:szCs w:val="18"/>
                <w:lang w:eastAsia="zh-TW"/>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4B33" w14:textId="5D9A1225" w:rsidR="005D286D" w:rsidRDefault="005D286D" w:rsidP="005D286D">
            <w:pPr>
              <w:snapToGrid w:val="0"/>
              <w:jc w:val="both"/>
              <w:rPr>
                <w:sz w:val="20"/>
              </w:rPr>
            </w:pPr>
            <w:r>
              <w:rPr>
                <w:b/>
                <w:sz w:val="20"/>
              </w:rPr>
              <w:t>Proposal 1.A</w:t>
            </w:r>
            <w:r w:rsidR="00310269">
              <w:rPr>
                <w:sz w:val="20"/>
              </w:rPr>
              <w:t xml:space="preserve">: </w:t>
            </w:r>
            <w:r>
              <w:rPr>
                <w:sz w:val="20"/>
              </w:rPr>
              <w:t xml:space="preserve">Even we are still not convinced the additional 64 TCI states for UL is needed, but we are fine if this is majority view. </w:t>
            </w:r>
            <w:r w:rsidR="00310269">
              <w:rPr>
                <w:sz w:val="20"/>
              </w:rPr>
              <w:t xml:space="preserve">However, we also prefer QC’s suggestion that we can just define the </w:t>
            </w:r>
            <w:r w:rsidR="00310269">
              <w:rPr>
                <w:sz w:val="20"/>
              </w:rPr>
              <w:t>worst-case complexity</w:t>
            </w:r>
            <w:r w:rsidR="00310269">
              <w:rPr>
                <w:sz w:val="20"/>
              </w:rPr>
              <w:t xml:space="preserve"> as follows:</w:t>
            </w:r>
          </w:p>
          <w:p w14:paraId="7AB6FD10" w14:textId="77777777" w:rsidR="00310269" w:rsidRDefault="00310269" w:rsidP="005D286D">
            <w:pPr>
              <w:snapToGrid w:val="0"/>
              <w:jc w:val="both"/>
              <w:rPr>
                <w:sz w:val="20"/>
              </w:rPr>
            </w:pPr>
          </w:p>
          <w:p w14:paraId="6F72B06F" w14:textId="6C6E7E0B" w:rsidR="00310269" w:rsidRPr="00310269" w:rsidDel="00310269" w:rsidRDefault="00310269" w:rsidP="00310269">
            <w:pPr>
              <w:pStyle w:val="af"/>
              <w:numPr>
                <w:ilvl w:val="0"/>
                <w:numId w:val="46"/>
              </w:numPr>
              <w:snapToGrid w:val="0"/>
              <w:spacing w:after="0" w:line="240" w:lineRule="auto"/>
              <w:jc w:val="both"/>
              <w:rPr>
                <w:del w:id="97" w:author="Darcy Tsai" w:date="2021-10-14T07:07:00Z"/>
                <w:sz w:val="20"/>
                <w:szCs w:val="20"/>
              </w:rPr>
            </w:pPr>
            <w:r w:rsidRPr="00310269">
              <w:rPr>
                <w:sz w:val="20"/>
                <w:szCs w:val="20"/>
              </w:rPr>
              <w:t>When a UE is configured with separate DL/UL TCI: the largest number of configured TCI states for DL</w:t>
            </w:r>
            <w:ins w:id="98" w:author="Darcy Tsai" w:date="2021-10-14T07:08:00Z">
              <w:r>
                <w:rPr>
                  <w:sz w:val="20"/>
                  <w:szCs w:val="20"/>
                </w:rPr>
                <w:t xml:space="preserve"> and/or UL</w:t>
              </w:r>
            </w:ins>
            <w:r w:rsidRPr="00310269">
              <w:rPr>
                <w:sz w:val="20"/>
                <w:szCs w:val="20"/>
              </w:rPr>
              <w:t xml:space="preserve"> TCI state update is </w:t>
            </w:r>
            <w:del w:id="99" w:author="Darcy Tsai" w:date="2021-10-14T07:08:00Z">
              <w:r w:rsidRPr="00310269" w:rsidDel="00310269">
                <w:rPr>
                  <w:sz w:val="20"/>
                  <w:szCs w:val="20"/>
                </w:rPr>
                <w:delText xml:space="preserve">128 </w:delText>
              </w:r>
            </w:del>
            <w:ins w:id="100" w:author="Darcy Tsai" w:date="2021-10-14T07:08:00Z">
              <w:r>
                <w:rPr>
                  <w:sz w:val="20"/>
                  <w:szCs w:val="20"/>
                </w:rPr>
                <w:t>192</w:t>
              </w:r>
              <w:r w:rsidRPr="00310269">
                <w:rPr>
                  <w:sz w:val="20"/>
                  <w:szCs w:val="20"/>
                </w:rPr>
                <w:t xml:space="preserve"> </w:t>
              </w:r>
            </w:ins>
            <w:r w:rsidRPr="00310269">
              <w:rPr>
                <w:sz w:val="20"/>
                <w:szCs w:val="20"/>
              </w:rPr>
              <w:t xml:space="preserve">per </w:t>
            </w:r>
            <w:del w:id="101" w:author="Eko Onggosanusi" w:date="2021-10-13T12:36:00Z">
              <w:r w:rsidRPr="00310269" w:rsidDel="00F10B4F">
                <w:rPr>
                  <w:sz w:val="20"/>
                  <w:szCs w:val="20"/>
                </w:rPr>
                <w:delText>CC/</w:delText>
              </w:r>
            </w:del>
            <w:r w:rsidRPr="00310269">
              <w:rPr>
                <w:sz w:val="20"/>
                <w:szCs w:val="20"/>
              </w:rPr>
              <w:t>BWP</w:t>
            </w:r>
            <w:ins w:id="102" w:author="Eko Onggosanusi" w:date="2021-10-13T12:36:00Z">
              <w:r w:rsidRPr="00310269">
                <w:rPr>
                  <w:sz w:val="20"/>
                  <w:szCs w:val="20"/>
                </w:rPr>
                <w:t xml:space="preserve"> per CC</w:t>
              </w:r>
            </w:ins>
            <w:del w:id="103" w:author="Darcy Tsai" w:date="2021-10-14T07:07:00Z">
              <w:r w:rsidRPr="00310269" w:rsidDel="00310269">
                <w:rPr>
                  <w:sz w:val="20"/>
                  <w:szCs w:val="20"/>
                </w:rPr>
                <w:delText xml:space="preserve">, </w:delText>
              </w:r>
              <w:r w:rsidDel="00310269">
                <w:rPr>
                  <w:sz w:val="20"/>
                  <w:szCs w:val="20"/>
                </w:rPr>
                <w:delText>and the largest number of configured TCI states for UL TCI state update is 64 per CC/BWP</w:delText>
              </w:r>
            </w:del>
            <w:ins w:id="104" w:author="Eko Onggosanusi" w:date="2021-10-13T12:36:00Z">
              <w:del w:id="105" w:author="Darcy Tsai" w:date="2021-10-14T07:07:00Z">
                <w:r w:rsidDel="00310269">
                  <w:rPr>
                    <w:sz w:val="20"/>
                    <w:szCs w:val="20"/>
                  </w:rPr>
                  <w:delText xml:space="preserve"> per CC</w:delText>
                </w:r>
              </w:del>
            </w:ins>
          </w:p>
          <w:p w14:paraId="35BF1CDF" w14:textId="77777777" w:rsidR="00FE14DA" w:rsidRPr="00310269" w:rsidRDefault="00FE14DA" w:rsidP="00310269">
            <w:pPr>
              <w:snapToGrid w:val="0"/>
              <w:ind w:left="360"/>
              <w:jc w:val="both"/>
              <w:rPr>
                <w:sz w:val="20"/>
              </w:rPr>
            </w:pPr>
            <w:bookmarkStart w:id="106" w:name="_GoBack"/>
            <w:bookmarkEnd w:id="106"/>
          </w:p>
          <w:p w14:paraId="13CC048D" w14:textId="77777777" w:rsidR="005D286D" w:rsidRDefault="005D286D" w:rsidP="005D286D">
            <w:pPr>
              <w:snapToGrid w:val="0"/>
              <w:jc w:val="both"/>
              <w:rPr>
                <w:sz w:val="20"/>
              </w:rPr>
            </w:pPr>
            <w:r>
              <w:rPr>
                <w:b/>
                <w:sz w:val="20"/>
              </w:rPr>
              <w:t>Proposal 1.B.1</w:t>
            </w:r>
            <w:r>
              <w:rPr>
                <w:sz w:val="20"/>
              </w:rPr>
              <w:t xml:space="preserve">, </w:t>
            </w:r>
            <w:r>
              <w:rPr>
                <w:b/>
                <w:sz w:val="20"/>
              </w:rPr>
              <w:t xml:space="preserve">1.B.2: </w:t>
            </w:r>
            <w:r w:rsidRPr="005D286D">
              <w:rPr>
                <w:sz w:val="20"/>
              </w:rPr>
              <w:t>Support</w:t>
            </w:r>
          </w:p>
          <w:p w14:paraId="2CE5653A" w14:textId="1A23B738" w:rsidR="005D286D" w:rsidRDefault="005D286D" w:rsidP="005D286D">
            <w:pPr>
              <w:snapToGrid w:val="0"/>
              <w:jc w:val="both"/>
              <w:rPr>
                <w:sz w:val="20"/>
              </w:rPr>
            </w:pPr>
            <w:r>
              <w:rPr>
                <w:b/>
                <w:sz w:val="20"/>
              </w:rPr>
              <w:t xml:space="preserve">Proposal 1.G: </w:t>
            </w:r>
            <w:r w:rsidRPr="005D286D">
              <w:rPr>
                <w:sz w:val="20"/>
              </w:rPr>
              <w:t>Support</w:t>
            </w:r>
            <w:r>
              <w:rPr>
                <w:sz w:val="20"/>
              </w:rPr>
              <w:t xml:space="preserve"> and prefer to remove the brackets</w:t>
            </w:r>
          </w:p>
          <w:p w14:paraId="3C365313" w14:textId="7FC35619" w:rsidR="005D286D" w:rsidRDefault="005D286D" w:rsidP="005D286D">
            <w:pPr>
              <w:snapToGrid w:val="0"/>
              <w:jc w:val="both"/>
              <w:rPr>
                <w:b/>
                <w:sz w:val="20"/>
              </w:rPr>
            </w:pPr>
            <w:r>
              <w:rPr>
                <w:b/>
                <w:sz w:val="20"/>
              </w:rPr>
              <w:t>Proposal 1.H:</w:t>
            </w:r>
            <w:r w:rsidR="00FE14DA">
              <w:rPr>
                <w:b/>
                <w:sz w:val="20"/>
              </w:rPr>
              <w:t xml:space="preserve"> </w:t>
            </w:r>
            <w:r w:rsidR="00FE14DA" w:rsidRPr="00FE14DA">
              <w:rPr>
                <w:sz w:val="20"/>
              </w:rPr>
              <w:t>Support</w:t>
            </w:r>
            <w:r w:rsidR="00FE14DA">
              <w:rPr>
                <w:sz w:val="20"/>
              </w:rPr>
              <w:t xml:space="preserve"> and prefer Alt2</w:t>
            </w: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af"/>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af"/>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af"/>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新細明體"/>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lastRenderedPageBreak/>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107" w:name="_Hlk84843602"/>
      <w:r w:rsidRPr="004E4CC5">
        <w:rPr>
          <w:sz w:val="20"/>
        </w:rPr>
        <w:t xml:space="preserve">On Rel-17 enhancements for inter-cell beam management and inter-cell mTRP, </w:t>
      </w:r>
      <w:bookmarkEnd w:id="107"/>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108" w:author="Eko Onggosanusi" w:date="2021-10-13T12:58:00Z"/>
          <w:rFonts w:eastAsia="Malgun Gothic"/>
          <w:sz w:val="20"/>
          <w:szCs w:val="20"/>
          <w:lang w:eastAsia="en-US"/>
        </w:rPr>
      </w:pPr>
      <w:bookmarkStart w:id="109" w:name="_Hlk85017288"/>
      <w:r w:rsidRPr="00AC1058">
        <w:rPr>
          <w:b/>
          <w:sz w:val="20"/>
          <w:szCs w:val="20"/>
          <w:u w:val="single"/>
        </w:rPr>
        <w:t>Proposal 2.E</w:t>
      </w:r>
      <w:r w:rsidRPr="00AC1058">
        <w:rPr>
          <w:sz w:val="20"/>
          <w:szCs w:val="20"/>
        </w:rPr>
        <w:t xml:space="preserve">: On Rel-17 enhancements for inter-cell beam management and inter-cell mTRP, </w:t>
      </w:r>
      <w:r w:rsidR="00AC1058" w:rsidRPr="00AC1058">
        <w:rPr>
          <w:rFonts w:eastAsia="Malgun Gothic"/>
          <w:sz w:val="20"/>
          <w:szCs w:val="20"/>
        </w:rPr>
        <w:t>s</w:t>
      </w:r>
      <w:ins w:id="110" w:author="Eko Onggosanusi" w:date="2021-10-13T12:58:00Z">
        <w:r w:rsidR="00AC1058" w:rsidRPr="00AC1058">
          <w:rPr>
            <w:rFonts w:eastAsia="Malgun Gothic"/>
            <w:sz w:val="20"/>
            <w:szCs w:val="20"/>
            <w:lang w:eastAsia="en-US"/>
          </w:rPr>
          <w:t>upport event-driven beam report</w:t>
        </w:r>
      </w:ins>
      <w:ins w:id="111"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112" w:author="Eko Onggosanusi" w:date="2021-10-13T12:58:00Z"/>
          <w:rFonts w:eastAsia="Malgun Gothic"/>
          <w:bCs/>
          <w:sz w:val="20"/>
          <w:szCs w:val="20"/>
          <w:lang w:eastAsia="en-US"/>
        </w:rPr>
      </w:pPr>
      <w:ins w:id="113"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114" w:author="Eko Onggosanusi" w:date="2021-10-13T12:58:00Z"/>
          <w:rFonts w:eastAsia="Malgun Gothic"/>
          <w:bCs/>
          <w:sz w:val="20"/>
          <w:szCs w:val="20"/>
          <w:lang w:eastAsia="en-US"/>
        </w:rPr>
      </w:pPr>
      <w:ins w:id="115"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116" w:author="Eko Onggosanusi" w:date="2021-10-13T12:58:00Z"/>
          <w:rFonts w:eastAsia="Malgun Gothic"/>
          <w:bCs/>
          <w:sz w:val="20"/>
          <w:szCs w:val="20"/>
          <w:lang w:eastAsia="en-US"/>
        </w:rPr>
      </w:pPr>
      <w:ins w:id="117"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118" w:author="Eko Onggosanusi" w:date="2021-10-13T12:58:00Z"/>
          <w:rFonts w:eastAsia="Malgun Gothic"/>
          <w:bCs/>
          <w:sz w:val="20"/>
          <w:szCs w:val="20"/>
          <w:lang w:eastAsia="en-US"/>
        </w:rPr>
      </w:pPr>
      <w:ins w:id="119"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120" w:author="Eko Onggosanusi" w:date="2021-10-13T12:58:00Z"/>
          <w:rFonts w:eastAsia="Malgun Gothic"/>
          <w:bCs/>
          <w:sz w:val="20"/>
          <w:szCs w:val="20"/>
          <w:lang w:eastAsia="en-US"/>
        </w:rPr>
      </w:pPr>
      <w:ins w:id="121"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122" w:author="Eko Onggosanusi" w:date="2021-10-13T12:58:00Z"/>
          <w:rFonts w:eastAsia="Malgun Gothic"/>
          <w:bCs/>
          <w:sz w:val="20"/>
          <w:szCs w:val="20"/>
          <w:lang w:eastAsia="en-US"/>
        </w:rPr>
      </w:pPr>
      <w:ins w:id="123"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24"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25" w:author="Eko Onggosanusi" w:date="2021-10-13T12:58:00Z">
        <w:r w:rsidRPr="00AC1058">
          <w:rPr>
            <w:rFonts w:eastAsia="Malgun Gothic"/>
            <w:bCs/>
            <w:sz w:val="20"/>
            <w:szCs w:val="20"/>
          </w:rPr>
          <w:t>A prohibit timer is introduced to probit UE sends multiple L1-RSRP report MAC CEs, which is similar to PHR</w:t>
        </w:r>
      </w:ins>
    </w:p>
    <w:p w14:paraId="27BE8250" w14:textId="5299F374" w:rsidR="004E4CC5" w:rsidRDefault="004E4CC5" w:rsidP="005D6533">
      <w:pPr>
        <w:snapToGrid w:val="0"/>
        <w:jc w:val="both"/>
        <w:rPr>
          <w:sz w:val="20"/>
          <w:szCs w:val="20"/>
        </w:rPr>
      </w:pPr>
    </w:p>
    <w:bookmarkEnd w:id="109"/>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26"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af"/>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lastRenderedPageBreak/>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af"/>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27"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y reading the main bullet, we feel if we change Nmax to N (the number of RRC configured PCI different from…), that’s still soomth.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lastRenderedPageBreak/>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28" w:author="Eko Onggosanusi" w:date="2021-10-13T13:04:00Z">
              <w:r>
                <w:rPr>
                  <w:rFonts w:eastAsia="MS Mincho"/>
                  <w:sz w:val="18"/>
                  <w:szCs w:val="18"/>
                  <w:lang w:val="en-GB" w:eastAsia="ja-JP"/>
                </w:rPr>
                <w:t xml:space="preserve">[Mod: </w:t>
              </w:r>
            </w:ins>
            <w:ins w:id="129" w:author="Eko Onggosanusi" w:date="2021-10-13T13:05:00Z">
              <w:r>
                <w:rPr>
                  <w:rFonts w:eastAsia="MS Mincho"/>
                  <w:sz w:val="18"/>
                  <w:szCs w:val="18"/>
                  <w:lang w:val="en-GB" w:eastAsia="ja-JP"/>
                </w:rPr>
                <w:t>As previously discussed, Nmax is intended to establish an upper bound of N. The list of values of N will be for UE feature discussion</w:t>
              </w:r>
            </w:ins>
            <w:ins w:id="130"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31"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32"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33"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eastAsia="zh-CN"/>
              </w:rPr>
            </w:pPr>
            <w:r w:rsidRPr="00CB4B88">
              <w:rPr>
                <w:bCs/>
                <w:sz w:val="18"/>
                <w:szCs w:val="18"/>
                <w:lang w:eastAsia="zh-CN"/>
              </w:rPr>
              <w:t xml:space="preserve">2.F: </w:t>
            </w:r>
            <w:r>
              <w:rPr>
                <w:bCs/>
                <w:sz w:val="18"/>
                <w:szCs w:val="18"/>
                <w:lang w:eastAsia="zh-CN"/>
              </w:rPr>
              <w:t>Similar to some comments above, w</w:t>
            </w:r>
            <w:r w:rsidRPr="004B6DC1">
              <w:rPr>
                <w:bCs/>
                <w:sz w:val="18"/>
                <w:szCs w:val="18"/>
                <w:lang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r w:rsidR="00A05BA6" w:rsidRPr="002C581A" w14:paraId="1861D5AD"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68F0" w14:textId="14E1033E" w:rsidR="00A05BA6" w:rsidRPr="00CB4B88" w:rsidRDefault="00A05BA6" w:rsidP="00FE1360">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979A" w14:textId="7FAF3067" w:rsidR="00A05BA6" w:rsidRPr="00CB4B88" w:rsidRDefault="00A05BA6" w:rsidP="00FE1360">
            <w:pPr>
              <w:snapToGrid w:val="0"/>
              <w:rPr>
                <w:bCs/>
                <w:sz w:val="18"/>
                <w:szCs w:val="18"/>
                <w:lang w:eastAsia="zh-CN"/>
              </w:rPr>
            </w:pPr>
            <w:r>
              <w:rPr>
                <w:bCs/>
                <w:sz w:val="18"/>
                <w:szCs w:val="18"/>
                <w:lang w:eastAsia="zh-CN"/>
              </w:rPr>
              <w:t xml:space="preserve">Proposal 2.E: Don’t support. We </w:t>
            </w:r>
            <w:r>
              <w:rPr>
                <w:color w:val="000000" w:themeColor="text1"/>
                <w:sz w:val="18"/>
                <w:szCs w:val="18"/>
                <w:lang w:eastAsia="zh-CN"/>
              </w:rPr>
              <w:t>support L1 event driven reporting (Alt1).</w:t>
            </w:r>
          </w:p>
        </w:tc>
      </w:tr>
      <w:tr w:rsidR="00E177FF" w:rsidRPr="002C581A" w14:paraId="4FA4B35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ADDA" w14:textId="0049E7C5" w:rsidR="00E177FF" w:rsidRDefault="00E177FF" w:rsidP="00FE1360">
            <w:pPr>
              <w:snapToGrid w:val="0"/>
              <w:rPr>
                <w:sz w:val="18"/>
                <w:szCs w:val="18"/>
                <w:lang w:eastAsia="zh-CN"/>
              </w:rPr>
            </w:pPr>
            <w:r>
              <w:rPr>
                <w:sz w:val="18"/>
                <w:szCs w:val="18"/>
                <w:lang w:eastAsia="zh-CN"/>
              </w:rPr>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608E" w14:textId="56655C9B" w:rsidR="00E177FF" w:rsidRDefault="00E177FF" w:rsidP="00FE1360">
            <w:pPr>
              <w:snapToGrid w:val="0"/>
              <w:rPr>
                <w:bCs/>
                <w:sz w:val="18"/>
                <w:szCs w:val="18"/>
                <w:lang w:eastAsia="zh-CN"/>
              </w:rPr>
            </w:pPr>
            <w:r>
              <w:rPr>
                <w:bCs/>
                <w:sz w:val="18"/>
                <w:szCs w:val="18"/>
                <w:lang w:eastAsia="zh-CN"/>
              </w:rPr>
              <w:t>Ok with Proposed conclusion 2.B</w:t>
            </w:r>
            <w:r w:rsidR="00C82F7E">
              <w:rPr>
                <w:bCs/>
                <w:sz w:val="18"/>
                <w:szCs w:val="18"/>
                <w:lang w:eastAsia="zh-CN"/>
              </w:rPr>
              <w:t>.</w:t>
            </w:r>
          </w:p>
          <w:p w14:paraId="041E94C5" w14:textId="77777777" w:rsidR="00E177FF" w:rsidRDefault="00E177FF" w:rsidP="00FE1360">
            <w:pPr>
              <w:snapToGrid w:val="0"/>
              <w:rPr>
                <w:bCs/>
                <w:sz w:val="18"/>
                <w:szCs w:val="18"/>
                <w:lang w:eastAsia="zh-CN"/>
              </w:rPr>
            </w:pPr>
          </w:p>
          <w:p w14:paraId="2141E87A" w14:textId="77777777" w:rsidR="00E177FF" w:rsidRDefault="00E177FF" w:rsidP="00FE1360">
            <w:pPr>
              <w:snapToGrid w:val="0"/>
              <w:rPr>
                <w:bCs/>
                <w:sz w:val="18"/>
                <w:szCs w:val="18"/>
                <w:lang w:eastAsia="zh-CN"/>
              </w:rPr>
            </w:pPr>
            <w:r w:rsidRPr="00FE5908">
              <w:rPr>
                <w:b/>
                <w:sz w:val="18"/>
                <w:szCs w:val="18"/>
                <w:lang w:eastAsia="zh-CN"/>
              </w:rPr>
              <w:t>Proposal 2.E</w:t>
            </w:r>
            <w:r w:rsidR="00C82F7E" w:rsidRPr="00FE5908">
              <w:rPr>
                <w:b/>
                <w:sz w:val="18"/>
                <w:szCs w:val="18"/>
                <w:lang w:eastAsia="zh-CN"/>
              </w:rPr>
              <w:t>:</w:t>
            </w:r>
            <w:r w:rsidR="00C82F7E">
              <w:rPr>
                <w:bCs/>
                <w:sz w:val="18"/>
                <w:szCs w:val="18"/>
                <w:lang w:eastAsia="zh-CN"/>
              </w:rPr>
              <w:t xml:space="preserve"> We prefer L1-event driven approach with L1-reporting i.e., Alt-1. For this purpose, a dedicated PUCCH-SR resource can be configured for the UE to trigger L1</w:t>
            </w:r>
            <w:r w:rsidR="00FE5908">
              <w:rPr>
                <w:bCs/>
                <w:sz w:val="18"/>
                <w:szCs w:val="18"/>
                <w:lang w:eastAsia="zh-CN"/>
              </w:rPr>
              <w:t xml:space="preserve"> report. </w:t>
            </w:r>
          </w:p>
          <w:p w14:paraId="6DA42489" w14:textId="77777777" w:rsidR="00FE5908" w:rsidRDefault="00FE5908" w:rsidP="00FE1360">
            <w:pPr>
              <w:snapToGrid w:val="0"/>
              <w:rPr>
                <w:bCs/>
                <w:sz w:val="18"/>
                <w:szCs w:val="18"/>
                <w:lang w:eastAsia="zh-CN"/>
              </w:rPr>
            </w:pPr>
          </w:p>
          <w:p w14:paraId="4545E501" w14:textId="62353EEF" w:rsidR="00FE5908" w:rsidRDefault="00FE5908" w:rsidP="00FE1360">
            <w:pPr>
              <w:snapToGrid w:val="0"/>
              <w:rPr>
                <w:bCs/>
                <w:sz w:val="18"/>
                <w:szCs w:val="18"/>
                <w:lang w:eastAsia="zh-CN"/>
              </w:rPr>
            </w:pPr>
            <w:r w:rsidRPr="00FE5908">
              <w:rPr>
                <w:b/>
                <w:sz w:val="18"/>
                <w:szCs w:val="18"/>
                <w:lang w:eastAsia="zh-CN"/>
              </w:rPr>
              <w:t>Proposal 2.F:</w:t>
            </w:r>
            <w:r>
              <w:rPr>
                <w:b/>
                <w:sz w:val="18"/>
                <w:szCs w:val="18"/>
                <w:lang w:eastAsia="zh-CN"/>
              </w:rPr>
              <w:t xml:space="preserve"> </w:t>
            </w:r>
            <w:r>
              <w:rPr>
                <w:bCs/>
                <w:sz w:val="18"/>
                <w:szCs w:val="18"/>
                <w:lang w:eastAsia="zh-CN"/>
              </w:rPr>
              <w:t xml:space="preserve">For the case of UE capable of supporting only one PCID for active TCI states, why can’t the new beam indication apply to only a sub-set of CORESETs? The UE can be expected to autonomously switch beams for reception of non-UE dedicated signaling on CSS </w:t>
            </w:r>
            <w:r w:rsidR="002F719C">
              <w:rPr>
                <w:bCs/>
                <w:sz w:val="18"/>
                <w:szCs w:val="18"/>
                <w:lang w:eastAsia="zh-CN"/>
              </w:rPr>
              <w:t>associated with the PCID of the serving cell. When UE can support multiple active PCID based TCI states, the gNB can switch beams if needed.</w:t>
            </w:r>
            <w:r w:rsidR="00E569D6">
              <w:rPr>
                <w:bCs/>
                <w:sz w:val="18"/>
                <w:szCs w:val="18"/>
                <w:lang w:eastAsia="zh-CN"/>
              </w:rPr>
              <w:t xml:space="preserve"> So in our understanding, for issue 2.8 UE can maintain QCL assumption of common control signaling and only apply new beam indication to UE dedicated signals and channels.</w:t>
            </w:r>
          </w:p>
          <w:p w14:paraId="1DA14A1B" w14:textId="256F3600" w:rsidR="002F719C" w:rsidRPr="00FE5908" w:rsidRDefault="002F719C" w:rsidP="00FE1360">
            <w:pPr>
              <w:snapToGrid w:val="0"/>
              <w:rPr>
                <w:bCs/>
                <w:sz w:val="18"/>
                <w:szCs w:val="18"/>
                <w:lang w:eastAsia="zh-CN"/>
              </w:rPr>
            </w:pPr>
          </w:p>
        </w:tc>
      </w:tr>
      <w:tr w:rsidR="00E81FC8" w:rsidRPr="002C581A" w14:paraId="554357F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067F" w14:textId="0702A597" w:rsidR="00E81FC8" w:rsidRDefault="00E81FC8" w:rsidP="00FE1360">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E7D30" w14:textId="77777777" w:rsidR="00E81FC8" w:rsidRDefault="00E81FC8" w:rsidP="00FE1360">
            <w:pPr>
              <w:snapToGrid w:val="0"/>
              <w:rPr>
                <w:bCs/>
                <w:sz w:val="18"/>
                <w:szCs w:val="18"/>
                <w:lang w:eastAsia="zh-CN"/>
              </w:rPr>
            </w:pPr>
            <w:r>
              <w:rPr>
                <w:bCs/>
                <w:sz w:val="18"/>
                <w:szCs w:val="18"/>
                <w:lang w:eastAsia="zh-CN"/>
              </w:rPr>
              <w:t>Proposal 2.E: Support</w:t>
            </w:r>
          </w:p>
          <w:p w14:paraId="2AD1FF7E" w14:textId="6A56529E" w:rsidR="00E81FC8" w:rsidRDefault="00E81FC8" w:rsidP="00FE1360">
            <w:pPr>
              <w:snapToGrid w:val="0"/>
              <w:rPr>
                <w:bCs/>
                <w:sz w:val="18"/>
                <w:szCs w:val="18"/>
                <w:lang w:eastAsia="zh-CN"/>
              </w:rPr>
            </w:pPr>
            <w:r>
              <w:rPr>
                <w:bCs/>
                <w:sz w:val="18"/>
                <w:szCs w:val="18"/>
                <w:lang w:eastAsia="zh-CN"/>
              </w:rPr>
              <w:lastRenderedPageBreak/>
              <w:t xml:space="preserve">Proposal 2.F: </w:t>
            </w:r>
            <w:r w:rsidR="00AF2ED7">
              <w:rPr>
                <w:bCs/>
                <w:sz w:val="18"/>
                <w:szCs w:val="18"/>
                <w:lang w:eastAsia="zh-CN"/>
              </w:rPr>
              <w:t>Support</w:t>
            </w:r>
          </w:p>
        </w:tc>
      </w:tr>
      <w:tr w:rsidR="0077011A" w:rsidRPr="002C581A" w14:paraId="71E38A4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87730" w14:textId="70DCB8E4" w:rsidR="0077011A" w:rsidRDefault="0077011A" w:rsidP="0077011A">
            <w:pPr>
              <w:snapToGrid w:val="0"/>
              <w:rPr>
                <w:sz w:val="18"/>
                <w:szCs w:val="18"/>
                <w:lang w:eastAsia="zh-CN"/>
              </w:rPr>
            </w:pPr>
            <w:r>
              <w:rPr>
                <w:rFonts w:eastAsiaTheme="minorEastAsia"/>
                <w:sz w:val="18"/>
                <w:szCs w:val="18"/>
                <w:lang w:eastAsia="zh-CN"/>
              </w:rPr>
              <w:lastRenderedPageBreak/>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864" w14:textId="77777777" w:rsidR="0077011A" w:rsidRDefault="0077011A" w:rsidP="0077011A">
            <w:pPr>
              <w:snapToGrid w:val="0"/>
              <w:rPr>
                <w:color w:val="000000" w:themeColor="text1"/>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w:t>
            </w:r>
            <w:r>
              <w:rPr>
                <w:color w:val="000000" w:themeColor="text1"/>
                <w:sz w:val="18"/>
                <w:szCs w:val="18"/>
                <w:lang w:eastAsia="zh-CN"/>
              </w:rPr>
              <w:t>k.  We are also fine to leave the issue to RAN4.</w:t>
            </w:r>
          </w:p>
          <w:p w14:paraId="531EEE04"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49DF98D" w14:textId="77777777" w:rsidR="0077011A" w:rsidRDefault="0077011A" w:rsidP="0077011A">
            <w:pPr>
              <w:snapToGrid w:val="0"/>
              <w:rPr>
                <w:color w:val="000000" w:themeColor="text1"/>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Not support.  We support </w:t>
            </w:r>
            <w:r>
              <w:rPr>
                <w:rFonts w:eastAsia="Times New Roman"/>
                <w:sz w:val="18"/>
                <w:szCs w:val="20"/>
              </w:rPr>
              <w:t>L1-based event-driven reporting (Alt 1).</w:t>
            </w:r>
          </w:p>
          <w:p w14:paraId="19912FCD" w14:textId="1B7B77DB" w:rsidR="0077011A" w:rsidRDefault="0077011A" w:rsidP="0077011A">
            <w:pPr>
              <w:snapToGrid w:val="0"/>
              <w:rPr>
                <w:bCs/>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Pr>
                <w:color w:val="000000" w:themeColor="text1"/>
                <w:sz w:val="18"/>
                <w:szCs w:val="18"/>
                <w:lang w:eastAsia="zh-CN"/>
              </w:rPr>
              <w:t>Agreed with several other companies’ suggestion to discuss Issue 2.8 first before making decision on this proposal.</w:t>
            </w:r>
          </w:p>
        </w:tc>
      </w:tr>
    </w:tbl>
    <w:p w14:paraId="1905AAAF" w14:textId="77777777"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af"/>
        <w:numPr>
          <w:ilvl w:val="0"/>
          <w:numId w:val="28"/>
        </w:numPr>
        <w:snapToGrid w:val="0"/>
        <w:spacing w:after="0" w:line="240" w:lineRule="auto"/>
        <w:jc w:val="both"/>
      </w:pPr>
      <w:r w:rsidRPr="0099359F">
        <w:rPr>
          <w:sz w:val="20"/>
          <w:szCs w:val="20"/>
        </w:rPr>
        <w:t>Note: For Rel-17 MAC-CE based beam indication</w:t>
      </w:r>
      <w:del w:id="134"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35"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af"/>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36"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新細明體"/>
                <w:sz w:val="18"/>
                <w:szCs w:val="18"/>
                <w:lang w:eastAsia="zh-TW"/>
              </w:rPr>
            </w:pPr>
            <w:r>
              <w:rPr>
                <w:rFonts w:eastAsia="新細明體"/>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af"/>
              <w:numPr>
                <w:ilvl w:val="0"/>
                <w:numId w:val="28"/>
              </w:numPr>
              <w:snapToGrid w:val="0"/>
              <w:spacing w:after="0" w:line="240" w:lineRule="auto"/>
              <w:jc w:val="both"/>
            </w:pPr>
            <w:r w:rsidRPr="0099359F">
              <w:rPr>
                <w:sz w:val="20"/>
                <w:szCs w:val="20"/>
              </w:rPr>
              <w:lastRenderedPageBreak/>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37"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38"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39"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40"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41"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r w:rsidR="00A05BA6" w14:paraId="4DBFA8ED"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A2EAA" w14:textId="69573EFF" w:rsidR="00A05BA6" w:rsidRDefault="00A05BA6" w:rsidP="00FE136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E1D0" w14:textId="2E65DB54" w:rsidR="00A05BA6" w:rsidRDefault="00A05BA6" w:rsidP="00FE1360">
            <w:pPr>
              <w:snapToGrid w:val="0"/>
              <w:rPr>
                <w:sz w:val="18"/>
                <w:szCs w:val="18"/>
                <w:lang w:eastAsia="zh-CN"/>
              </w:rPr>
            </w:pPr>
            <w:r>
              <w:rPr>
                <w:sz w:val="18"/>
                <w:szCs w:val="18"/>
                <w:lang w:eastAsia="zh-CN"/>
              </w:rPr>
              <w:t>Support Proposal 3.A</w:t>
            </w:r>
          </w:p>
        </w:tc>
      </w:tr>
      <w:tr w:rsidR="00AF2ED7" w14:paraId="117CFC63"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9EBA" w14:textId="1F18C22F" w:rsidR="00AF2ED7" w:rsidRDefault="00AF2ED7" w:rsidP="00FE1360">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B40" w14:textId="1CC2C251" w:rsidR="00AF2ED7" w:rsidRDefault="00AF2ED7" w:rsidP="00FE1360">
            <w:pPr>
              <w:snapToGrid w:val="0"/>
              <w:rPr>
                <w:sz w:val="18"/>
                <w:szCs w:val="18"/>
                <w:lang w:eastAsia="zh-CN"/>
              </w:rPr>
            </w:pPr>
            <w:r>
              <w:rPr>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lastRenderedPageBreak/>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af"/>
        <w:numPr>
          <w:ilvl w:val="0"/>
          <w:numId w:val="20"/>
        </w:numPr>
        <w:suppressAutoHyphens/>
        <w:autoSpaceDN w:val="0"/>
        <w:snapToGrid w:val="0"/>
        <w:spacing w:after="0" w:line="240" w:lineRule="auto"/>
        <w:jc w:val="both"/>
        <w:textAlignment w:val="baseline"/>
        <w:rPr>
          <w:sz w:val="20"/>
          <w:szCs w:val="20"/>
          <w:lang w:eastAsia="zh-CN"/>
        </w:rPr>
      </w:pPr>
      <w:ins w:id="142" w:author="Eko Onggosanusi" w:date="2021-10-13T13:12:00Z">
        <w:r>
          <w:rPr>
            <w:sz w:val="20"/>
            <w:szCs w:val="20"/>
            <w:lang w:eastAsia="zh-CN"/>
          </w:rPr>
          <w:t>Support the UE reporting a list of UE capability values</w:t>
        </w:r>
      </w:ins>
      <w:del w:id="143"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af"/>
        <w:numPr>
          <w:ilvl w:val="1"/>
          <w:numId w:val="20"/>
        </w:numPr>
        <w:suppressAutoHyphens/>
        <w:autoSpaceDN w:val="0"/>
        <w:snapToGrid w:val="0"/>
        <w:spacing w:after="0" w:line="240" w:lineRule="auto"/>
        <w:jc w:val="both"/>
        <w:textAlignment w:val="baseline"/>
        <w:rPr>
          <w:ins w:id="144" w:author="Eko Onggosanusi" w:date="2021-10-13T13:13:00Z"/>
          <w:sz w:val="20"/>
          <w:szCs w:val="20"/>
          <w:lang w:eastAsia="zh-CN"/>
        </w:rPr>
      </w:pPr>
      <w:ins w:id="145"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af"/>
        <w:numPr>
          <w:ilvl w:val="1"/>
          <w:numId w:val="20"/>
        </w:numPr>
        <w:suppressAutoHyphens/>
        <w:autoSpaceDN w:val="0"/>
        <w:snapToGrid w:val="0"/>
        <w:spacing w:after="0" w:line="240" w:lineRule="auto"/>
        <w:jc w:val="both"/>
        <w:textAlignment w:val="baseline"/>
        <w:rPr>
          <w:del w:id="146" w:author="Eko Onggosanusi" w:date="2021-10-13T13:13:00Z"/>
          <w:sz w:val="20"/>
          <w:szCs w:val="20"/>
          <w:lang w:eastAsia="zh-CN"/>
        </w:rPr>
      </w:pPr>
      <w:ins w:id="147" w:author="Eko Onggosanusi" w:date="2021-10-13T13:13:00Z">
        <w:r>
          <w:rPr>
            <w:sz w:val="20"/>
            <w:szCs w:val="20"/>
            <w:lang w:eastAsia="zh-CN"/>
          </w:rPr>
          <w:t>FFS: Whether the association can be common across a set of BWPs/CCs</w:t>
        </w:r>
      </w:ins>
      <w:del w:id="148"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af"/>
        <w:numPr>
          <w:ilvl w:val="1"/>
          <w:numId w:val="20"/>
        </w:numPr>
        <w:suppressAutoHyphens/>
        <w:autoSpaceDN w:val="0"/>
        <w:snapToGrid w:val="0"/>
        <w:spacing w:after="0" w:line="240" w:lineRule="auto"/>
        <w:jc w:val="both"/>
        <w:textAlignment w:val="baseline"/>
        <w:rPr>
          <w:del w:id="149" w:author="Eko Onggosanusi" w:date="2021-10-13T13:13:00Z"/>
          <w:sz w:val="20"/>
          <w:szCs w:val="20"/>
          <w:lang w:eastAsia="zh-CN"/>
        </w:rPr>
      </w:pPr>
      <w:del w:id="150"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af"/>
        <w:numPr>
          <w:ilvl w:val="1"/>
          <w:numId w:val="20"/>
        </w:numPr>
        <w:suppressAutoHyphens/>
        <w:autoSpaceDN w:val="0"/>
        <w:snapToGrid w:val="0"/>
        <w:spacing w:after="0" w:line="240" w:lineRule="auto"/>
        <w:jc w:val="both"/>
        <w:textAlignment w:val="baseline"/>
        <w:rPr>
          <w:del w:id="151" w:author="Eko Onggosanusi" w:date="2021-10-13T13:13:00Z"/>
          <w:sz w:val="20"/>
          <w:szCs w:val="20"/>
          <w:lang w:eastAsia="zh-CN"/>
        </w:rPr>
      </w:pPr>
      <w:del w:id="152"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The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af"/>
        <w:numPr>
          <w:ilvl w:val="1"/>
          <w:numId w:val="20"/>
        </w:numPr>
        <w:suppressAutoHyphens/>
        <w:autoSpaceDN w:val="0"/>
        <w:snapToGrid w:val="0"/>
        <w:spacing w:after="0" w:line="240" w:lineRule="auto"/>
        <w:jc w:val="both"/>
        <w:textAlignment w:val="baseline"/>
        <w:rPr>
          <w:ins w:id="153" w:author="Eko Onggosanusi" w:date="2021-10-13T13:11:00Z"/>
          <w:sz w:val="20"/>
          <w:szCs w:val="20"/>
          <w:lang w:eastAsia="zh-CN"/>
        </w:rPr>
      </w:pPr>
      <w:ins w:id="154"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af"/>
        <w:numPr>
          <w:ilvl w:val="1"/>
          <w:numId w:val="20"/>
        </w:numPr>
        <w:suppressAutoHyphens/>
        <w:autoSpaceDN w:val="0"/>
        <w:snapToGrid w:val="0"/>
        <w:spacing w:after="0" w:line="240" w:lineRule="auto"/>
        <w:jc w:val="both"/>
        <w:textAlignment w:val="baseline"/>
        <w:rPr>
          <w:ins w:id="155" w:author="Eko Onggosanusi" w:date="2021-10-13T13:11:00Z"/>
          <w:sz w:val="20"/>
          <w:szCs w:val="20"/>
          <w:lang w:eastAsia="zh-CN"/>
        </w:rPr>
      </w:pPr>
      <w:ins w:id="156"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af"/>
        <w:numPr>
          <w:ilvl w:val="1"/>
          <w:numId w:val="20"/>
        </w:numPr>
        <w:suppressAutoHyphens/>
        <w:autoSpaceDN w:val="0"/>
        <w:snapToGrid w:val="0"/>
        <w:spacing w:after="0" w:line="240" w:lineRule="auto"/>
        <w:jc w:val="both"/>
        <w:textAlignment w:val="baseline"/>
        <w:rPr>
          <w:del w:id="157" w:author="Eko Onggosanusi" w:date="2021-10-13T13:11:00Z"/>
          <w:sz w:val="20"/>
          <w:szCs w:val="20"/>
          <w:lang w:eastAsia="zh-CN"/>
        </w:rPr>
      </w:pPr>
      <w:del w:id="158"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af"/>
        <w:numPr>
          <w:ilvl w:val="1"/>
          <w:numId w:val="20"/>
        </w:numPr>
        <w:suppressAutoHyphens/>
        <w:autoSpaceDN w:val="0"/>
        <w:snapToGrid w:val="0"/>
        <w:spacing w:after="0" w:line="240" w:lineRule="auto"/>
        <w:jc w:val="both"/>
        <w:textAlignment w:val="baseline"/>
        <w:rPr>
          <w:del w:id="159" w:author="Eko Onggosanusi" w:date="2021-10-13T13:14:00Z"/>
          <w:sz w:val="20"/>
          <w:szCs w:val="20"/>
          <w:lang w:eastAsia="zh-CN"/>
        </w:rPr>
      </w:pPr>
      <w:del w:id="160"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af"/>
        <w:numPr>
          <w:ilvl w:val="1"/>
          <w:numId w:val="20"/>
        </w:numPr>
        <w:snapToGrid w:val="0"/>
        <w:jc w:val="both"/>
        <w:rPr>
          <w:del w:id="161" w:author="Eko Onggosanusi" w:date="2021-10-13T13:14:00Z"/>
          <w:sz w:val="20"/>
          <w:szCs w:val="20"/>
        </w:rPr>
      </w:pPr>
      <w:del w:id="162"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lastRenderedPageBreak/>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lastRenderedPageBreak/>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63"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64"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64"/>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lastRenderedPageBreak/>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65"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66" w:author="Eko Onggosanusi" w:date="2021-10-13T13:15:00Z"/>
                <w:sz w:val="20"/>
                <w:szCs w:val="20"/>
                <w:lang w:eastAsia="zh-CN"/>
              </w:rPr>
            </w:pPr>
            <w:ins w:id="167" w:author="Eko Onggosanusi" w:date="2021-10-13T13:15:00Z">
              <w:r>
                <w:rPr>
                  <w:sz w:val="20"/>
                  <w:szCs w:val="20"/>
                  <w:lang w:eastAsia="zh-CN"/>
                </w:rPr>
                <w:t xml:space="preserve">[Mod: OK. I agree with the above assessments as the previous version is too </w:t>
              </w:r>
            </w:ins>
            <w:ins w:id="168" w:author="Eko Onggosanusi" w:date="2021-10-13T13:16:00Z">
              <w:r>
                <w:rPr>
                  <w:sz w:val="20"/>
                  <w:szCs w:val="20"/>
                  <w:lang w:eastAsia="zh-CN"/>
                </w:rPr>
                <w:t>convoluted</w:t>
              </w:r>
            </w:ins>
            <w:ins w:id="169"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correspendence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correspendence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Proposal 4.A: Support</w:t>
            </w:r>
          </w:p>
        </w:tc>
      </w:tr>
      <w:tr w:rsidR="00A05BA6" w14:paraId="1EDA9E63"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F2B0" w14:textId="68622003" w:rsidR="00A05BA6" w:rsidRDefault="00A05BA6" w:rsidP="00FE1360">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E58A" w14:textId="77777777" w:rsidR="00A05BA6" w:rsidRDefault="00A05BA6" w:rsidP="00A05BA6">
            <w:pPr>
              <w:snapToGrid w:val="0"/>
              <w:rPr>
                <w:rFonts w:eastAsiaTheme="minorEastAsia"/>
                <w:sz w:val="18"/>
                <w:szCs w:val="18"/>
                <w:lang w:eastAsia="zh-CN"/>
              </w:rPr>
            </w:pPr>
            <w:r>
              <w:rPr>
                <w:rFonts w:eastAsiaTheme="minorEastAsia"/>
                <w:sz w:val="18"/>
                <w:szCs w:val="18"/>
                <w:lang w:eastAsia="zh-CN"/>
              </w:rPr>
              <w:t xml:space="preserve">Support revised proposal; but the text on association is removed now, so the FFS can be revised as: </w:t>
            </w:r>
          </w:p>
          <w:p w14:paraId="006E3457" w14:textId="23E8D479" w:rsidR="00A05BA6" w:rsidRDefault="00A05BA6" w:rsidP="00A05BA6">
            <w:pPr>
              <w:tabs>
                <w:tab w:val="left" w:pos="1047"/>
              </w:tabs>
              <w:snapToGrid w:val="0"/>
              <w:rPr>
                <w:sz w:val="18"/>
                <w:szCs w:val="18"/>
                <w:lang w:eastAsia="zh-CN"/>
              </w:rPr>
            </w:pPr>
            <w:ins w:id="170" w:author="Eko Onggosanusi" w:date="2021-10-13T13:13:00Z">
              <w:r>
                <w:rPr>
                  <w:sz w:val="20"/>
                  <w:szCs w:val="20"/>
                  <w:lang w:eastAsia="zh-CN"/>
                </w:rPr>
                <w:t xml:space="preserve">FFS: Whether the </w:t>
              </w:r>
              <w:r w:rsidRPr="00D20130">
                <w:rPr>
                  <w:strike/>
                  <w:sz w:val="20"/>
                  <w:szCs w:val="20"/>
                  <w:highlight w:val="yellow"/>
                  <w:lang w:eastAsia="zh-CN"/>
                </w:rPr>
                <w:t>association</w:t>
              </w:r>
            </w:ins>
            <w:r w:rsidRPr="00D20130">
              <w:rPr>
                <w:sz w:val="20"/>
                <w:szCs w:val="20"/>
                <w:highlight w:val="yellow"/>
                <w:lang w:eastAsia="zh-CN"/>
              </w:rPr>
              <w:t xml:space="preserve"> list of UE capability values</w:t>
            </w:r>
            <w:ins w:id="171" w:author="Eko Onggosanusi" w:date="2021-10-13T13:13:00Z">
              <w:r>
                <w:rPr>
                  <w:sz w:val="20"/>
                  <w:szCs w:val="20"/>
                  <w:lang w:eastAsia="zh-CN"/>
                </w:rPr>
                <w:t xml:space="preserve"> can be common across a set of BWPs/CCs</w:t>
              </w:r>
            </w:ins>
          </w:p>
        </w:tc>
      </w:tr>
      <w:tr w:rsidR="00360897" w14:paraId="5E7B431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9FC7" w14:textId="71E8DE9A" w:rsidR="00360897" w:rsidRDefault="00360897" w:rsidP="00FE1360">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BFD" w14:textId="77777777" w:rsidR="00360897" w:rsidRDefault="00360897" w:rsidP="00A05BA6">
            <w:pPr>
              <w:snapToGrid w:val="0"/>
              <w:rPr>
                <w:rFonts w:eastAsiaTheme="minorEastAsia"/>
                <w:sz w:val="18"/>
                <w:szCs w:val="18"/>
                <w:lang w:eastAsia="zh-CN"/>
              </w:rPr>
            </w:pPr>
            <w:r>
              <w:rPr>
                <w:rFonts w:eastAsiaTheme="minorEastAsia"/>
                <w:sz w:val="18"/>
                <w:szCs w:val="18"/>
                <w:lang w:eastAsia="zh-CN"/>
              </w:rPr>
              <w:t xml:space="preserve">We are still not supportive of this proposal due many vague/open issues. Furthermore, our comment from the last round did not receive any valid response so we comment here again: </w:t>
            </w:r>
          </w:p>
          <w:p w14:paraId="4356D29F" w14:textId="77777777" w:rsidR="00360897" w:rsidRDefault="00360897" w:rsidP="00A05BA6">
            <w:pPr>
              <w:snapToGrid w:val="0"/>
              <w:rPr>
                <w:rFonts w:eastAsiaTheme="minorEastAsia"/>
                <w:sz w:val="18"/>
                <w:szCs w:val="18"/>
                <w:lang w:eastAsia="zh-CN"/>
              </w:rPr>
            </w:pPr>
          </w:p>
          <w:p w14:paraId="74DB022A" w14:textId="5EE0B4F2" w:rsidR="00360897" w:rsidRDefault="00360897" w:rsidP="00360897">
            <w:pPr>
              <w:snapToGrid w:val="0"/>
              <w:rPr>
                <w:rFonts w:eastAsia="Malgun Gothic"/>
                <w:color w:val="3333FF"/>
                <w:sz w:val="18"/>
                <w:szCs w:val="18"/>
              </w:rPr>
            </w:pPr>
            <w:r>
              <w:rPr>
                <w:rFonts w:eastAsia="Malgun Gothic"/>
                <w:color w:val="3333FF"/>
                <w:sz w:val="18"/>
                <w:szCs w:val="18"/>
              </w:rPr>
              <w:t>W</w:t>
            </w:r>
            <w:r w:rsidRPr="00E8134B">
              <w:rPr>
                <w:rFonts w:eastAsia="Malgun Gothic"/>
                <w:color w:val="3333FF"/>
                <w:sz w:val="18"/>
                <w:szCs w:val="18"/>
              </w:rPr>
              <w:t xml:space="preserve">e are still not sure why the use of case of different number of ports per panel should be prioritized specifically for UL. For example, let’s assume a UE with one 2 port panel and one 4 port panel which can only receive with a single panel in the DL (common case). The same issue should be relevant even </w:t>
            </w:r>
            <w:r w:rsidRPr="00E8134B">
              <w:rPr>
                <w:rFonts w:eastAsia="Malgun Gothic"/>
                <w:color w:val="3333FF"/>
                <w:sz w:val="18"/>
                <w:szCs w:val="18"/>
              </w:rPr>
              <w:lastRenderedPageBreak/>
              <w:t>in this case, where the gNB may not know the maximum number of DL MIMO layers with which it can transmit to the UE. Then why should we not support this even more relevant use case and provide targeted solutions for the UL case? This does not seem clear to us at all.</w:t>
            </w:r>
          </w:p>
          <w:p w14:paraId="6D8AA33F" w14:textId="7AA58C70" w:rsidR="009D00B9" w:rsidRDefault="009D00B9" w:rsidP="00360897">
            <w:pPr>
              <w:snapToGrid w:val="0"/>
              <w:rPr>
                <w:rFonts w:eastAsia="Malgun Gothic"/>
                <w:color w:val="3333FF"/>
                <w:sz w:val="18"/>
                <w:szCs w:val="18"/>
              </w:rPr>
            </w:pPr>
          </w:p>
          <w:p w14:paraId="3C099BE6" w14:textId="41AF69F6" w:rsidR="009D00B9" w:rsidRPr="009D00B9" w:rsidRDefault="009D00B9" w:rsidP="00360897">
            <w:pPr>
              <w:snapToGrid w:val="0"/>
              <w:rPr>
                <w:rFonts w:eastAsiaTheme="minorEastAsia"/>
                <w:sz w:val="18"/>
                <w:szCs w:val="18"/>
                <w:lang w:eastAsia="zh-CN"/>
              </w:rPr>
            </w:pPr>
            <w:r w:rsidRPr="009D00B9">
              <w:rPr>
                <w:rFonts w:eastAsiaTheme="minorEastAsia"/>
                <w:sz w:val="18"/>
                <w:szCs w:val="18"/>
                <w:lang w:eastAsia="zh-CN"/>
              </w:rPr>
              <w:t>Add</w:t>
            </w:r>
            <w:r>
              <w:rPr>
                <w:rFonts w:eastAsiaTheme="minorEastAsia"/>
                <w:sz w:val="18"/>
                <w:szCs w:val="18"/>
                <w:lang w:eastAsia="zh-CN"/>
              </w:rPr>
              <w:t>itionally, for the issue of valid time duration of correspondence, assume UE is changing correspondence from a 4-port panel to a 2-port panel</w:t>
            </w:r>
            <w:r w:rsidR="00C6069C">
              <w:rPr>
                <w:rFonts w:eastAsiaTheme="minorEastAsia"/>
                <w:sz w:val="18"/>
                <w:szCs w:val="18"/>
                <w:lang w:eastAsia="zh-CN"/>
              </w:rPr>
              <w:t xml:space="preserve"> and gNB missed the UCI. How does this work since the gNB and UE have a different understanding of the capabilities at this point. </w:t>
            </w:r>
          </w:p>
          <w:p w14:paraId="34814686" w14:textId="414D08C9" w:rsidR="00360897" w:rsidRDefault="00360897" w:rsidP="00A05BA6">
            <w:pPr>
              <w:snapToGrid w:val="0"/>
              <w:rPr>
                <w:rFonts w:eastAsiaTheme="minorEastAsia"/>
                <w:sz w:val="18"/>
                <w:szCs w:val="18"/>
                <w:lang w:eastAsia="zh-CN"/>
              </w:rPr>
            </w:pPr>
          </w:p>
        </w:tc>
      </w:tr>
      <w:tr w:rsidR="00AF2ED7" w14:paraId="663BD84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A45F2" w14:textId="03EC2EF1" w:rsidR="00AF2ED7" w:rsidRDefault="00AF2ED7" w:rsidP="00FE1360">
            <w:pPr>
              <w:snapToGrid w:val="0"/>
              <w:rPr>
                <w:sz w:val="18"/>
                <w:szCs w:val="18"/>
                <w:lang w:eastAsia="zh-CN"/>
              </w:rPr>
            </w:pPr>
            <w:r>
              <w:rPr>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2C22" w14:textId="36B9188F" w:rsidR="00AF2ED7" w:rsidRDefault="00AF2ED7" w:rsidP="00A05BA6">
            <w:pPr>
              <w:snapToGrid w:val="0"/>
              <w:rPr>
                <w:rFonts w:eastAsiaTheme="minorEastAsia"/>
                <w:sz w:val="18"/>
                <w:szCs w:val="18"/>
                <w:lang w:eastAsia="zh-CN"/>
              </w:rPr>
            </w:pPr>
            <w:r>
              <w:rPr>
                <w:rFonts w:eastAsiaTheme="minorEastAsia"/>
                <w:sz w:val="18"/>
                <w:szCs w:val="18"/>
                <w:lang w:eastAsia="zh-CN"/>
              </w:rPr>
              <w:t>Proposal 4.A: Support</w:t>
            </w:r>
          </w:p>
        </w:tc>
      </w:tr>
      <w:tr w:rsidR="00FE14DA" w14:paraId="56BE446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8AA" w14:textId="77777777" w:rsidR="00FE14DA" w:rsidRDefault="00FE14DA" w:rsidP="00FE1360">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08AE" w14:textId="35F112B0" w:rsidR="00357BFE" w:rsidRDefault="00357BFE" w:rsidP="00FE14DA">
            <w:pPr>
              <w:snapToGrid w:val="0"/>
              <w:rPr>
                <w:rFonts w:eastAsiaTheme="minorEastAsia"/>
                <w:sz w:val="18"/>
                <w:szCs w:val="18"/>
                <w:lang w:eastAsia="zh-CN"/>
              </w:rPr>
            </w:pPr>
            <w:r>
              <w:rPr>
                <w:rFonts w:eastAsiaTheme="minorEastAsia"/>
                <w:sz w:val="18"/>
                <w:szCs w:val="18"/>
                <w:lang w:eastAsia="zh-CN"/>
              </w:rPr>
              <w:t xml:space="preserve">Regarding the valid time duration, it is a part of the definition of timeline for </w:t>
            </w:r>
            <w:r w:rsidRPr="00FE14DA">
              <w:rPr>
                <w:sz w:val="18"/>
                <w:szCs w:val="20"/>
                <w:lang w:eastAsia="zh-CN"/>
              </w:rPr>
              <w:t>applying the correspondence</w:t>
            </w:r>
            <w:r>
              <w:rPr>
                <w:sz w:val="18"/>
                <w:szCs w:val="20"/>
                <w:lang w:eastAsia="zh-CN"/>
              </w:rPr>
              <w:t>. Thus, we suggeset to remove the sub-bullet and discuss later.</w:t>
            </w:r>
          </w:p>
          <w:p w14:paraId="2C20FA11" w14:textId="77777777" w:rsidR="00357BFE" w:rsidRDefault="00357BFE" w:rsidP="00FE14DA">
            <w:pPr>
              <w:snapToGrid w:val="0"/>
              <w:rPr>
                <w:rFonts w:eastAsiaTheme="minorEastAsia"/>
                <w:sz w:val="18"/>
                <w:szCs w:val="18"/>
                <w:lang w:eastAsia="zh-CN"/>
              </w:rPr>
            </w:pPr>
          </w:p>
          <w:p w14:paraId="3F23DBF2" w14:textId="2A180618" w:rsidR="00FE14DA" w:rsidRPr="00FE14DA" w:rsidRDefault="00FE14DA" w:rsidP="00FE14DA">
            <w:pPr>
              <w:snapToGrid w:val="0"/>
              <w:rPr>
                <w:rFonts w:eastAsiaTheme="minorEastAsia"/>
                <w:sz w:val="18"/>
                <w:szCs w:val="18"/>
                <w:lang w:eastAsia="zh-CN"/>
              </w:rPr>
            </w:pPr>
            <w:r>
              <w:rPr>
                <w:rFonts w:eastAsiaTheme="minorEastAsia"/>
                <w:sz w:val="18"/>
                <w:szCs w:val="18"/>
                <w:lang w:eastAsia="zh-CN"/>
              </w:rPr>
              <w:t>In current version, the link between “</w:t>
            </w:r>
            <w:r w:rsidRPr="00FE14DA">
              <w:rPr>
                <w:rFonts w:eastAsiaTheme="minorEastAsia"/>
                <w:sz w:val="18"/>
                <w:szCs w:val="18"/>
                <w:lang w:eastAsia="zh-CN"/>
              </w:rPr>
              <w:t>UE capability values</w:t>
            </w:r>
            <w:r>
              <w:rPr>
                <w:rFonts w:eastAsiaTheme="minorEastAsia"/>
                <w:sz w:val="18"/>
                <w:szCs w:val="18"/>
                <w:lang w:eastAsia="zh-CN"/>
              </w:rPr>
              <w:t>” and “</w:t>
            </w:r>
            <w:r w:rsidRPr="00FE14DA">
              <w:rPr>
                <w:sz w:val="18"/>
                <w:szCs w:val="20"/>
                <w:lang w:eastAsia="zh-CN"/>
              </w:rPr>
              <w:t>logical index</w:t>
            </w:r>
            <w:r>
              <w:rPr>
                <w:rFonts w:eastAsiaTheme="minorEastAsia"/>
                <w:sz w:val="18"/>
                <w:szCs w:val="18"/>
                <w:lang w:eastAsia="zh-CN"/>
              </w:rPr>
              <w:t>” is missing.</w:t>
            </w:r>
            <w:r w:rsidR="00357BFE">
              <w:rPr>
                <w:rFonts w:eastAsiaTheme="minorEastAsia"/>
                <w:sz w:val="18"/>
                <w:szCs w:val="18"/>
                <w:lang w:eastAsia="zh-CN"/>
              </w:rPr>
              <w:t xml:space="preserve"> Based on comments from Ericsson, we suggest the update</w:t>
            </w:r>
            <w:r w:rsidR="00310269">
              <w:rPr>
                <w:rFonts w:eastAsiaTheme="minorEastAsia"/>
                <w:sz w:val="18"/>
                <w:szCs w:val="18"/>
                <w:lang w:eastAsia="zh-CN"/>
              </w:rPr>
              <w:t>, and one of the FFS can be resolved.</w:t>
            </w:r>
          </w:p>
          <w:p w14:paraId="5DB9A4CF" w14:textId="77777777" w:rsidR="00FE14DA" w:rsidRDefault="00FE14DA" w:rsidP="00FE14DA">
            <w:pPr>
              <w:snapToGrid w:val="0"/>
              <w:jc w:val="both"/>
              <w:rPr>
                <w:b/>
                <w:sz w:val="18"/>
                <w:szCs w:val="20"/>
                <w:u w:val="single"/>
              </w:rPr>
            </w:pPr>
          </w:p>
          <w:p w14:paraId="5C53DCB1" w14:textId="77777777" w:rsidR="00FE14DA" w:rsidRPr="00FE14DA" w:rsidRDefault="00FE14DA" w:rsidP="00FE14DA">
            <w:pPr>
              <w:snapToGrid w:val="0"/>
              <w:jc w:val="both"/>
              <w:rPr>
                <w:sz w:val="18"/>
                <w:szCs w:val="20"/>
              </w:rPr>
            </w:pPr>
            <w:r w:rsidRPr="00FE14DA">
              <w:rPr>
                <w:b/>
                <w:sz w:val="18"/>
                <w:szCs w:val="20"/>
                <w:u w:val="single"/>
              </w:rPr>
              <w:t>Proposal 4.A</w:t>
            </w:r>
            <w:r w:rsidRPr="00FE14DA">
              <w:rPr>
                <w:sz w:val="18"/>
                <w:szCs w:val="20"/>
              </w:rPr>
              <w:t xml:space="preserve">: On Rel.17 enhancements to facilitate UE-initiated panel activation and selection,  </w:t>
            </w:r>
          </w:p>
          <w:p w14:paraId="18465D00" w14:textId="6EF4F70F"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Support the UE reporting a list of </w:t>
            </w:r>
            <w:r w:rsidRPr="00357BFE">
              <w:rPr>
                <w:sz w:val="18"/>
                <w:szCs w:val="20"/>
                <w:highlight w:val="yellow"/>
                <w:lang w:eastAsia="zh-CN"/>
              </w:rPr>
              <w:t>UE capability values</w:t>
            </w:r>
          </w:p>
          <w:p w14:paraId="5E6A95A6"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UE capability values comprises the number of SRS ports, number of UL transmission layers, coherence type, TPMI, or number of SRS resources within one SRS resource set</w:t>
            </w:r>
            <w:r w:rsidRPr="00FE14DA" w:rsidDel="00284F0D">
              <w:rPr>
                <w:sz w:val="18"/>
                <w:szCs w:val="20"/>
                <w:lang w:eastAsia="zh-CN"/>
              </w:rPr>
              <w:t xml:space="preserve"> </w:t>
            </w:r>
          </w:p>
          <w:p w14:paraId="4F5C550E" w14:textId="77777777" w:rsid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 Whether the association can be common across a set of BWPs/CCs</w:t>
            </w:r>
          </w:p>
          <w:p w14:paraId="0C44B4A8" w14:textId="58D582F3" w:rsidR="00357BFE" w:rsidRDefault="00310269" w:rsidP="00FE14DA">
            <w:pPr>
              <w:pStyle w:val="af"/>
              <w:numPr>
                <w:ilvl w:val="0"/>
                <w:numId w:val="20"/>
              </w:numPr>
              <w:suppressAutoHyphens/>
              <w:autoSpaceDN w:val="0"/>
              <w:snapToGrid w:val="0"/>
              <w:spacing w:after="0" w:line="240" w:lineRule="auto"/>
              <w:jc w:val="both"/>
              <w:textAlignment w:val="baseline"/>
              <w:rPr>
                <w:ins w:id="172" w:author="Darcy Tsai" w:date="2021-10-14T06:56:00Z"/>
                <w:sz w:val="18"/>
                <w:szCs w:val="20"/>
                <w:lang w:eastAsia="zh-CN"/>
              </w:rPr>
            </w:pPr>
            <w:ins w:id="173" w:author="Darcy Tsai" w:date="2021-10-14T07:02:00Z">
              <w:r>
                <w:rPr>
                  <w:sz w:val="18"/>
                  <w:szCs w:val="20"/>
                  <w:lang w:eastAsia="zh-CN"/>
                </w:rPr>
                <w:t xml:space="preserve">NW can configure </w:t>
              </w:r>
            </w:ins>
            <w:ins w:id="174" w:author="Darcy Tsai" w:date="2021-10-14T06:56:00Z">
              <w:r>
                <w:rPr>
                  <w:sz w:val="18"/>
                  <w:szCs w:val="20"/>
                  <w:lang w:eastAsia="zh-CN"/>
                </w:rPr>
                <w:t>a</w:t>
              </w:r>
              <w:r w:rsidR="00357BFE">
                <w:rPr>
                  <w:sz w:val="18"/>
                  <w:szCs w:val="20"/>
                  <w:lang w:eastAsia="zh-CN"/>
                </w:rPr>
                <w:t xml:space="preserve">t least one </w:t>
              </w:r>
            </w:ins>
            <w:ins w:id="175" w:author="Darcy Tsai" w:date="2021-10-14T06:58:00Z">
              <w:r w:rsidR="00357BFE" w:rsidRPr="00FE14DA">
                <w:rPr>
                  <w:sz w:val="18"/>
                  <w:szCs w:val="20"/>
                  <w:lang w:eastAsia="zh-CN"/>
                </w:rPr>
                <w:t>logical index</w:t>
              </w:r>
              <w:r w:rsidR="00357BFE">
                <w:rPr>
                  <w:sz w:val="18"/>
                  <w:szCs w:val="20"/>
                  <w:lang w:eastAsia="zh-CN"/>
                </w:rPr>
                <w:t xml:space="preserve"> and assoa</w:t>
              </w:r>
              <w:r>
                <w:rPr>
                  <w:sz w:val="18"/>
                  <w:szCs w:val="20"/>
                  <w:lang w:eastAsia="zh-CN"/>
                </w:rPr>
                <w:t>cite</w:t>
              </w:r>
            </w:ins>
            <w:ins w:id="176" w:author="Darcy Tsai" w:date="2021-10-14T07:03:00Z">
              <w:r>
                <w:rPr>
                  <w:sz w:val="18"/>
                  <w:szCs w:val="20"/>
                  <w:lang w:eastAsia="zh-CN"/>
                </w:rPr>
                <w:t xml:space="preserve"> the</w:t>
              </w:r>
            </w:ins>
            <w:ins w:id="177" w:author="Darcy Tsai" w:date="2021-10-14T06:58:00Z">
              <w:r w:rsidR="00357BFE">
                <w:rPr>
                  <w:sz w:val="18"/>
                  <w:szCs w:val="20"/>
                  <w:lang w:eastAsia="zh-CN"/>
                </w:rPr>
                <w:t xml:space="preserve"> </w:t>
              </w:r>
            </w:ins>
            <w:ins w:id="178" w:author="Darcy Tsai" w:date="2021-10-14T07:03:00Z">
              <w:r w:rsidRPr="00FE14DA">
                <w:rPr>
                  <w:sz w:val="18"/>
                  <w:szCs w:val="20"/>
                  <w:lang w:eastAsia="zh-CN"/>
                </w:rPr>
                <w:t>logical index</w:t>
              </w:r>
              <w:r>
                <w:rPr>
                  <w:sz w:val="18"/>
                  <w:szCs w:val="20"/>
                  <w:lang w:eastAsia="zh-CN"/>
                </w:rPr>
                <w:t xml:space="preserve"> </w:t>
              </w:r>
            </w:ins>
            <w:ins w:id="179" w:author="Darcy Tsai" w:date="2021-10-14T06:58:00Z">
              <w:r w:rsidR="00357BFE">
                <w:rPr>
                  <w:sz w:val="18"/>
                  <w:szCs w:val="20"/>
                  <w:lang w:eastAsia="zh-CN"/>
                </w:rPr>
                <w:t>with an entry of the UE capability list</w:t>
              </w:r>
            </w:ins>
          </w:p>
          <w:p w14:paraId="7CB3B047" w14:textId="4AE666B2"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The correspondence between a CSI-RS and/or SSB resource index and </w:t>
            </w:r>
            <w:r w:rsidRPr="00310269">
              <w:rPr>
                <w:sz w:val="18"/>
                <w:szCs w:val="20"/>
                <w:highlight w:val="yellow"/>
                <w:lang w:eastAsia="zh-CN"/>
              </w:rPr>
              <w:t>a logical index</w:t>
            </w:r>
            <w:r w:rsidRPr="00FE14DA">
              <w:rPr>
                <w:sz w:val="18"/>
                <w:szCs w:val="20"/>
                <w:lang w:eastAsia="zh-CN"/>
              </w:rPr>
              <w:t xml:space="preserve"> is determined by the UE (analogous to Rel-15/16)</w:t>
            </w:r>
            <w:ins w:id="180" w:author="Darcy Tsai" w:date="2021-10-14T06:59:00Z">
              <w:r w:rsidR="00357BFE">
                <w:rPr>
                  <w:sz w:val="18"/>
                  <w:szCs w:val="20"/>
                  <w:lang w:eastAsia="zh-CN"/>
                </w:rPr>
                <w:t>,</w:t>
              </w:r>
            </w:ins>
            <w:r w:rsidRPr="00FE14DA">
              <w:rPr>
                <w:sz w:val="18"/>
                <w:szCs w:val="20"/>
                <w:lang w:eastAsia="zh-CN"/>
              </w:rPr>
              <w:t xml:space="preserve"> and</w:t>
            </w:r>
            <w:ins w:id="181" w:author="Darcy Tsai" w:date="2021-10-14T06:59:00Z">
              <w:r w:rsidR="00357BFE">
                <w:rPr>
                  <w:sz w:val="18"/>
                  <w:szCs w:val="20"/>
                  <w:lang w:eastAsia="zh-CN"/>
                </w:rPr>
                <w:t xml:space="preserve"> UE reports </w:t>
              </w:r>
            </w:ins>
            <w:ins w:id="182" w:author="Darcy Tsai" w:date="2021-10-14T07:00:00Z">
              <w:r w:rsidR="00310269">
                <w:rPr>
                  <w:sz w:val="18"/>
                  <w:szCs w:val="20"/>
                  <w:lang w:eastAsia="zh-CN"/>
                </w:rPr>
                <w:t>the logic index</w:t>
              </w:r>
            </w:ins>
            <w:ins w:id="183" w:author="Darcy Tsai" w:date="2021-10-14T07:01:00Z">
              <w:r w:rsidR="00310269">
                <w:rPr>
                  <w:sz w:val="18"/>
                  <w:szCs w:val="20"/>
                  <w:lang w:eastAsia="zh-CN"/>
                </w:rPr>
                <w:t xml:space="preserve"> along with the </w:t>
              </w:r>
              <w:r w:rsidR="00310269" w:rsidRPr="00FE14DA">
                <w:rPr>
                  <w:sz w:val="18"/>
                  <w:szCs w:val="20"/>
                  <w:lang w:eastAsia="zh-CN"/>
                </w:rPr>
                <w:t>CSI-RS and/or SSB resource index</w:t>
              </w:r>
            </w:ins>
            <w:r w:rsidRPr="00FE14DA">
              <w:rPr>
                <w:sz w:val="18"/>
                <w:szCs w:val="20"/>
                <w:lang w:eastAsia="zh-CN"/>
              </w:rPr>
              <w:t xml:space="preserve"> </w:t>
            </w:r>
            <w:del w:id="184" w:author="Darcy Tsai" w:date="2021-10-14T07:00:00Z">
              <w:r w:rsidRPr="00FE14DA" w:rsidDel="00310269">
                <w:rPr>
                  <w:sz w:val="18"/>
                  <w:szCs w:val="20"/>
                  <w:lang w:eastAsia="zh-CN"/>
                </w:rPr>
                <w:delText xml:space="preserve">is informed to NW </w:delText>
              </w:r>
            </w:del>
            <w:r w:rsidRPr="00FE14DA">
              <w:rPr>
                <w:sz w:val="18"/>
                <w:szCs w:val="20"/>
                <w:lang w:eastAsia="zh-CN"/>
              </w:rPr>
              <w:t>in a beam reporting instance</w:t>
            </w:r>
          </w:p>
          <w:p w14:paraId="147E9A84" w14:textId="588FC7D9" w:rsidR="00FE14DA" w:rsidRPr="00FE14DA" w:rsidDel="00357BFE" w:rsidRDefault="00FE14DA" w:rsidP="00FE14DA">
            <w:pPr>
              <w:pStyle w:val="af"/>
              <w:numPr>
                <w:ilvl w:val="1"/>
                <w:numId w:val="20"/>
              </w:numPr>
              <w:suppressAutoHyphens/>
              <w:autoSpaceDN w:val="0"/>
              <w:snapToGrid w:val="0"/>
              <w:spacing w:after="0" w:line="240" w:lineRule="auto"/>
              <w:jc w:val="both"/>
              <w:textAlignment w:val="baseline"/>
              <w:rPr>
                <w:del w:id="185" w:author="Darcy Tsai" w:date="2021-10-14T06:55:00Z"/>
                <w:sz w:val="18"/>
                <w:szCs w:val="20"/>
                <w:lang w:eastAsia="zh-CN"/>
              </w:rPr>
            </w:pPr>
            <w:del w:id="186" w:author="Darcy Tsai" w:date="2021-10-14T06:55:00Z">
              <w:r w:rsidRPr="00FE14DA" w:rsidDel="00357BFE">
                <w:rPr>
                  <w:rFonts w:eastAsiaTheme="minorEastAsia"/>
                  <w:sz w:val="18"/>
                  <w:szCs w:val="20"/>
                  <w:lang w:eastAsia="zh-CN"/>
                </w:rPr>
                <w:delText>The valid time duration of the correspondence is until the next reporting instance of the same CSI-RS resource index or SSB index</w:delText>
              </w:r>
            </w:del>
          </w:p>
          <w:p w14:paraId="57FA8435"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 xml:space="preserve">FFS: Whether and how to define the timeline for applying the correspondence </w:t>
            </w:r>
          </w:p>
          <w:p w14:paraId="40AEBF51" w14:textId="03FE8D04" w:rsidR="00FE14DA" w:rsidRPr="00FE14DA" w:rsidDel="00310269" w:rsidRDefault="00FE14DA" w:rsidP="00FE14DA">
            <w:pPr>
              <w:pStyle w:val="af"/>
              <w:numPr>
                <w:ilvl w:val="1"/>
                <w:numId w:val="20"/>
              </w:numPr>
              <w:suppressAutoHyphens/>
              <w:autoSpaceDN w:val="0"/>
              <w:snapToGrid w:val="0"/>
              <w:spacing w:after="0" w:line="240" w:lineRule="auto"/>
              <w:jc w:val="both"/>
              <w:textAlignment w:val="baseline"/>
              <w:rPr>
                <w:del w:id="187" w:author="Darcy Tsai" w:date="2021-10-14T07:01:00Z"/>
                <w:sz w:val="18"/>
                <w:szCs w:val="20"/>
                <w:lang w:eastAsia="zh-CN"/>
              </w:rPr>
            </w:pPr>
            <w:del w:id="188" w:author="Darcy Tsai" w:date="2021-10-14T07:01:00Z">
              <w:r w:rsidRPr="00FE14DA" w:rsidDel="00310269">
                <w:rPr>
                  <w:sz w:val="18"/>
                  <w:szCs w:val="20"/>
                  <w:lang w:eastAsia="zh-CN"/>
                </w:rPr>
                <w:delText>FFS: How to inform the correspondence to NW in the reporting instance</w:delText>
              </w:r>
            </w:del>
          </w:p>
          <w:p w14:paraId="77D88C63" w14:textId="77777777" w:rsidR="00FE14DA" w:rsidRPr="00FE14DA" w:rsidRDefault="00FE14DA" w:rsidP="00FE14DA">
            <w:pPr>
              <w:pStyle w:val="af"/>
              <w:numPr>
                <w:ilvl w:val="1"/>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FFS</w:t>
            </w:r>
            <w:r w:rsidRPr="00FE14DA">
              <w:rPr>
                <w:rFonts w:hint="eastAsia"/>
                <w:sz w:val="18"/>
                <w:szCs w:val="20"/>
                <w:lang w:eastAsia="zh-CN"/>
              </w:rPr>
              <w:t>:</w:t>
            </w:r>
            <w:r w:rsidRPr="00FE14DA">
              <w:rPr>
                <w:sz w:val="18"/>
                <w:szCs w:val="20"/>
                <w:lang w:eastAsia="zh-CN"/>
              </w:rPr>
              <w:t xml:space="preserve"> What type of beam reporting instance is considered, e.g. L1-RSRP/L1-SINR/BFRQ</w:t>
            </w:r>
          </w:p>
          <w:p w14:paraId="498EA7AD" w14:textId="77777777" w:rsidR="00FE14DA" w:rsidRPr="00FE14DA" w:rsidRDefault="00FE14DA" w:rsidP="00FE14DA">
            <w:pPr>
              <w:pStyle w:val="af"/>
              <w:numPr>
                <w:ilvl w:val="0"/>
                <w:numId w:val="20"/>
              </w:numPr>
              <w:suppressAutoHyphens/>
              <w:autoSpaceDN w:val="0"/>
              <w:snapToGrid w:val="0"/>
              <w:spacing w:after="0" w:line="240" w:lineRule="auto"/>
              <w:jc w:val="both"/>
              <w:textAlignment w:val="baseline"/>
              <w:rPr>
                <w:sz w:val="18"/>
                <w:szCs w:val="20"/>
                <w:lang w:eastAsia="zh-CN"/>
              </w:rPr>
            </w:pPr>
            <w:r w:rsidRPr="00FE14DA">
              <w:rPr>
                <w:sz w:val="18"/>
                <w:szCs w:val="20"/>
                <w:lang w:eastAsia="zh-CN"/>
              </w:rPr>
              <w:t>Support multiple codebook –based SRS resource sets with different maximum number of SRS ports</w:t>
            </w:r>
          </w:p>
          <w:p w14:paraId="35C1614B" w14:textId="77777777" w:rsidR="00FE14DA" w:rsidRDefault="00FE14DA" w:rsidP="00A05BA6">
            <w:pPr>
              <w:snapToGrid w:val="0"/>
              <w:rPr>
                <w:rFonts w:eastAsiaTheme="minor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89" w:name="_Hlk84323936"/>
            <w:r>
              <w:rPr>
                <w:sz w:val="18"/>
                <w:szCs w:val="20"/>
              </w:rPr>
              <w:t xml:space="preserve">How to perform selection of N from a candidate SSB/CSI-RS resource pool and how the candidate resource pool is configured </w:t>
            </w:r>
            <w:bookmarkEnd w:id="18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新細明體"/>
                <w:sz w:val="18"/>
                <w:szCs w:val="20"/>
                <w:lang w:val="en-GB" w:eastAsia="zh-TW"/>
              </w:rPr>
            </w:pPr>
            <w:r>
              <w:rPr>
                <w:rFonts w:eastAsia="新細明體"/>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quality</w:t>
            </w:r>
            <w:r>
              <w:rPr>
                <w:rFonts w:eastAsia="新細明體"/>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新細明體"/>
                <w:sz w:val="18"/>
                <w:szCs w:val="20"/>
                <w:lang w:val="de-DE" w:eastAsia="zh-TW"/>
              </w:rPr>
            </w:pPr>
            <w:r>
              <w:rPr>
                <w:rFonts w:eastAsia="新細明體"/>
                <w:b/>
                <w:sz w:val="18"/>
                <w:szCs w:val="20"/>
                <w:lang w:val="de-DE" w:eastAsia="zh-TW"/>
              </w:rPr>
              <w:t>TCI state group quality</w:t>
            </w:r>
            <w:r>
              <w:rPr>
                <w:rFonts w:eastAsia="新細明體"/>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新細明體"/>
                <w:b/>
                <w:sz w:val="18"/>
                <w:szCs w:val="20"/>
                <w:lang w:val="en-GB" w:eastAsia="zh-TW"/>
              </w:rPr>
              <w:t>L1-RSRP and P-MPR</w:t>
            </w:r>
            <w:r>
              <w:rPr>
                <w:rFonts w:eastAsia="新細明體"/>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新細明體"/>
                <w:sz w:val="18"/>
                <w:szCs w:val="20"/>
                <w:lang w:val="en-GB" w:eastAsia="zh-TW"/>
              </w:rPr>
            </w:pPr>
          </w:p>
          <w:p w14:paraId="7A5481FC" w14:textId="77777777" w:rsidR="007E0FC5" w:rsidRDefault="00C00F2E">
            <w:pPr>
              <w:snapToGrid w:val="0"/>
              <w:rPr>
                <w:rFonts w:eastAsia="新細明體"/>
                <w:sz w:val="18"/>
                <w:szCs w:val="20"/>
                <w:lang w:val="de-DE" w:eastAsia="zh-TW"/>
              </w:rPr>
            </w:pPr>
            <w:r>
              <w:rPr>
                <w:rFonts w:eastAsia="新細明體"/>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新細明體"/>
                <w:sz w:val="18"/>
                <w:szCs w:val="20"/>
                <w:lang w:val="de-DE" w:eastAsia="zh-TW"/>
              </w:rPr>
            </w:pPr>
            <w:r>
              <w:rPr>
                <w:rFonts w:eastAsia="新細明體"/>
                <w:b/>
                <w:sz w:val="18"/>
                <w:szCs w:val="20"/>
                <w:lang w:val="de-DE" w:eastAsia="zh-TW"/>
              </w:rPr>
              <w:t>Configured via RRC</w:t>
            </w:r>
            <w:r>
              <w:rPr>
                <w:rFonts w:eastAsia="新細明體"/>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新細明體"/>
                <w:sz w:val="18"/>
                <w:szCs w:val="20"/>
                <w:lang w:val="en-GB" w:eastAsia="zh-TW"/>
              </w:rPr>
            </w:pPr>
            <w:r>
              <w:rPr>
                <w:rFonts w:eastAsia="新細明體"/>
                <w:b/>
                <w:sz w:val="18"/>
                <w:szCs w:val="20"/>
                <w:lang w:val="en-GB" w:eastAsia="zh-TW"/>
              </w:rPr>
              <w:lastRenderedPageBreak/>
              <w:t>Configured via RRC using CSI report config</w:t>
            </w:r>
            <w:r>
              <w:rPr>
                <w:rFonts w:eastAsia="新細明體"/>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90" w:author="Eko Onggosanusi" w:date="2021-10-13T13:18:00Z"/>
          <w:rFonts w:eastAsia="Times New Roman"/>
          <w:sz w:val="20"/>
          <w:szCs w:val="20"/>
          <w:lang w:val="en-GB"/>
        </w:rPr>
      </w:pPr>
      <w:del w:id="191"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92" w:author="Eko Onggosanusi" w:date="2021-10-13T13:18:00Z"/>
          <w:rFonts w:eastAsia="Times New Roman"/>
          <w:sz w:val="20"/>
          <w:szCs w:val="20"/>
          <w:lang w:val="en-GB"/>
        </w:rPr>
      </w:pPr>
      <w:del w:id="193"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94" w:author="Eko Onggosanusi" w:date="2021-10-13T13:18:00Z"/>
          <w:rFonts w:eastAsia="Times New Roman"/>
          <w:sz w:val="20"/>
          <w:szCs w:val="20"/>
          <w:lang w:val="en-GB"/>
        </w:rPr>
      </w:pPr>
      <w:del w:id="195"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af"/>
        <w:numPr>
          <w:ilvl w:val="1"/>
          <w:numId w:val="32"/>
        </w:numPr>
        <w:snapToGrid w:val="0"/>
        <w:spacing w:after="0" w:line="240" w:lineRule="auto"/>
        <w:jc w:val="both"/>
        <w:rPr>
          <w:ins w:id="196"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af"/>
        <w:numPr>
          <w:ilvl w:val="2"/>
          <w:numId w:val="32"/>
        </w:numPr>
        <w:snapToGrid w:val="0"/>
        <w:spacing w:after="0" w:line="240" w:lineRule="auto"/>
        <w:jc w:val="both"/>
        <w:rPr>
          <w:sz w:val="22"/>
          <w:szCs w:val="20"/>
          <w:lang w:eastAsia="zh-CN"/>
        </w:rPr>
      </w:pPr>
      <w:ins w:id="197"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af"/>
        <w:numPr>
          <w:ilvl w:val="1"/>
          <w:numId w:val="32"/>
        </w:numPr>
        <w:snapToGrid w:val="0"/>
        <w:spacing w:after="0" w:line="240" w:lineRule="auto"/>
        <w:jc w:val="both"/>
        <w:rPr>
          <w:sz w:val="22"/>
          <w:szCs w:val="20"/>
          <w:lang w:eastAsia="zh-CN"/>
        </w:rPr>
      </w:pPr>
      <w:r w:rsidRPr="00F668E0">
        <w:rPr>
          <w:sz w:val="20"/>
          <w:szCs w:val="18"/>
          <w:lang w:eastAsia="zh-CN"/>
        </w:rPr>
        <w:t>Alt4. No</w:t>
      </w:r>
      <w:ins w:id="198"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99" w:author="Eko Onggosanusi" w:date="2021-10-13T13:19:00Z">
        <w:r w:rsidR="00703EA9">
          <w:rPr>
            <w:sz w:val="20"/>
            <w:szCs w:val="18"/>
            <w:lang w:eastAsia="zh-CN"/>
          </w:rPr>
          <w:t>possibly left to RAN4</w:t>
        </w:r>
      </w:ins>
      <w:del w:id="200"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af"/>
        <w:numPr>
          <w:ilvl w:val="1"/>
          <w:numId w:val="32"/>
        </w:numPr>
        <w:snapToGrid w:val="0"/>
        <w:spacing w:after="0" w:line="240" w:lineRule="auto"/>
        <w:jc w:val="both"/>
        <w:rPr>
          <w:del w:id="201" w:author="Eko Onggosanusi" w:date="2021-10-13T13:22:00Z"/>
          <w:sz w:val="22"/>
          <w:szCs w:val="20"/>
          <w:lang w:eastAsia="zh-CN"/>
        </w:rPr>
      </w:pPr>
      <w:del w:id="202"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af"/>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203" w:author="Eko Onggosanusi" w:date="2021-10-13T13:21:00Z">
        <w:r w:rsidR="00B924E1">
          <w:rPr>
            <w:sz w:val="20"/>
            <w:szCs w:val="20"/>
            <w:lang w:eastAsia="zh-CN"/>
          </w:rPr>
          <w:t xml:space="preserve"> (details up to RAN2)</w:t>
        </w:r>
      </w:ins>
      <w:r w:rsidRPr="00F668E0">
        <w:rPr>
          <w:sz w:val="20"/>
          <w:szCs w:val="20"/>
          <w:lang w:eastAsia="zh-CN"/>
        </w:rPr>
        <w:t xml:space="preserve"> </w:t>
      </w:r>
      <w:del w:id="204"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af"/>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205"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206"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Based on the discussion, we don’t believe M=1 works. It seems that the only assumption is the network would continusly use the fixed beam reported in the MACCE report. This is obviously not working.</w:t>
            </w:r>
          </w:p>
          <w:p w14:paraId="26918AA2" w14:textId="77777777" w:rsidR="0078603E" w:rsidRPr="003E5800"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207"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af"/>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208" w:author="Eko Onggosanusi" w:date="2021-10-13T13:21:00Z"/>
                <w:rFonts w:eastAsia="Times New Roman"/>
                <w:sz w:val="20"/>
                <w:szCs w:val="20"/>
                <w:lang w:val="en-GB"/>
              </w:rPr>
            </w:pPr>
            <w:ins w:id="209"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210"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211"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212" w:author="Eko Onggosanusi" w:date="2021-10-13T13:20:00Z">
              <w:r>
                <w:rPr>
                  <w:rFonts w:eastAsia="Times New Roman"/>
                  <w:sz w:val="20"/>
                  <w:szCs w:val="20"/>
                  <w:lang w:val="en-GB"/>
                </w:rPr>
                <w:t xml:space="preserve">[Mod: </w:t>
              </w:r>
            </w:ins>
            <w:ins w:id="213" w:author="Eko Onggosanusi" w:date="2021-10-13T13:22:00Z">
              <w:r>
                <w:rPr>
                  <w:rFonts w:eastAsia="Times New Roman"/>
                  <w:sz w:val="20"/>
                  <w:szCs w:val="20"/>
                  <w:lang w:val="en-GB"/>
                </w:rPr>
                <w:t>Removed</w:t>
              </w:r>
            </w:ins>
            <w:ins w:id="214"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215"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216"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lastRenderedPageBreak/>
              <w:t>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bottomline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lastRenderedPageBreak/>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Proposal 5.C: We are fine to down-select between Alt 1 and Alt 2 in the next meeting. In Alt 2, Virtual PHR should be clarified: it includes path loss and virtual P-MPR of candidate beams.</w:t>
            </w:r>
          </w:p>
        </w:tc>
      </w:tr>
      <w:tr w:rsidR="00A05BA6" w14:paraId="1F40F38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19C04" w14:textId="345A5728" w:rsidR="00A05BA6" w:rsidRPr="71CE799E" w:rsidRDefault="00A05BA6" w:rsidP="00FE1360">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EAB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5.A:</w:t>
            </w:r>
          </w:p>
          <w:p w14:paraId="080436D2" w14:textId="77777777" w:rsidR="00A05BA6" w:rsidRDefault="00A05BA6" w:rsidP="00A05BA6">
            <w:pPr>
              <w:pStyle w:val="af"/>
              <w:numPr>
                <w:ilvl w:val="0"/>
                <w:numId w:val="54"/>
              </w:numPr>
              <w:tabs>
                <w:tab w:val="left" w:pos="1902"/>
              </w:tabs>
              <w:snapToGrid w:val="0"/>
              <w:rPr>
                <w:rFonts w:eastAsiaTheme="minorEastAsia"/>
                <w:sz w:val="18"/>
                <w:szCs w:val="18"/>
                <w:lang w:eastAsia="zh-CN"/>
              </w:rPr>
            </w:pPr>
            <w:r w:rsidRPr="001B3A53">
              <w:rPr>
                <w:rFonts w:eastAsiaTheme="minorEastAsia"/>
                <w:sz w:val="18"/>
                <w:szCs w:val="18"/>
                <w:lang w:eastAsia="zh-CN"/>
              </w:rPr>
              <w:t>Reply to vivo:</w:t>
            </w:r>
            <w:r>
              <w:rPr>
                <w:rFonts w:eastAsiaTheme="minorEastAsia"/>
                <w:sz w:val="18"/>
                <w:szCs w:val="18"/>
                <w:lang w:eastAsia="zh-CN"/>
              </w:rPr>
              <w:t xml:space="preserve"> our point is that the NW can use both MPE report and normal beam report for UL beam indication, and NW doesn’t have to use the same beam (via MPE report) all the time. The other beams (via normal beam report) may not suffer from MPE, hence can be used. Re “the how..” part of the comment, it is up to NW implementation. </w:t>
            </w:r>
          </w:p>
          <w:p w14:paraId="24B7C7D2" w14:textId="77777777" w:rsidR="00A05BA6" w:rsidRPr="001B3A53" w:rsidRDefault="00A05BA6" w:rsidP="00A05BA6">
            <w:pPr>
              <w:pStyle w:val="af"/>
              <w:numPr>
                <w:ilvl w:val="0"/>
                <w:numId w:val="54"/>
              </w:numPr>
              <w:tabs>
                <w:tab w:val="left" w:pos="1902"/>
              </w:tabs>
              <w:snapToGrid w:val="0"/>
              <w:rPr>
                <w:rFonts w:eastAsiaTheme="minorEastAsia"/>
                <w:sz w:val="18"/>
                <w:szCs w:val="18"/>
                <w:lang w:eastAsia="zh-CN"/>
              </w:rPr>
            </w:pPr>
            <w:r>
              <w:rPr>
                <w:rFonts w:eastAsiaTheme="minorEastAsia"/>
                <w:sz w:val="18"/>
                <w:szCs w:val="18"/>
                <w:lang w:eastAsia="zh-CN"/>
              </w:rPr>
              <w:t>Overall, we have the same view as the majority companies that the current FL proposal suffices, and we don’t need to (over-)optimize the solution. A simpler solution is preferable.</w:t>
            </w:r>
          </w:p>
          <w:p w14:paraId="3979879D" w14:textId="77777777" w:rsidR="00A05BA6" w:rsidRDefault="00A05BA6" w:rsidP="00A05BA6">
            <w:pPr>
              <w:tabs>
                <w:tab w:val="left" w:pos="1902"/>
              </w:tabs>
              <w:snapToGrid w:val="0"/>
              <w:rPr>
                <w:rFonts w:eastAsiaTheme="minorEastAsia"/>
                <w:b/>
                <w:sz w:val="18"/>
                <w:szCs w:val="18"/>
                <w:lang w:eastAsia="zh-CN"/>
              </w:rPr>
            </w:pPr>
          </w:p>
          <w:p w14:paraId="065475CE" w14:textId="77777777" w:rsidR="00A05BA6" w:rsidRDefault="00A05BA6" w:rsidP="00A05BA6">
            <w:pPr>
              <w:tabs>
                <w:tab w:val="left" w:pos="1902"/>
              </w:tabs>
              <w:snapToGrid w:val="0"/>
              <w:rPr>
                <w:rFonts w:eastAsiaTheme="minorEastAsia"/>
                <w:b/>
                <w:sz w:val="18"/>
                <w:szCs w:val="18"/>
                <w:lang w:eastAsia="zh-CN"/>
              </w:rPr>
            </w:pPr>
            <w:r>
              <w:rPr>
                <w:rFonts w:eastAsiaTheme="minorEastAsia"/>
                <w:b/>
                <w:sz w:val="18"/>
                <w:szCs w:val="18"/>
                <w:lang w:eastAsia="zh-CN"/>
              </w:rPr>
              <w:t>Commnets on Proposal 5.C:</w:t>
            </w:r>
          </w:p>
          <w:p w14:paraId="713820DF" w14:textId="77777777" w:rsidR="00A05BA6" w:rsidRPr="00743524" w:rsidRDefault="00A05BA6" w:rsidP="00A05BA6">
            <w:pPr>
              <w:pStyle w:val="af"/>
              <w:numPr>
                <w:ilvl w:val="0"/>
                <w:numId w:val="53"/>
              </w:numPr>
              <w:snapToGrid w:val="0"/>
              <w:spacing w:after="0" w:line="240" w:lineRule="auto"/>
              <w:jc w:val="both"/>
              <w:rPr>
                <w:sz w:val="22"/>
                <w:szCs w:val="20"/>
                <w:lang w:eastAsia="zh-CN"/>
              </w:rPr>
            </w:pPr>
            <w:r>
              <w:rPr>
                <w:sz w:val="20"/>
                <w:szCs w:val="20"/>
                <w:lang w:eastAsia="zh-CN"/>
              </w:rPr>
              <w:t>Similar to Rel15/16, the resource pool should be a CSI-RS/SSB resource set. So, we prefer a clear wording as follows:</w:t>
            </w:r>
          </w:p>
          <w:p w14:paraId="1151FE54" w14:textId="77777777" w:rsidR="00A05BA6" w:rsidRPr="00F668E0" w:rsidRDefault="00A05BA6" w:rsidP="00A05BA6">
            <w:pPr>
              <w:pStyle w:val="af"/>
              <w:numPr>
                <w:ilvl w:val="1"/>
                <w:numId w:val="53"/>
              </w:numPr>
              <w:snapToGrid w:val="0"/>
              <w:spacing w:after="0" w:line="240" w:lineRule="auto"/>
              <w:jc w:val="both"/>
              <w:rPr>
                <w:sz w:val="22"/>
                <w:szCs w:val="20"/>
                <w:lang w:eastAsia="zh-CN"/>
              </w:rPr>
            </w:pPr>
            <w:r w:rsidRPr="00F668E0">
              <w:rPr>
                <w:sz w:val="20"/>
                <w:szCs w:val="20"/>
                <w:lang w:eastAsia="zh-CN"/>
              </w:rPr>
              <w:t>The candidate resource pool</w:t>
            </w:r>
            <w:r>
              <w:rPr>
                <w:sz w:val="20"/>
                <w:szCs w:val="20"/>
                <w:lang w:eastAsia="zh-CN"/>
              </w:rPr>
              <w:t xml:space="preserve"> </w:t>
            </w:r>
            <w:r w:rsidRPr="00743524">
              <w:rPr>
                <w:sz w:val="20"/>
                <w:szCs w:val="20"/>
                <w:highlight w:val="yellow"/>
                <w:lang w:eastAsia="zh-CN"/>
              </w:rPr>
              <w:t>corresponds to a CSI-RS/SSB resource set</w:t>
            </w:r>
            <w:r w:rsidRPr="00743524">
              <w:rPr>
                <w:strike/>
                <w:sz w:val="20"/>
                <w:szCs w:val="20"/>
                <w:lang w:eastAsia="zh-CN"/>
              </w:rPr>
              <w:t xml:space="preserve"> </w:t>
            </w:r>
            <w:r w:rsidRPr="00743524">
              <w:rPr>
                <w:strike/>
                <w:sz w:val="20"/>
                <w:szCs w:val="20"/>
                <w:highlight w:val="yellow"/>
                <w:lang w:eastAsia="zh-CN"/>
              </w:rPr>
              <w:t>is</w:t>
            </w:r>
            <w:r w:rsidRPr="00F668E0">
              <w:rPr>
                <w:sz w:val="20"/>
                <w:szCs w:val="20"/>
                <w:lang w:eastAsia="zh-CN"/>
              </w:rPr>
              <w:t xml:space="preserve"> configured via RRC</w:t>
            </w:r>
            <w:ins w:id="217" w:author="Eko Onggosanusi" w:date="2021-10-13T13:21:00Z">
              <w:r>
                <w:rPr>
                  <w:sz w:val="20"/>
                  <w:szCs w:val="20"/>
                  <w:lang w:eastAsia="zh-CN"/>
                </w:rPr>
                <w:t xml:space="preserve"> (details up to RAN2)</w:t>
              </w:r>
            </w:ins>
            <w:r w:rsidRPr="00F668E0">
              <w:rPr>
                <w:sz w:val="20"/>
                <w:szCs w:val="20"/>
                <w:lang w:eastAsia="zh-CN"/>
              </w:rPr>
              <w:t xml:space="preserve"> </w:t>
            </w:r>
            <w:del w:id="218" w:author="Eko Onggosanusi" w:date="2021-10-13T13:19:00Z">
              <w:r w:rsidRPr="00F668E0" w:rsidDel="00703EA9">
                <w:rPr>
                  <w:sz w:val="20"/>
                  <w:szCs w:val="20"/>
                  <w:lang w:eastAsia="zh-CN"/>
                </w:rPr>
                <w:delText>using CSI framework</w:delText>
              </w:r>
            </w:del>
          </w:p>
          <w:p w14:paraId="273B0BD0" w14:textId="77777777" w:rsidR="00A05BA6" w:rsidRPr="71CE799E" w:rsidRDefault="00A05BA6" w:rsidP="00FE1360">
            <w:pPr>
              <w:tabs>
                <w:tab w:val="left" w:pos="1902"/>
              </w:tabs>
              <w:snapToGrid w:val="0"/>
              <w:rPr>
                <w:sz w:val="18"/>
                <w:szCs w:val="18"/>
                <w:lang w:eastAsia="zh-CN"/>
              </w:rPr>
            </w:pPr>
          </w:p>
        </w:tc>
      </w:tr>
      <w:tr w:rsidR="005E3AA9" w14:paraId="5A80E2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C41D" w14:textId="05CC36D7" w:rsidR="005E3AA9" w:rsidRDefault="005E3AA9" w:rsidP="00FE1360">
            <w:pPr>
              <w:rPr>
                <w:rFonts w:eastAsia="SimSun"/>
                <w:sz w:val="18"/>
                <w:szCs w:val="18"/>
                <w:lang w:eastAsia="zh-CN"/>
              </w:rPr>
            </w:pPr>
            <w:r>
              <w:rPr>
                <w:rFonts w:eastAsia="SimSun"/>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3758" w14:textId="77777777" w:rsidR="005E3AA9" w:rsidRDefault="005E3AA9" w:rsidP="00A05BA6">
            <w:pPr>
              <w:tabs>
                <w:tab w:val="left" w:pos="1902"/>
              </w:tabs>
              <w:snapToGrid w:val="0"/>
              <w:rPr>
                <w:rFonts w:eastAsiaTheme="minorEastAsia"/>
                <w:bCs/>
                <w:sz w:val="18"/>
                <w:szCs w:val="18"/>
                <w:lang w:eastAsia="zh-CN"/>
              </w:rPr>
            </w:pPr>
            <w:r w:rsidRPr="005E3AA9">
              <w:rPr>
                <w:rFonts w:eastAsiaTheme="minorEastAsia"/>
                <w:bCs/>
                <w:sz w:val="18"/>
                <w:szCs w:val="18"/>
                <w:lang w:eastAsia="zh-CN"/>
              </w:rPr>
              <w:t>Support 5.A</w:t>
            </w:r>
            <w:r>
              <w:rPr>
                <w:rFonts w:eastAsiaTheme="minorEastAsia"/>
                <w:bCs/>
                <w:sz w:val="18"/>
                <w:szCs w:val="18"/>
                <w:lang w:eastAsia="zh-CN"/>
              </w:rPr>
              <w:t xml:space="preserve">. </w:t>
            </w:r>
          </w:p>
          <w:p w14:paraId="1A5F3949" w14:textId="77777777" w:rsidR="005E3AA9" w:rsidRDefault="005E3AA9" w:rsidP="00A05BA6">
            <w:pPr>
              <w:tabs>
                <w:tab w:val="left" w:pos="1902"/>
              </w:tabs>
              <w:snapToGrid w:val="0"/>
              <w:rPr>
                <w:rFonts w:eastAsiaTheme="minorEastAsia"/>
                <w:bCs/>
                <w:sz w:val="18"/>
                <w:szCs w:val="18"/>
                <w:lang w:eastAsia="zh-CN"/>
              </w:rPr>
            </w:pPr>
          </w:p>
          <w:p w14:paraId="72204195" w14:textId="72E7E8E7" w:rsidR="005E3AA9" w:rsidRPr="005E3AA9" w:rsidRDefault="005E3AA9" w:rsidP="00A05BA6">
            <w:pPr>
              <w:tabs>
                <w:tab w:val="left" w:pos="1902"/>
              </w:tabs>
              <w:snapToGrid w:val="0"/>
              <w:rPr>
                <w:rFonts w:eastAsiaTheme="minorEastAsia"/>
                <w:bCs/>
                <w:sz w:val="18"/>
                <w:szCs w:val="18"/>
                <w:lang w:eastAsia="zh-CN"/>
              </w:rPr>
            </w:pPr>
            <w:r>
              <w:rPr>
                <w:rFonts w:eastAsiaTheme="minorEastAsia"/>
                <w:bCs/>
                <w:sz w:val="18"/>
                <w:szCs w:val="18"/>
                <w:lang w:eastAsia="zh-CN"/>
              </w:rPr>
              <w:t>For 5.C we are ok with Alt. 4</w:t>
            </w:r>
          </w:p>
        </w:tc>
      </w:tr>
      <w:tr w:rsidR="00AF2ED7" w14:paraId="172A590F"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AE82" w14:textId="13F585E0" w:rsidR="00AF2ED7" w:rsidRDefault="00AF2ED7" w:rsidP="00FE1360">
            <w:pPr>
              <w:rPr>
                <w:rFonts w:eastAsia="SimSun"/>
                <w:sz w:val="18"/>
                <w:szCs w:val="18"/>
                <w:lang w:eastAsia="zh-CN"/>
              </w:rPr>
            </w:pPr>
            <w:r>
              <w:rPr>
                <w:rFonts w:eastAsia="SimSun"/>
                <w:sz w:val="18"/>
                <w:szCs w:val="18"/>
                <w:lang w:eastAsia="zh-CN"/>
              </w:rPr>
              <w:t>Lenovo/MotM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55A5" w14:textId="5A830181" w:rsidR="00AF2ED7" w:rsidRPr="005E3AA9" w:rsidRDefault="00AF2ED7" w:rsidP="00A05BA6">
            <w:pPr>
              <w:tabs>
                <w:tab w:val="left" w:pos="1902"/>
              </w:tabs>
              <w:snapToGrid w:val="0"/>
              <w:rPr>
                <w:rFonts w:eastAsiaTheme="minorEastAsia"/>
                <w:bCs/>
                <w:sz w:val="18"/>
                <w:szCs w:val="18"/>
                <w:lang w:eastAsia="zh-CN"/>
              </w:rPr>
            </w:pPr>
            <w:r>
              <w:rPr>
                <w:rFonts w:eastAsiaTheme="minorEastAsia"/>
                <w:bCs/>
                <w:sz w:val="18"/>
                <w:szCs w:val="18"/>
                <w:lang w:eastAsia="zh-CN"/>
              </w:rPr>
              <w:t xml:space="preserve">Proposal 5.A: </w:t>
            </w:r>
            <w:r w:rsidR="00DE320C">
              <w:rPr>
                <w:rFonts w:eastAsiaTheme="minorEastAsia"/>
                <w:bCs/>
                <w:sz w:val="18"/>
                <w:szCs w:val="18"/>
                <w:lang w:eastAsia="zh-CN"/>
              </w:rPr>
              <w:t>Support</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907F7" w14:textId="77777777" w:rsidR="00394C8F" w:rsidRDefault="00394C8F" w:rsidP="007458B4">
      <w:r>
        <w:separator/>
      </w:r>
    </w:p>
  </w:endnote>
  <w:endnote w:type="continuationSeparator" w:id="0">
    <w:p w14:paraId="2AAE41A4" w14:textId="77777777" w:rsidR="00394C8F" w:rsidRDefault="00394C8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918BC" w14:textId="77777777" w:rsidR="00394C8F" w:rsidRDefault="00394C8F" w:rsidP="007458B4">
      <w:r>
        <w:separator/>
      </w:r>
    </w:p>
  </w:footnote>
  <w:footnote w:type="continuationSeparator" w:id="0">
    <w:p w14:paraId="6E6CC381" w14:textId="77777777" w:rsidR="00394C8F" w:rsidRDefault="00394C8F"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045A1830"/>
    <w:multiLevelType w:val="hybridMultilevel"/>
    <w:tmpl w:val="42C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4B4EF0"/>
    <w:multiLevelType w:val="hybridMultilevel"/>
    <w:tmpl w:val="41F8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5"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30"/>
  </w:num>
  <w:num w:numId="26">
    <w:abstractNumId w:val="35"/>
  </w:num>
  <w:num w:numId="27">
    <w:abstractNumId w:val="29"/>
  </w:num>
  <w:num w:numId="28">
    <w:abstractNumId w:val="45"/>
  </w:num>
  <w:num w:numId="29">
    <w:abstractNumId w:val="39"/>
  </w:num>
  <w:num w:numId="30">
    <w:abstractNumId w:val="40"/>
  </w:num>
  <w:num w:numId="31">
    <w:abstractNumId w:val="44"/>
  </w:num>
  <w:num w:numId="32">
    <w:abstractNumId w:val="48"/>
  </w:num>
  <w:num w:numId="33">
    <w:abstractNumId w:val="32"/>
  </w:num>
  <w:num w:numId="34">
    <w:abstractNumId w:val="52"/>
  </w:num>
  <w:num w:numId="35">
    <w:abstractNumId w:val="31"/>
  </w:num>
  <w:num w:numId="36">
    <w:abstractNumId w:val="41"/>
  </w:num>
  <w:num w:numId="37">
    <w:abstractNumId w:val="24"/>
  </w:num>
  <w:num w:numId="38">
    <w:abstractNumId w:val="51"/>
  </w:num>
  <w:num w:numId="39">
    <w:abstractNumId w:val="50"/>
  </w:num>
  <w:num w:numId="40">
    <w:abstractNumId w:val="33"/>
  </w:num>
  <w:num w:numId="41">
    <w:abstractNumId w:val="53"/>
  </w:num>
  <w:num w:numId="42">
    <w:abstractNumId w:val="28"/>
  </w:num>
  <w:num w:numId="43">
    <w:abstractNumId w:val="37"/>
  </w:num>
  <w:num w:numId="44">
    <w:abstractNumId w:val="25"/>
  </w:num>
  <w:num w:numId="45">
    <w:abstractNumId w:val="36"/>
  </w:num>
  <w:num w:numId="46">
    <w:abstractNumId w:val="43"/>
  </w:num>
  <w:num w:numId="47">
    <w:abstractNumId w:val="34"/>
  </w:num>
  <w:num w:numId="48">
    <w:abstractNumId w:val="27"/>
  </w:num>
  <w:num w:numId="49">
    <w:abstractNumId w:val="42"/>
  </w:num>
  <w:num w:numId="50">
    <w:abstractNumId w:val="47"/>
  </w:num>
  <w:num w:numId="51">
    <w:abstractNumId w:val="46"/>
  </w:num>
  <w:num w:numId="52">
    <w:abstractNumId w:val="49"/>
  </w:num>
  <w:num w:numId="53">
    <w:abstractNumId w:val="38"/>
  </w:num>
  <w:num w:numId="54">
    <w:abstractNumId w:val="2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0F08C9"/>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E2B27"/>
    <w:rsid w:val="001F241A"/>
    <w:rsid w:val="001F459B"/>
    <w:rsid w:val="001F7807"/>
    <w:rsid w:val="00200008"/>
    <w:rsid w:val="00200CCB"/>
    <w:rsid w:val="002027BC"/>
    <w:rsid w:val="00215E90"/>
    <w:rsid w:val="002236E4"/>
    <w:rsid w:val="002242F0"/>
    <w:rsid w:val="00241D49"/>
    <w:rsid w:val="00242738"/>
    <w:rsid w:val="00245791"/>
    <w:rsid w:val="00253856"/>
    <w:rsid w:val="00260FA1"/>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19C"/>
    <w:rsid w:val="002F75B1"/>
    <w:rsid w:val="002F7E5F"/>
    <w:rsid w:val="003024DD"/>
    <w:rsid w:val="00310269"/>
    <w:rsid w:val="00311112"/>
    <w:rsid w:val="0031491E"/>
    <w:rsid w:val="00316771"/>
    <w:rsid w:val="003416D2"/>
    <w:rsid w:val="003478A4"/>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2B49"/>
    <w:rsid w:val="005830C3"/>
    <w:rsid w:val="0059155B"/>
    <w:rsid w:val="00591EAB"/>
    <w:rsid w:val="00596F0E"/>
    <w:rsid w:val="005A227A"/>
    <w:rsid w:val="005A301B"/>
    <w:rsid w:val="005A37DA"/>
    <w:rsid w:val="005A3BB1"/>
    <w:rsid w:val="005B0713"/>
    <w:rsid w:val="005B13A1"/>
    <w:rsid w:val="005C3275"/>
    <w:rsid w:val="005C4D02"/>
    <w:rsid w:val="005C5976"/>
    <w:rsid w:val="005C72F1"/>
    <w:rsid w:val="005D286D"/>
    <w:rsid w:val="005D61DF"/>
    <w:rsid w:val="005D6533"/>
    <w:rsid w:val="005E2FD0"/>
    <w:rsid w:val="005E3AA9"/>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0D4"/>
    <w:rsid w:val="00713532"/>
    <w:rsid w:val="00713775"/>
    <w:rsid w:val="00715EEF"/>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011A"/>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E0541"/>
    <w:rsid w:val="009E3018"/>
    <w:rsid w:val="00A00604"/>
    <w:rsid w:val="00A05BA6"/>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2ED7"/>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5973"/>
    <w:rsid w:val="00BB6A18"/>
    <w:rsid w:val="00BB6E66"/>
    <w:rsid w:val="00BC3496"/>
    <w:rsid w:val="00BC699F"/>
    <w:rsid w:val="00BD02AE"/>
    <w:rsid w:val="00BD62CA"/>
    <w:rsid w:val="00BE4783"/>
    <w:rsid w:val="00BE6620"/>
    <w:rsid w:val="00BE67E3"/>
    <w:rsid w:val="00C00416"/>
    <w:rsid w:val="00C00F2E"/>
    <w:rsid w:val="00C03112"/>
    <w:rsid w:val="00C03DA0"/>
    <w:rsid w:val="00C05C41"/>
    <w:rsid w:val="00C064A8"/>
    <w:rsid w:val="00C1638B"/>
    <w:rsid w:val="00C2637A"/>
    <w:rsid w:val="00C36041"/>
    <w:rsid w:val="00C539B6"/>
    <w:rsid w:val="00C551F0"/>
    <w:rsid w:val="00C6069C"/>
    <w:rsid w:val="00C62610"/>
    <w:rsid w:val="00C650B8"/>
    <w:rsid w:val="00C72BBB"/>
    <w:rsid w:val="00C80449"/>
    <w:rsid w:val="00C82F7E"/>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3367A"/>
    <w:rsid w:val="00E359D8"/>
    <w:rsid w:val="00E443BD"/>
    <w:rsid w:val="00E463C6"/>
    <w:rsid w:val="00E53638"/>
    <w:rsid w:val="00E5462F"/>
    <w:rsid w:val="00E569D6"/>
    <w:rsid w:val="00E61B20"/>
    <w:rsid w:val="00E625BC"/>
    <w:rsid w:val="00E6563A"/>
    <w:rsid w:val="00E703CA"/>
    <w:rsid w:val="00E73DAE"/>
    <w:rsid w:val="00E74D3A"/>
    <w:rsid w:val="00E76568"/>
    <w:rsid w:val="00E8123E"/>
    <w:rsid w:val="00E8134B"/>
    <w:rsid w:val="00E81FC8"/>
    <w:rsid w:val="00E87766"/>
    <w:rsid w:val="00E87CB8"/>
    <w:rsid w:val="00E94A5C"/>
    <w:rsid w:val="00EA5F5C"/>
    <w:rsid w:val="00EA7154"/>
    <w:rsid w:val="00EB6835"/>
    <w:rsid w:val="00EC5527"/>
    <w:rsid w:val="00EC6B09"/>
    <w:rsid w:val="00ED4407"/>
    <w:rsid w:val="00EE2291"/>
    <w:rsid w:val="00EF2AC8"/>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0A1C"/>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0FE1360"/>
    <w:rsid w:val="00FE14DA"/>
    <w:rsid w:val="00FE5908"/>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DF06B-98D2-472B-9B74-B61BA2B73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16983</Words>
  <Characters>96808</Characters>
  <Application>Microsoft Office Word</Application>
  <DocSecurity>0</DocSecurity>
  <Lines>806</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2021-10-13T23:09:00Z</dcterms:created>
  <dcterms:modified xsi:type="dcterms:W3CDTF">2021-10-13T23:09:00Z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