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D6AD96E"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(for SRS in different CCs), Ericsson, Intel, vivo (including SRS in one or more CCs triggered by one or more DCIs)</w:t>
      </w:r>
      <w:r w:rsidR="00BB5817">
        <w:rPr>
          <w:rFonts w:eastAsia="微软雅黑"/>
          <w:sz w:val="20"/>
          <w:szCs w:val="20"/>
        </w:rPr>
        <w:t xml:space="preserve">, Futurewei (including </w:t>
      </w:r>
      <w:r w:rsidR="00BB5817" w:rsidRPr="00DA2F30">
        <w:rPr>
          <w:rFonts w:eastAsia="微软雅黑"/>
          <w:sz w:val="20"/>
          <w:szCs w:val="20"/>
        </w:rPr>
        <w:t>SRS and other UL channels/signals</w:t>
      </w:r>
      <w:r w:rsidR="00BB5817">
        <w:rPr>
          <w:rFonts w:eastAsia="微软雅黑"/>
          <w:sz w:val="20"/>
          <w:szCs w:val="20"/>
        </w:rPr>
        <w:t>), Huawei/HiSilicon, Spreadtrum, Intel (for SRS in different CCs), CATT (for different CCs)</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14BDE78F" w14:textId="621B191D" w:rsidR="000F28A1" w:rsidRPr="00DC1C76" w:rsidRDefault="000F28A1">
      <w:pPr>
        <w:widowControl w:val="0"/>
        <w:snapToGrid w:val="0"/>
        <w:spacing w:before="120" w:after="120" w:line="240" w:lineRule="auto"/>
        <w:jc w:val="both"/>
        <w:rPr>
          <w:rFonts w:eastAsia="微软雅黑"/>
          <w:sz w:val="20"/>
          <w:szCs w:val="20"/>
        </w:rPr>
      </w:pPr>
      <w:r>
        <w:rPr>
          <w:rFonts w:eastAsia="微软雅黑"/>
          <w:sz w:val="20"/>
          <w:szCs w:val="20"/>
        </w:rPr>
        <w:t xml:space="preserve">Prefer to study first: LGE, </w:t>
      </w:r>
      <w:r w:rsidR="007F75D6">
        <w:rPr>
          <w:rFonts w:eastAsia="微软雅黑"/>
          <w:sz w:val="20"/>
          <w:szCs w:val="20"/>
        </w:rPr>
        <w:t>Lenovo/MotM, Media</w:t>
      </w:r>
      <w:r w:rsidR="007F75D6">
        <w:rPr>
          <w:rFonts w:eastAsia="微软雅黑" w:hint="eastAsia"/>
          <w:sz w:val="20"/>
          <w:szCs w:val="20"/>
        </w:rPr>
        <w:t>Tek</w:t>
      </w:r>
      <w:r w:rsidR="007F75D6">
        <w:rPr>
          <w:rFonts w:eastAsia="微软雅黑"/>
          <w:sz w:val="20"/>
          <w:szCs w:val="20"/>
        </w:rPr>
        <w:t>, Xiaomi, Samsung</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w:t>
      </w:r>
      <w:r w:rsidR="00986205">
        <w:rPr>
          <w:rFonts w:eastAsia="微软雅黑"/>
          <w:sz w:val="20"/>
          <w:szCs w:val="20"/>
        </w:rPr>
        <w:lastRenderedPageBreak/>
        <w:t xml:space="preserve">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A6F1F8B"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9" w14:textId="52ACCE31" w:rsidR="004233EB" w:rsidRDefault="004233EB" w:rsidP="003F76D2">
            <w:pPr>
              <w:widowControl w:val="0"/>
              <w:snapToGrid w:val="0"/>
              <w:spacing w:before="120" w:after="120" w:line="240" w:lineRule="auto"/>
              <w:rPr>
                <w:rFonts w:eastAsia="微软雅黑"/>
                <w:sz w:val="20"/>
                <w:szCs w:val="20"/>
              </w:rPr>
            </w:pPr>
          </w:p>
        </w:tc>
      </w:tr>
      <w:tr w:rsidR="004233EB" w14:paraId="00E3AE4D" w14:textId="77777777" w:rsidTr="00515754">
        <w:tc>
          <w:tcPr>
            <w:tcW w:w="2405" w:type="dxa"/>
          </w:tcPr>
          <w:p w14:paraId="00E3AE4B" w14:textId="10BF93C4"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C" w14:textId="2419E6FF" w:rsidR="00106415" w:rsidRDefault="00106415" w:rsidP="005E018B">
            <w:pPr>
              <w:widowControl w:val="0"/>
              <w:snapToGrid w:val="0"/>
              <w:spacing w:before="120" w:after="120" w:line="240" w:lineRule="auto"/>
              <w:rPr>
                <w:rFonts w:eastAsia="微软雅黑"/>
                <w:sz w:val="20"/>
                <w:szCs w:val="20"/>
              </w:rPr>
            </w:pPr>
          </w:p>
        </w:tc>
      </w:tr>
      <w:tr w:rsidR="004233EB" w14:paraId="00E3AE50" w14:textId="77777777" w:rsidTr="00515754">
        <w:tc>
          <w:tcPr>
            <w:tcW w:w="2405" w:type="dxa"/>
          </w:tcPr>
          <w:p w14:paraId="00E3AE4E" w14:textId="79F8E64B"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F" w14:textId="2094727D" w:rsidR="004233EB" w:rsidRDefault="004233EB" w:rsidP="00515754">
            <w:pPr>
              <w:widowControl w:val="0"/>
              <w:snapToGrid w:val="0"/>
              <w:spacing w:before="120" w:after="120" w:line="240" w:lineRule="auto"/>
              <w:rPr>
                <w:rFonts w:eastAsia="微软雅黑"/>
                <w:sz w:val="20"/>
                <w:szCs w:val="20"/>
              </w:rPr>
            </w:pP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 xml:space="preserve">C-1: Re-purpose ‘TPC command for </w:t>
            </w:r>
            <w:r w:rsidRPr="008416C1">
              <w:rPr>
                <w:rFonts w:eastAsia="微软雅黑"/>
                <w:iCs/>
                <w:sz w:val="20"/>
                <w:szCs w:val="20"/>
              </w:rPr>
              <w:lastRenderedPageBreak/>
              <w:t>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lastRenderedPageBreak/>
              <w:t xml:space="preserve">Qualcomm (for each CC), </w:t>
            </w:r>
            <w:r w:rsidRPr="006C43A0">
              <w:rPr>
                <w:rFonts w:eastAsia="微软雅黑"/>
                <w:iCs/>
                <w:sz w:val="20"/>
                <w:szCs w:val="20"/>
              </w:rPr>
              <w:lastRenderedPageBreak/>
              <w:t>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bookmarkStart w:id="2" w:name="_GoBack"/>
      <w:bookmarkEnd w:id="2"/>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 alternative proposal raised by Futurewei is given below.</w:t>
      </w:r>
    </w:p>
    <w:p w14:paraId="54BE0D20" w14:textId="77777777" w:rsidR="008A218C" w:rsidRDefault="008A218C" w:rsidP="008A218C">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p>
    <w:p w14:paraId="1A0A679C" w14:textId="77777777" w:rsidR="008A218C" w:rsidRDefault="008A218C" w:rsidP="008A218C">
      <w:pPr>
        <w:pStyle w:val="aff"/>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77777777" w:rsidR="008A218C" w:rsidRPr="008A218C" w:rsidRDefault="008A218C">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68FF193E"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EB" w14:textId="3719848E" w:rsidR="00BF7B35" w:rsidRDefault="00BF7B35" w:rsidP="00515754">
            <w:pPr>
              <w:widowControl w:val="0"/>
              <w:snapToGrid w:val="0"/>
              <w:spacing w:before="120" w:after="120" w:line="240" w:lineRule="auto"/>
              <w:rPr>
                <w:rFonts w:eastAsia="微软雅黑"/>
                <w:sz w:val="20"/>
                <w:szCs w:val="20"/>
              </w:rPr>
            </w:pPr>
          </w:p>
        </w:tc>
      </w:tr>
      <w:tr w:rsidR="00BF7B35" w14:paraId="00E3AEEF" w14:textId="77777777" w:rsidTr="00515754">
        <w:tc>
          <w:tcPr>
            <w:tcW w:w="2405" w:type="dxa"/>
          </w:tcPr>
          <w:p w14:paraId="00E3AEED" w14:textId="2E47F0E2"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EE" w14:textId="1D7861AD" w:rsidR="00BF7B35" w:rsidRDefault="00BF7B35" w:rsidP="00515754">
            <w:pPr>
              <w:widowControl w:val="0"/>
              <w:snapToGrid w:val="0"/>
              <w:spacing w:before="120" w:after="120" w:line="240" w:lineRule="auto"/>
              <w:rPr>
                <w:rFonts w:eastAsia="微软雅黑"/>
                <w:sz w:val="20"/>
                <w:szCs w:val="20"/>
              </w:rPr>
            </w:pPr>
          </w:p>
        </w:tc>
      </w:tr>
      <w:tr w:rsidR="00BF7B35" w14:paraId="00E3AEF2" w14:textId="77777777" w:rsidTr="00515754">
        <w:tc>
          <w:tcPr>
            <w:tcW w:w="2405" w:type="dxa"/>
          </w:tcPr>
          <w:p w14:paraId="00E3AEF0" w14:textId="685E8F81"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F1" w14:textId="18F0C913" w:rsidR="00EF5E1E" w:rsidRDefault="00EF5E1E" w:rsidP="00EF5E1E">
            <w:pPr>
              <w:widowControl w:val="0"/>
              <w:snapToGrid w:val="0"/>
              <w:spacing w:before="120" w:after="120" w:line="240" w:lineRule="auto"/>
              <w:rPr>
                <w:rFonts w:eastAsia="微软雅黑"/>
                <w:sz w:val="20"/>
                <w:szCs w:val="20"/>
              </w:rPr>
            </w:pP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7D1013A6"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 xml:space="preserve">Support indicating </w:t>
      </w:r>
      <w:r w:rsidR="00A91755" w:rsidRPr="00A91755">
        <w:rPr>
          <w:rFonts w:eastAsia="微软雅黑"/>
          <w:i/>
          <w:sz w:val="20"/>
          <w:szCs w:val="20"/>
        </w:rPr>
        <w:t>the preferred antenna switching configuration</w:t>
      </w:r>
      <w:r w:rsidR="00AE6022" w:rsidRPr="00D65341">
        <w:rPr>
          <w:rFonts w:eastAsia="微软雅黑"/>
          <w:i/>
          <w:sz w:val="20"/>
          <w:szCs w:val="20"/>
        </w:rPr>
        <w:t xml:space="preserve"> for SRS antenna switching via </w:t>
      </w:r>
      <w:r w:rsidR="0088351F">
        <w:rPr>
          <w:rFonts w:eastAsia="微软雅黑"/>
          <w:i/>
          <w:sz w:val="20"/>
          <w:szCs w:val="20"/>
        </w:rPr>
        <w:t>dynamic signaling</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375EC701" w:rsidR="00AE6022" w:rsidRDefault="00A91755"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00AE6022" w:rsidRPr="00724771">
        <w:rPr>
          <w:rFonts w:eastAsia="微软雅黑"/>
          <w:i/>
          <w:sz w:val="20"/>
          <w:szCs w:val="20"/>
        </w:rPr>
        <w:t>UE reporting of the preferred antenna switching configuration</w:t>
      </w:r>
    </w:p>
    <w:p w14:paraId="06BD2283" w14:textId="4298DCA0" w:rsidR="00A848AB" w:rsidRDefault="00A848AB"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Adopt at least one of the following for the dynamic signaling</w:t>
      </w:r>
    </w:p>
    <w:p w14:paraId="7D54C668" w14:textId="271CCB0A" w:rsidR="00A848AB" w:rsidRDefault="00A848AB" w:rsidP="00A848AB">
      <w:pPr>
        <w:pStyle w:val="aff"/>
        <w:widowControl w:val="0"/>
        <w:numPr>
          <w:ilvl w:val="1"/>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1: MAC CE</w:t>
      </w:r>
    </w:p>
    <w:p w14:paraId="16A5F8A1" w14:textId="2CCCA9DC" w:rsidR="00A848AB" w:rsidRDefault="00A848AB" w:rsidP="00A848A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Alt 2: DCI</w:t>
      </w:r>
    </w:p>
    <w:p w14:paraId="29A8CE97" w14:textId="0D7803B5" w:rsidR="00855875" w:rsidRPr="002E4D93" w:rsidRDefault="00855875" w:rsidP="00AE6022">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2FAAA305"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Pr>
          <w:rFonts w:eastAsia="微软雅黑"/>
          <w:sz w:val="20"/>
          <w:szCs w:val="20"/>
          <w:lang w:val="fr-FR"/>
        </w:rPr>
        <w:t>, Xiaomi</w:t>
      </w:r>
      <w:r w:rsidRPr="009F5D48">
        <w:rPr>
          <w:rFonts w:eastAsia="微软雅黑"/>
          <w:sz w:val="20"/>
          <w:szCs w:val="20"/>
          <w:lang w:val="fr-FR"/>
        </w:rPr>
        <w:t>, Huawei</w:t>
      </w:r>
      <w:r>
        <w:rPr>
          <w:rFonts w:eastAsia="微软雅黑"/>
          <w:sz w:val="20"/>
          <w:szCs w:val="20"/>
          <w:lang w:val="fr-FR"/>
        </w:rPr>
        <w:t>/HiSilicon</w:t>
      </w:r>
      <w:r w:rsidRPr="009F5D48">
        <w:rPr>
          <w:rFonts w:eastAsia="微软雅黑"/>
          <w:sz w:val="20"/>
          <w:szCs w:val="20"/>
          <w:lang w:val="fr-FR"/>
        </w:rPr>
        <w:t xml:space="preserve"> (MAC</w:t>
      </w:r>
      <w:r>
        <w:rPr>
          <w:rFonts w:eastAsia="微软雅黑"/>
          <w:sz w:val="20"/>
          <w:szCs w:val="20"/>
          <w:lang w:val="fr-FR"/>
        </w:rPr>
        <w:t xml:space="preserve"> </w:t>
      </w:r>
      <w:r w:rsidRPr="009F5D48">
        <w:rPr>
          <w:rFonts w:eastAsia="微软雅黑"/>
          <w:sz w:val="20"/>
          <w:szCs w:val="20"/>
          <w:lang w:val="fr-FR"/>
        </w:rPr>
        <w:t>CE), ZTE, Lenovo</w:t>
      </w:r>
      <w:r>
        <w:rPr>
          <w:rFonts w:eastAsia="微软雅黑"/>
          <w:sz w:val="20"/>
          <w:szCs w:val="20"/>
          <w:lang w:val="fr-FR"/>
        </w:rPr>
        <w:t xml:space="preserve">/MotM, Intel (DCI), Futurewei, InterDigital, </w:t>
      </w:r>
      <w:r w:rsidR="000B0E39">
        <w:rPr>
          <w:rFonts w:eastAsia="微软雅黑"/>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EA4933">
        <w:rPr>
          <w:rFonts w:eastAsia="微软雅黑"/>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3152F3B"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4C" w14:textId="32B77521" w:rsidR="00A54B5D" w:rsidRDefault="00A54B5D" w:rsidP="00515754">
            <w:pPr>
              <w:widowControl w:val="0"/>
              <w:snapToGrid w:val="0"/>
              <w:spacing w:before="120" w:after="120" w:line="240" w:lineRule="auto"/>
              <w:rPr>
                <w:rFonts w:eastAsia="微软雅黑"/>
                <w:sz w:val="20"/>
                <w:szCs w:val="20"/>
              </w:rPr>
            </w:pPr>
          </w:p>
        </w:tc>
      </w:tr>
      <w:tr w:rsidR="00066B0A" w14:paraId="00E3AF50" w14:textId="77777777" w:rsidTr="00515754">
        <w:tc>
          <w:tcPr>
            <w:tcW w:w="2405" w:type="dxa"/>
          </w:tcPr>
          <w:p w14:paraId="00E3AF4E" w14:textId="0ACD0085"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4F" w14:textId="1EC1C5C6" w:rsidR="008A0314" w:rsidRDefault="008A0314" w:rsidP="00515754">
            <w:pPr>
              <w:widowControl w:val="0"/>
              <w:snapToGrid w:val="0"/>
              <w:spacing w:before="120" w:after="120" w:line="240" w:lineRule="auto"/>
              <w:rPr>
                <w:rFonts w:eastAsia="微软雅黑"/>
                <w:sz w:val="20"/>
                <w:szCs w:val="20"/>
              </w:rPr>
            </w:pPr>
          </w:p>
        </w:tc>
      </w:tr>
      <w:tr w:rsidR="00066B0A" w14:paraId="00E3AF53" w14:textId="77777777" w:rsidTr="00515754">
        <w:tc>
          <w:tcPr>
            <w:tcW w:w="2405" w:type="dxa"/>
          </w:tcPr>
          <w:p w14:paraId="00E3AF51" w14:textId="20F50506"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52" w14:textId="75999BA5" w:rsidR="00066B0A" w:rsidRDefault="00066B0A" w:rsidP="006F57C1">
            <w:pPr>
              <w:widowControl w:val="0"/>
              <w:snapToGrid w:val="0"/>
              <w:spacing w:before="120" w:after="120" w:line="240" w:lineRule="auto"/>
              <w:rPr>
                <w:rFonts w:eastAsia="微软雅黑"/>
                <w:sz w:val="20"/>
                <w:szCs w:val="20"/>
              </w:rPr>
            </w:pP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Default="00201A82">
      <w:pPr>
        <w:widowControl w:val="0"/>
        <w:snapToGrid w:val="0"/>
        <w:spacing w:before="120" w:after="120" w:line="240" w:lineRule="auto"/>
        <w:jc w:val="both"/>
        <w:rPr>
          <w:rFonts w:eastAsia="微软雅黑"/>
          <w:sz w:val="20"/>
          <w:szCs w:val="20"/>
          <w:lang w:val="fi-FI"/>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7E409E">
        <w:rPr>
          <w:rFonts w:eastAsia="微软雅黑"/>
          <w:sz w:val="20"/>
          <w:szCs w:val="20"/>
          <w:lang w:val="fi-FI"/>
        </w:rPr>
        <w:t>Ericsson, Xiaomi, Nokia/NSB, Huawei/HiSilicon</w:t>
      </w:r>
      <w:r>
        <w:rPr>
          <w:rFonts w:eastAsia="微软雅黑"/>
          <w:sz w:val="20"/>
          <w:szCs w:val="20"/>
          <w:lang w:val="fi-FI"/>
        </w:rPr>
        <w:t>, CATT, Intel, ZTE</w:t>
      </w:r>
      <w:r w:rsidR="008F4F51">
        <w:rPr>
          <w:rFonts w:eastAsia="微软雅黑"/>
          <w:sz w:val="20"/>
          <w:szCs w:val="20"/>
          <w:lang w:val="fi-FI"/>
        </w:rPr>
        <w:t>, NTT DOCOMO</w:t>
      </w:r>
    </w:p>
    <w:p w14:paraId="5626FD9C" w14:textId="61217295" w:rsidR="000912BF" w:rsidRDefault="00626A25">
      <w:pPr>
        <w:widowControl w:val="0"/>
        <w:snapToGrid w:val="0"/>
        <w:spacing w:before="120" w:after="120" w:line="240" w:lineRule="auto"/>
        <w:jc w:val="both"/>
        <w:rPr>
          <w:rFonts w:eastAsia="微软雅黑"/>
          <w:sz w:val="20"/>
          <w:szCs w:val="20"/>
        </w:rPr>
      </w:pPr>
      <w:r>
        <w:rPr>
          <w:rFonts w:eastAsia="微软雅黑"/>
          <w:sz w:val="20"/>
          <w:szCs w:val="20"/>
          <w:lang w:val="fi-FI"/>
        </w:rPr>
        <w:t>Concern: OPPO, Lenovo/MotM</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467D9ECF" w:rsidR="00A175CA" w:rsidRDefault="00A175CA" w:rsidP="006E3B3D">
            <w:pPr>
              <w:widowControl w:val="0"/>
              <w:snapToGrid w:val="0"/>
              <w:spacing w:before="120" w:after="120" w:line="240" w:lineRule="auto"/>
              <w:rPr>
                <w:rFonts w:eastAsia="微软雅黑"/>
                <w:sz w:val="20"/>
                <w:szCs w:val="20"/>
              </w:rPr>
            </w:pPr>
          </w:p>
        </w:tc>
        <w:tc>
          <w:tcPr>
            <w:tcW w:w="6945" w:type="dxa"/>
          </w:tcPr>
          <w:p w14:paraId="3A31AB1E" w14:textId="55194BCB" w:rsidR="009634AA" w:rsidRPr="009634AA" w:rsidRDefault="009634AA" w:rsidP="006E3B3D">
            <w:pPr>
              <w:widowControl w:val="0"/>
              <w:snapToGrid w:val="0"/>
              <w:spacing w:before="120" w:after="120" w:line="240" w:lineRule="auto"/>
              <w:jc w:val="both"/>
              <w:rPr>
                <w:rFonts w:eastAsia="微软雅黑"/>
                <w:sz w:val="20"/>
                <w:szCs w:val="20"/>
              </w:rPr>
            </w:pPr>
          </w:p>
        </w:tc>
      </w:tr>
      <w:tr w:rsidR="00A175CA" w14:paraId="54E90B5C" w14:textId="77777777" w:rsidTr="006E3B3D">
        <w:tc>
          <w:tcPr>
            <w:tcW w:w="2405" w:type="dxa"/>
          </w:tcPr>
          <w:p w14:paraId="73EFA8E6" w14:textId="77732A60" w:rsidR="00A175CA" w:rsidRDefault="00A175CA" w:rsidP="006E3B3D">
            <w:pPr>
              <w:widowControl w:val="0"/>
              <w:snapToGrid w:val="0"/>
              <w:spacing w:before="120" w:after="120" w:line="240" w:lineRule="auto"/>
              <w:rPr>
                <w:rFonts w:eastAsia="微软雅黑"/>
                <w:sz w:val="20"/>
                <w:szCs w:val="20"/>
              </w:rPr>
            </w:pPr>
          </w:p>
        </w:tc>
        <w:tc>
          <w:tcPr>
            <w:tcW w:w="6945" w:type="dxa"/>
          </w:tcPr>
          <w:p w14:paraId="4C2F7D5C" w14:textId="5C4252E6" w:rsidR="00A175CA" w:rsidRDefault="00A175CA" w:rsidP="008318E4">
            <w:pPr>
              <w:widowControl w:val="0"/>
              <w:snapToGrid w:val="0"/>
              <w:spacing w:before="120" w:after="120" w:line="240" w:lineRule="auto"/>
              <w:rPr>
                <w:rFonts w:eastAsia="微软雅黑"/>
                <w:sz w:val="20"/>
                <w:szCs w:val="20"/>
              </w:rPr>
            </w:pPr>
          </w:p>
        </w:tc>
      </w:tr>
      <w:tr w:rsidR="0077131B" w14:paraId="27F40E7A" w14:textId="77777777" w:rsidTr="006E3B3D">
        <w:tc>
          <w:tcPr>
            <w:tcW w:w="2405" w:type="dxa"/>
          </w:tcPr>
          <w:p w14:paraId="0B65B991" w14:textId="2ACC5A75" w:rsidR="0077131B" w:rsidRDefault="0077131B" w:rsidP="0077131B">
            <w:pPr>
              <w:widowControl w:val="0"/>
              <w:snapToGrid w:val="0"/>
              <w:spacing w:before="120" w:after="120" w:line="240" w:lineRule="auto"/>
              <w:rPr>
                <w:rFonts w:eastAsia="微软雅黑"/>
                <w:sz w:val="20"/>
                <w:szCs w:val="20"/>
              </w:rPr>
            </w:pPr>
          </w:p>
        </w:tc>
        <w:tc>
          <w:tcPr>
            <w:tcW w:w="6945" w:type="dxa"/>
          </w:tcPr>
          <w:p w14:paraId="588CADCA" w14:textId="182DA980" w:rsidR="0077131B" w:rsidRDefault="0077131B" w:rsidP="0077131B">
            <w:pPr>
              <w:widowControl w:val="0"/>
              <w:snapToGrid w:val="0"/>
              <w:spacing w:before="120" w:after="120" w:line="240" w:lineRule="auto"/>
              <w:rPr>
                <w:rFonts w:eastAsia="微软雅黑"/>
                <w:sz w:val="20"/>
                <w:szCs w:val="20"/>
              </w:rPr>
            </w:pP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2C0777" w:rsidRDefault="0020298E" w:rsidP="00E659EB">
      <w:pPr>
        <w:pStyle w:val="aff"/>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2667E19F" w:rsidR="006A44B5" w:rsidRDefault="006A44B5" w:rsidP="006E3B3D">
            <w:pPr>
              <w:widowControl w:val="0"/>
              <w:snapToGrid w:val="0"/>
              <w:spacing w:before="120" w:after="120" w:line="240" w:lineRule="auto"/>
              <w:rPr>
                <w:rFonts w:eastAsia="微软雅黑"/>
                <w:sz w:val="20"/>
                <w:szCs w:val="20"/>
              </w:rPr>
            </w:pPr>
          </w:p>
        </w:tc>
        <w:tc>
          <w:tcPr>
            <w:tcW w:w="8200" w:type="dxa"/>
          </w:tcPr>
          <w:p w14:paraId="553BF5CD" w14:textId="119F46B2" w:rsidR="006A44B5" w:rsidRPr="006904A5" w:rsidRDefault="006A44B5" w:rsidP="00151FBE">
            <w:pPr>
              <w:pStyle w:val="a4"/>
              <w:rPr>
                <w:b w:val="0"/>
                <w:lang w:eastAsia="zh-CN"/>
              </w:rPr>
            </w:pPr>
          </w:p>
        </w:tc>
      </w:tr>
      <w:tr w:rsidR="008319F3" w14:paraId="337D4DEF" w14:textId="77777777" w:rsidTr="009A0246">
        <w:tc>
          <w:tcPr>
            <w:tcW w:w="1150" w:type="dxa"/>
          </w:tcPr>
          <w:p w14:paraId="6CA71491" w14:textId="20E586B7" w:rsidR="008319F3" w:rsidRDefault="008319F3" w:rsidP="008319F3">
            <w:pPr>
              <w:widowControl w:val="0"/>
              <w:snapToGrid w:val="0"/>
              <w:spacing w:before="120" w:after="120" w:line="240" w:lineRule="auto"/>
              <w:rPr>
                <w:rFonts w:eastAsia="微软雅黑"/>
                <w:sz w:val="20"/>
                <w:szCs w:val="20"/>
              </w:rPr>
            </w:pPr>
          </w:p>
        </w:tc>
        <w:tc>
          <w:tcPr>
            <w:tcW w:w="8200" w:type="dxa"/>
          </w:tcPr>
          <w:p w14:paraId="60CCFFC7" w14:textId="7A476B1F" w:rsidR="008319F3" w:rsidRDefault="008319F3" w:rsidP="008319F3">
            <w:pPr>
              <w:widowControl w:val="0"/>
              <w:snapToGrid w:val="0"/>
              <w:spacing w:before="120" w:after="120" w:line="240" w:lineRule="auto"/>
              <w:rPr>
                <w:rFonts w:eastAsia="微软雅黑"/>
                <w:sz w:val="20"/>
                <w:szCs w:val="20"/>
              </w:rPr>
            </w:pPr>
          </w:p>
        </w:tc>
      </w:tr>
      <w:tr w:rsidR="00E82CFA" w14:paraId="59B35405" w14:textId="77777777" w:rsidTr="009A0246">
        <w:tc>
          <w:tcPr>
            <w:tcW w:w="1150" w:type="dxa"/>
          </w:tcPr>
          <w:p w14:paraId="69239F17" w14:textId="30E1B1E6" w:rsidR="00E82CFA" w:rsidRPr="00E82CFA" w:rsidRDefault="00E82CFA" w:rsidP="00E82CFA">
            <w:pPr>
              <w:widowControl w:val="0"/>
              <w:snapToGrid w:val="0"/>
              <w:spacing w:before="120" w:after="120" w:line="240" w:lineRule="auto"/>
              <w:rPr>
                <w:rFonts w:eastAsia="微软雅黑"/>
                <w:sz w:val="20"/>
                <w:szCs w:val="20"/>
              </w:rPr>
            </w:pPr>
          </w:p>
        </w:tc>
        <w:tc>
          <w:tcPr>
            <w:tcW w:w="8200" w:type="dxa"/>
          </w:tcPr>
          <w:p w14:paraId="169B2A52" w14:textId="206DD71A" w:rsidR="00E82CFA" w:rsidRPr="00E82CFA" w:rsidRDefault="00E82CFA" w:rsidP="00E82CFA">
            <w:pPr>
              <w:widowControl w:val="0"/>
              <w:snapToGrid w:val="0"/>
              <w:spacing w:before="120" w:after="120" w:line="240" w:lineRule="auto"/>
              <w:rPr>
                <w:rFonts w:eastAsia="微软雅黑"/>
                <w:sz w:val="20"/>
                <w:szCs w:val="20"/>
              </w:rPr>
            </w:pP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0AAFC071" w:rsidR="000A757B" w:rsidRDefault="00DB0624" w:rsidP="00DB0624">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w:t>
      </w:r>
      <w:r w:rsidR="004B2D59" w:rsidRPr="00DB0624">
        <w:rPr>
          <w:rFonts w:eastAsia="微软雅黑"/>
          <w:i/>
          <w:sz w:val="20"/>
          <w:szCs w:val="20"/>
        </w:rPr>
        <w:t>presen</w:t>
      </w:r>
      <w:r w:rsidR="004B2D59">
        <w:rPr>
          <w:rFonts w:eastAsia="微软雅黑"/>
          <w:i/>
          <w:sz w:val="20"/>
          <w:szCs w:val="20"/>
        </w:rPr>
        <w:t>ce</w:t>
      </w:r>
      <w:r w:rsidR="004B2D59" w:rsidRPr="00DB0624">
        <w:rPr>
          <w:rFonts w:eastAsia="微软雅黑"/>
          <w:i/>
          <w:sz w:val="20"/>
          <w:szCs w:val="20"/>
        </w:rPr>
        <w:t xml:space="preserve"> </w:t>
      </w:r>
      <w:r w:rsidRPr="00DB0624">
        <w:rPr>
          <w:rFonts w:eastAsia="微软雅黑"/>
          <w:i/>
          <w:sz w:val="20"/>
          <w:szCs w:val="20"/>
        </w:rPr>
        <w:t xml:space="preserve">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2-0: Do not introduce guard symbols between SRS resource sets, i.e., guard symbols only appears </w:t>
      </w:r>
      <w:r>
        <w:rPr>
          <w:rFonts w:eastAsia="微软雅黑"/>
          <w:i/>
          <w:sz w:val="20"/>
          <w:szCs w:val="20"/>
        </w:rPr>
        <w:lastRenderedPageBreak/>
        <w:t>between SRS resources in a resource set</w:t>
      </w:r>
    </w:p>
    <w:p w14:paraId="2F4AF920" w14:textId="5756E448"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13A1403A" w14:textId="438FE4D7" w:rsidR="0054730D" w:rsidRPr="00DB0624" w:rsidRDefault="0054730D" w:rsidP="0054730D">
      <w:pPr>
        <w:pStyle w:val="aff"/>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Pr>
          <w:rFonts w:eastAsia="微软雅黑"/>
          <w:sz w:val="20"/>
          <w:szCs w:val="20"/>
        </w:rPr>
        <w:t xml:space="preserve">Alt 1-1: </w:t>
      </w:r>
      <w:r w:rsidRPr="005C220B">
        <w:rPr>
          <w:rFonts w:eastAsia="微软雅黑"/>
          <w:sz w:val="20"/>
          <w:szCs w:val="20"/>
          <w:lang w:val="de-DE"/>
        </w:rPr>
        <w:t>Ericsson, vivo, Lenovo/MotM, InterDigital</w:t>
      </w:r>
    </w:p>
    <w:p w14:paraId="67A85660" w14:textId="7CA3B2F9" w:rsidR="00693D9F" w:rsidRDefault="00693D9F" w:rsidP="000A757B">
      <w:pPr>
        <w:widowControl w:val="0"/>
        <w:snapToGrid w:val="0"/>
        <w:spacing w:before="120" w:after="120" w:line="240" w:lineRule="auto"/>
        <w:jc w:val="both"/>
        <w:rPr>
          <w:rFonts w:eastAsia="微软雅黑"/>
          <w:sz w:val="20"/>
          <w:szCs w:val="20"/>
          <w:lang w:val="de-DE"/>
        </w:rPr>
      </w:pPr>
      <w:r>
        <w:rPr>
          <w:rFonts w:eastAsia="微软雅黑"/>
          <w:sz w:val="20"/>
          <w:szCs w:val="20"/>
          <w:lang w:val="de-DE"/>
        </w:rPr>
        <w:t>Alt 2-0: Intel</w:t>
      </w:r>
    </w:p>
    <w:p w14:paraId="499F3025" w14:textId="7465277A" w:rsidR="00693D9F" w:rsidRDefault="00693D9F" w:rsidP="000A757B">
      <w:pPr>
        <w:widowControl w:val="0"/>
        <w:snapToGrid w:val="0"/>
        <w:spacing w:before="120" w:after="120" w:line="240" w:lineRule="auto"/>
        <w:jc w:val="both"/>
        <w:rPr>
          <w:rFonts w:eastAsia="微软雅黑"/>
          <w:sz w:val="20"/>
          <w:szCs w:val="20"/>
        </w:rPr>
      </w:pPr>
      <w:r>
        <w:rPr>
          <w:rFonts w:eastAsia="微软雅黑"/>
          <w:sz w:val="20"/>
          <w:szCs w:val="20"/>
          <w:lang w:val="de-DE"/>
        </w:rPr>
        <w:t xml:space="preserve">Alt 2-1: </w:t>
      </w: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Pr>
          <w:rFonts w:eastAsia="微软雅黑"/>
          <w:sz w:val="20"/>
          <w:szCs w:val="20"/>
        </w:rPr>
        <w:t>, OPPO, Apple, Xiaomi, CATT</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2C5C8148" w:rsidR="000A757B" w:rsidRDefault="000A757B" w:rsidP="006E3B3D">
            <w:pPr>
              <w:widowControl w:val="0"/>
              <w:snapToGrid w:val="0"/>
              <w:spacing w:before="120" w:after="120" w:line="240" w:lineRule="auto"/>
              <w:rPr>
                <w:rFonts w:eastAsia="微软雅黑"/>
                <w:sz w:val="20"/>
                <w:szCs w:val="20"/>
              </w:rPr>
            </w:pPr>
          </w:p>
        </w:tc>
        <w:tc>
          <w:tcPr>
            <w:tcW w:w="6945" w:type="dxa"/>
          </w:tcPr>
          <w:p w14:paraId="2784E877" w14:textId="7F4C4769" w:rsidR="000A757B" w:rsidRPr="00DB32B8" w:rsidRDefault="000A757B" w:rsidP="006E3B3D">
            <w:pPr>
              <w:widowControl w:val="0"/>
              <w:snapToGrid w:val="0"/>
              <w:spacing w:before="120" w:after="120" w:line="240" w:lineRule="auto"/>
              <w:jc w:val="both"/>
              <w:rPr>
                <w:rFonts w:eastAsia="微软雅黑"/>
                <w:sz w:val="20"/>
                <w:szCs w:val="20"/>
              </w:rPr>
            </w:pPr>
          </w:p>
        </w:tc>
      </w:tr>
      <w:tr w:rsidR="004F731B" w14:paraId="2D572E58" w14:textId="77777777" w:rsidTr="006E3B3D">
        <w:tc>
          <w:tcPr>
            <w:tcW w:w="2405" w:type="dxa"/>
          </w:tcPr>
          <w:p w14:paraId="41C89F99" w14:textId="51FC5DC7" w:rsidR="004F731B" w:rsidRDefault="004F731B" w:rsidP="004F731B">
            <w:pPr>
              <w:widowControl w:val="0"/>
              <w:snapToGrid w:val="0"/>
              <w:spacing w:before="120" w:after="120" w:line="240" w:lineRule="auto"/>
              <w:rPr>
                <w:rFonts w:eastAsia="微软雅黑"/>
                <w:sz w:val="20"/>
                <w:szCs w:val="20"/>
              </w:rPr>
            </w:pPr>
          </w:p>
        </w:tc>
        <w:tc>
          <w:tcPr>
            <w:tcW w:w="6945" w:type="dxa"/>
          </w:tcPr>
          <w:p w14:paraId="489F9656" w14:textId="73D8748E" w:rsidR="004F731B" w:rsidRDefault="004F731B" w:rsidP="004F731B">
            <w:pPr>
              <w:widowControl w:val="0"/>
              <w:snapToGrid w:val="0"/>
              <w:spacing w:before="120" w:after="120" w:line="240" w:lineRule="auto"/>
              <w:rPr>
                <w:rFonts w:eastAsia="微软雅黑"/>
                <w:sz w:val="20"/>
                <w:szCs w:val="20"/>
              </w:rPr>
            </w:pPr>
          </w:p>
        </w:tc>
      </w:tr>
      <w:tr w:rsidR="001050F2" w14:paraId="5CAB888A" w14:textId="77777777" w:rsidTr="006E3B3D">
        <w:tc>
          <w:tcPr>
            <w:tcW w:w="2405" w:type="dxa"/>
          </w:tcPr>
          <w:p w14:paraId="0499BC4A" w14:textId="60DFF6EB" w:rsidR="001050F2" w:rsidRDefault="001050F2" w:rsidP="001050F2">
            <w:pPr>
              <w:widowControl w:val="0"/>
              <w:snapToGrid w:val="0"/>
              <w:spacing w:before="120" w:after="120" w:line="240" w:lineRule="auto"/>
              <w:rPr>
                <w:rFonts w:eastAsia="微软雅黑"/>
                <w:sz w:val="20"/>
                <w:szCs w:val="20"/>
              </w:rPr>
            </w:pPr>
          </w:p>
        </w:tc>
        <w:tc>
          <w:tcPr>
            <w:tcW w:w="6945" w:type="dxa"/>
          </w:tcPr>
          <w:p w14:paraId="18D91FF4" w14:textId="59A66E3D" w:rsidR="001050F2" w:rsidRDefault="001050F2" w:rsidP="001050F2">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4535702F" w14:textId="2D410F79" w:rsidR="00112DC3" w:rsidRDefault="00112DC3">
      <w:pPr>
        <w:widowControl w:val="0"/>
        <w:snapToGrid w:val="0"/>
        <w:spacing w:before="120" w:after="120" w:line="240" w:lineRule="auto"/>
        <w:jc w:val="both"/>
        <w:rPr>
          <w:rFonts w:eastAsia="微软雅黑" w:hint="eastAsia"/>
          <w:sz w:val="20"/>
          <w:szCs w:val="20"/>
        </w:rPr>
      </w:pPr>
      <w:r>
        <w:rPr>
          <w:rFonts w:eastAsia="微软雅黑" w:hint="eastAsia"/>
          <w:sz w:val="20"/>
          <w:szCs w:val="20"/>
        </w:rPr>
        <w:t>Support</w:t>
      </w:r>
      <w:r>
        <w:rPr>
          <w:rFonts w:eastAsia="微软雅黑"/>
          <w:sz w:val="20"/>
          <w:szCs w:val="20"/>
        </w:rPr>
        <w:t xml:space="preserve"> 4T6R: </w:t>
      </w:r>
      <w:r w:rsidR="00324FC1" w:rsidRPr="002154F4">
        <w:rPr>
          <w:rFonts w:eastAsia="微软雅黑"/>
          <w:sz w:val="20"/>
          <w:szCs w:val="20"/>
          <w:lang w:val="fr-FR"/>
        </w:rPr>
        <w:t>Qualcomm, CMCC, Xiaomi, InterDigital, Lenovo/MotM</w:t>
      </w:r>
      <w:r w:rsidR="00324FC1">
        <w:rPr>
          <w:rFonts w:eastAsia="微软雅黑"/>
          <w:sz w:val="20"/>
          <w:szCs w:val="20"/>
          <w:lang w:val="fr-FR"/>
        </w:rPr>
        <w:t>, MediaTek, NTT DOCOMO</w:t>
      </w:r>
    </w:p>
    <w:p w14:paraId="2E6DCBF0" w14:textId="526073F0" w:rsidR="00112DC3" w:rsidRDefault="00B0186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K not to support 4T6R: </w:t>
      </w:r>
      <w:r w:rsidR="00324FC1">
        <w:rPr>
          <w:rFonts w:eastAsia="微软雅黑"/>
          <w:sz w:val="20"/>
          <w:szCs w:val="20"/>
        </w:rPr>
        <w:t>OPPO, NEC, Ericsson, vivo, Huawei/HiSilicon</w:t>
      </w:r>
    </w:p>
    <w:p w14:paraId="0E5391CA" w14:textId="77777777" w:rsidR="007A6248" w:rsidRDefault="007A6248">
      <w:pPr>
        <w:widowControl w:val="0"/>
        <w:snapToGrid w:val="0"/>
        <w:spacing w:before="120" w:after="120" w:line="240" w:lineRule="auto"/>
        <w:jc w:val="both"/>
        <w:rPr>
          <w:rFonts w:eastAsia="微软雅黑" w:hint="eastAsia"/>
          <w:sz w:val="20"/>
          <w:szCs w:val="20"/>
        </w:rPr>
      </w:pPr>
    </w:p>
    <w:p w14:paraId="370CAE1A" w14:textId="3213EDF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We have discussed this issue since the beginning of this WI, and no progress has been made. FL encourages companies to share your view on whether the conclusion is acceptable or not</w:t>
      </w:r>
      <w:r w:rsidR="006844ED">
        <w:rPr>
          <w:rFonts w:eastAsia="微软雅黑"/>
          <w:sz w:val="20"/>
          <w:szCs w:val="20"/>
        </w:rPr>
        <w:t>, more than just your preference</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530A3A9A"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8" w14:textId="419D8529" w:rsidR="0063231E" w:rsidRDefault="0063231E" w:rsidP="003D1131">
            <w:pPr>
              <w:widowControl w:val="0"/>
              <w:snapToGrid w:val="0"/>
              <w:spacing w:before="120" w:after="120" w:line="240" w:lineRule="auto"/>
              <w:rPr>
                <w:rFonts w:eastAsia="微软雅黑"/>
                <w:sz w:val="20"/>
                <w:szCs w:val="20"/>
              </w:rPr>
            </w:pPr>
          </w:p>
        </w:tc>
      </w:tr>
      <w:tr w:rsidR="0070469F" w14:paraId="00E3AFCC" w14:textId="77777777" w:rsidTr="00515754">
        <w:tc>
          <w:tcPr>
            <w:tcW w:w="2405" w:type="dxa"/>
          </w:tcPr>
          <w:p w14:paraId="00E3AFCA" w14:textId="557E4E51" w:rsidR="0070469F" w:rsidRDefault="0070469F" w:rsidP="0070469F">
            <w:pPr>
              <w:widowControl w:val="0"/>
              <w:snapToGrid w:val="0"/>
              <w:spacing w:before="120" w:after="120" w:line="240" w:lineRule="auto"/>
              <w:rPr>
                <w:rFonts w:eastAsia="微软雅黑"/>
                <w:sz w:val="20"/>
                <w:szCs w:val="20"/>
              </w:rPr>
            </w:pPr>
          </w:p>
        </w:tc>
        <w:tc>
          <w:tcPr>
            <w:tcW w:w="6945" w:type="dxa"/>
          </w:tcPr>
          <w:p w14:paraId="00E3AFCB" w14:textId="4A771570" w:rsidR="0070469F" w:rsidRDefault="0070469F" w:rsidP="0070469F">
            <w:pPr>
              <w:widowControl w:val="0"/>
              <w:snapToGrid w:val="0"/>
              <w:spacing w:before="120" w:after="120" w:line="240" w:lineRule="auto"/>
              <w:rPr>
                <w:rFonts w:eastAsia="微软雅黑"/>
                <w:sz w:val="20"/>
                <w:szCs w:val="20"/>
              </w:rPr>
            </w:pPr>
          </w:p>
        </w:tc>
      </w:tr>
      <w:tr w:rsidR="001050F2" w14:paraId="00E3AFCF" w14:textId="77777777" w:rsidTr="00515754">
        <w:tc>
          <w:tcPr>
            <w:tcW w:w="2405" w:type="dxa"/>
          </w:tcPr>
          <w:p w14:paraId="00E3AFCD" w14:textId="3A26CD20" w:rsidR="001050F2" w:rsidRDefault="001050F2" w:rsidP="001050F2">
            <w:pPr>
              <w:widowControl w:val="0"/>
              <w:snapToGrid w:val="0"/>
              <w:spacing w:before="120" w:after="120" w:line="240" w:lineRule="auto"/>
              <w:rPr>
                <w:rFonts w:eastAsia="微软雅黑"/>
                <w:sz w:val="20"/>
                <w:szCs w:val="20"/>
              </w:rPr>
            </w:pPr>
          </w:p>
        </w:tc>
        <w:tc>
          <w:tcPr>
            <w:tcW w:w="6945" w:type="dxa"/>
          </w:tcPr>
          <w:p w14:paraId="00E3AFCE" w14:textId="698F5117" w:rsidR="001050F2" w:rsidRDefault="001050F2" w:rsidP="001050F2">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lastRenderedPageBreak/>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1750D22D"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p>
    <w:p w14:paraId="107B7704" w14:textId="351B316B" w:rsidR="00E86E31" w:rsidRDefault="00E86E31">
      <w:pPr>
        <w:widowControl w:val="0"/>
        <w:snapToGrid w:val="0"/>
        <w:spacing w:before="120" w:after="120" w:line="240" w:lineRule="auto"/>
        <w:jc w:val="both"/>
        <w:rPr>
          <w:rFonts w:eastAsiaTheme="minorEastAsia"/>
          <w:sz w:val="20"/>
          <w:szCs w:val="20"/>
        </w:rPr>
      </w:pPr>
      <w:r>
        <w:rPr>
          <w:rFonts w:eastAsiaTheme="minorEastAsia"/>
          <w:sz w:val="20"/>
          <w:szCs w:val="20"/>
        </w:rPr>
        <w:t>Add (12, 3): LGE, Huawei/HiSilicon, Futurewei</w:t>
      </w:r>
    </w:p>
    <w:p w14:paraId="129BC81D" w14:textId="1F35CB89" w:rsidR="00C506D4" w:rsidRDefault="00C506D4">
      <w:pPr>
        <w:widowControl w:val="0"/>
        <w:snapToGrid w:val="0"/>
        <w:spacing w:before="120" w:after="120" w:line="240" w:lineRule="auto"/>
        <w:jc w:val="both"/>
        <w:rPr>
          <w:rFonts w:eastAsiaTheme="minorEastAsia"/>
          <w:sz w:val="20"/>
          <w:szCs w:val="20"/>
        </w:rPr>
      </w:pPr>
      <w:r>
        <w:rPr>
          <w:rFonts w:eastAsiaTheme="minorEastAsia"/>
          <w:sz w:val="20"/>
          <w:szCs w:val="20"/>
        </w:rPr>
        <w:t>Add N_symbol = 10 and 14: Qualcomm, vivo</w:t>
      </w:r>
    </w:p>
    <w:p w14:paraId="5B1E9A3F" w14:textId="77777777" w:rsidR="00E86E31" w:rsidRDefault="00E86E31">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6699BD1F" w:rsidR="00114F3D" w:rsidRDefault="00114F3D" w:rsidP="00515754">
            <w:pPr>
              <w:widowControl w:val="0"/>
              <w:snapToGrid w:val="0"/>
              <w:spacing w:before="120" w:after="120" w:line="240" w:lineRule="auto"/>
              <w:rPr>
                <w:rFonts w:eastAsia="微软雅黑"/>
                <w:sz w:val="20"/>
                <w:szCs w:val="20"/>
              </w:rPr>
            </w:pPr>
            <w:bookmarkStart w:id="3" w:name="_Hlk68990947"/>
          </w:p>
        </w:tc>
        <w:tc>
          <w:tcPr>
            <w:tcW w:w="6945" w:type="dxa"/>
          </w:tcPr>
          <w:p w14:paraId="00E3B020" w14:textId="68C4F28B" w:rsidR="00114F3D" w:rsidRDefault="00114F3D" w:rsidP="00515754">
            <w:pPr>
              <w:widowControl w:val="0"/>
              <w:snapToGrid w:val="0"/>
              <w:spacing w:before="120" w:after="120" w:line="240" w:lineRule="auto"/>
              <w:rPr>
                <w:rFonts w:eastAsia="微软雅黑"/>
                <w:sz w:val="20"/>
                <w:szCs w:val="20"/>
              </w:rPr>
            </w:pPr>
          </w:p>
        </w:tc>
      </w:tr>
      <w:bookmarkEnd w:id="3"/>
      <w:tr w:rsidR="00114F3D" w14:paraId="00E3B024" w14:textId="77777777" w:rsidTr="00515754">
        <w:tc>
          <w:tcPr>
            <w:tcW w:w="2405" w:type="dxa"/>
          </w:tcPr>
          <w:p w14:paraId="00E3B022" w14:textId="620377AF" w:rsidR="00114F3D" w:rsidRDefault="00114F3D" w:rsidP="00515754">
            <w:pPr>
              <w:widowControl w:val="0"/>
              <w:snapToGrid w:val="0"/>
              <w:spacing w:before="120" w:after="120" w:line="240" w:lineRule="auto"/>
              <w:rPr>
                <w:rFonts w:eastAsia="微软雅黑"/>
                <w:sz w:val="20"/>
                <w:szCs w:val="20"/>
              </w:rPr>
            </w:pPr>
          </w:p>
        </w:tc>
        <w:tc>
          <w:tcPr>
            <w:tcW w:w="6945" w:type="dxa"/>
          </w:tcPr>
          <w:p w14:paraId="00E3B023" w14:textId="2C415916" w:rsidR="00114F3D" w:rsidRDefault="00114F3D" w:rsidP="00515754">
            <w:pPr>
              <w:widowControl w:val="0"/>
              <w:snapToGrid w:val="0"/>
              <w:spacing w:before="120" w:after="120" w:line="240" w:lineRule="auto"/>
              <w:rPr>
                <w:rFonts w:eastAsia="微软雅黑"/>
                <w:sz w:val="20"/>
                <w:szCs w:val="20"/>
              </w:rPr>
            </w:pPr>
          </w:p>
        </w:tc>
      </w:tr>
      <w:tr w:rsidR="00114F3D" w14:paraId="00E3B027" w14:textId="77777777" w:rsidTr="00515754">
        <w:tc>
          <w:tcPr>
            <w:tcW w:w="2405" w:type="dxa"/>
          </w:tcPr>
          <w:p w14:paraId="00E3B025" w14:textId="129CDFB5" w:rsidR="00114F3D" w:rsidRDefault="00114F3D" w:rsidP="00515754">
            <w:pPr>
              <w:widowControl w:val="0"/>
              <w:snapToGrid w:val="0"/>
              <w:spacing w:before="120" w:after="120" w:line="240" w:lineRule="auto"/>
              <w:rPr>
                <w:rFonts w:eastAsia="微软雅黑"/>
                <w:sz w:val="20"/>
                <w:szCs w:val="20"/>
              </w:rPr>
            </w:pPr>
          </w:p>
        </w:tc>
        <w:tc>
          <w:tcPr>
            <w:tcW w:w="6945" w:type="dxa"/>
          </w:tcPr>
          <w:p w14:paraId="00E3B026" w14:textId="3A13547C" w:rsidR="00114F3D" w:rsidRDefault="00114F3D" w:rsidP="00515754">
            <w:pPr>
              <w:widowControl w:val="0"/>
              <w:snapToGrid w:val="0"/>
              <w:spacing w:before="120" w:after="120" w:line="240" w:lineRule="auto"/>
              <w:rPr>
                <w:rFonts w:eastAsia="微软雅黑"/>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80FFBAA" w:rsidR="00981C47" w:rsidRDefault="00981C47" w:rsidP="00981C47">
            <w:pPr>
              <w:widowControl w:val="0"/>
              <w:snapToGrid w:val="0"/>
              <w:spacing w:before="120" w:after="120" w:line="240" w:lineRule="auto"/>
              <w:rPr>
                <w:rFonts w:eastAsia="微软雅黑"/>
                <w:sz w:val="20"/>
                <w:szCs w:val="20"/>
              </w:rPr>
            </w:pPr>
          </w:p>
        </w:tc>
        <w:tc>
          <w:tcPr>
            <w:tcW w:w="6945" w:type="dxa"/>
          </w:tcPr>
          <w:p w14:paraId="7DEC8E4C" w14:textId="4979932D" w:rsidR="00981C47" w:rsidRDefault="00981C47" w:rsidP="00981C47">
            <w:pPr>
              <w:widowControl w:val="0"/>
              <w:snapToGrid w:val="0"/>
              <w:spacing w:before="120" w:after="120" w:line="240" w:lineRule="auto"/>
              <w:rPr>
                <w:rFonts w:eastAsia="微软雅黑"/>
                <w:sz w:val="20"/>
                <w:szCs w:val="20"/>
              </w:rPr>
            </w:pPr>
          </w:p>
        </w:tc>
      </w:tr>
      <w:tr w:rsidR="00981C47" w14:paraId="36DB23BA" w14:textId="77777777" w:rsidTr="006E3B3D">
        <w:tc>
          <w:tcPr>
            <w:tcW w:w="2405" w:type="dxa"/>
          </w:tcPr>
          <w:p w14:paraId="05B6249F" w14:textId="5FACE8B3" w:rsidR="00981C47" w:rsidRDefault="00981C47" w:rsidP="00981C47">
            <w:pPr>
              <w:widowControl w:val="0"/>
              <w:snapToGrid w:val="0"/>
              <w:spacing w:before="120" w:after="120" w:line="240" w:lineRule="auto"/>
              <w:rPr>
                <w:rFonts w:eastAsia="微软雅黑"/>
                <w:sz w:val="20"/>
                <w:szCs w:val="20"/>
              </w:rPr>
            </w:pPr>
          </w:p>
        </w:tc>
        <w:tc>
          <w:tcPr>
            <w:tcW w:w="6945" w:type="dxa"/>
          </w:tcPr>
          <w:p w14:paraId="37A7AE6C" w14:textId="78368C2F" w:rsidR="00981C47" w:rsidRDefault="00981C47" w:rsidP="000E2F28">
            <w:pPr>
              <w:widowControl w:val="0"/>
              <w:snapToGrid w:val="0"/>
              <w:spacing w:before="120" w:after="120" w:line="240" w:lineRule="auto"/>
              <w:rPr>
                <w:rFonts w:eastAsia="微软雅黑"/>
                <w:sz w:val="20"/>
                <w:szCs w:val="20"/>
              </w:rPr>
            </w:pPr>
          </w:p>
        </w:tc>
      </w:tr>
      <w:tr w:rsidR="00981C47" w14:paraId="5E96F4F6" w14:textId="77777777" w:rsidTr="006E3B3D">
        <w:tc>
          <w:tcPr>
            <w:tcW w:w="2405" w:type="dxa"/>
          </w:tcPr>
          <w:p w14:paraId="0FF65CC8" w14:textId="3B8E2A49" w:rsidR="00981C47" w:rsidRDefault="00981C47" w:rsidP="00981C47">
            <w:pPr>
              <w:widowControl w:val="0"/>
              <w:snapToGrid w:val="0"/>
              <w:spacing w:before="120" w:after="120" w:line="240" w:lineRule="auto"/>
              <w:rPr>
                <w:rFonts w:eastAsia="微软雅黑"/>
                <w:sz w:val="20"/>
                <w:szCs w:val="20"/>
              </w:rPr>
            </w:pPr>
          </w:p>
        </w:tc>
        <w:tc>
          <w:tcPr>
            <w:tcW w:w="6945" w:type="dxa"/>
          </w:tcPr>
          <w:p w14:paraId="79521FB2" w14:textId="0767FE29" w:rsidR="00981C47" w:rsidRDefault="00981C47" w:rsidP="00981C47">
            <w:pPr>
              <w:widowControl w:val="0"/>
              <w:snapToGrid w:val="0"/>
              <w:spacing w:before="120" w:after="120" w:line="240" w:lineRule="auto"/>
              <w:rPr>
                <w:rFonts w:eastAsia="微软雅黑"/>
                <w:sz w:val="20"/>
                <w:szCs w:val="20"/>
              </w:rPr>
            </w:pP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687177F7"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Lenovo/MotM, Spreadtrum, CATT, NEC, OPPO, Xiaomi, Intel</w:t>
      </w:r>
      <w:r>
        <w:rPr>
          <w:rFonts w:eastAsia="微软雅黑"/>
          <w:sz w:val="20"/>
          <w:szCs w:val="20"/>
        </w:rPr>
        <w:t xml:space="preserve"> (Based on gNB configuration)</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Huawei/HiSilicon, Futurewei, </w:t>
      </w:r>
      <w:r w:rsidRPr="002273C4">
        <w:rPr>
          <w:rFonts w:eastAsia="微软雅黑"/>
          <w:sz w:val="20"/>
          <w:szCs w:val="20"/>
        </w:rPr>
        <w:t>Intel</w:t>
      </w:r>
      <w:r>
        <w:rPr>
          <w:rFonts w:eastAsia="微软雅黑"/>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A4029E0" w:rsidR="002A0304" w:rsidRDefault="002A0304" w:rsidP="006E3B3D">
            <w:pPr>
              <w:widowControl w:val="0"/>
              <w:snapToGrid w:val="0"/>
              <w:spacing w:before="120" w:after="120" w:line="240" w:lineRule="auto"/>
              <w:rPr>
                <w:rFonts w:eastAsia="微软雅黑"/>
                <w:sz w:val="20"/>
                <w:szCs w:val="20"/>
              </w:rPr>
            </w:pPr>
          </w:p>
        </w:tc>
        <w:tc>
          <w:tcPr>
            <w:tcW w:w="6945" w:type="dxa"/>
          </w:tcPr>
          <w:p w14:paraId="55814FE3" w14:textId="446B0F8B" w:rsidR="00EB019B" w:rsidRDefault="00EB019B" w:rsidP="00EB019B">
            <w:pPr>
              <w:widowControl w:val="0"/>
              <w:snapToGrid w:val="0"/>
              <w:spacing w:before="120" w:after="120" w:line="240" w:lineRule="auto"/>
              <w:rPr>
                <w:rFonts w:eastAsia="微软雅黑"/>
                <w:sz w:val="20"/>
                <w:szCs w:val="20"/>
              </w:rPr>
            </w:pPr>
          </w:p>
        </w:tc>
      </w:tr>
      <w:tr w:rsidR="006C4E41" w14:paraId="2A53FB08" w14:textId="77777777" w:rsidTr="006E3B3D">
        <w:tc>
          <w:tcPr>
            <w:tcW w:w="2405" w:type="dxa"/>
          </w:tcPr>
          <w:p w14:paraId="7D2EF503" w14:textId="33505EEF" w:rsidR="006C4E41" w:rsidRDefault="006C4E41" w:rsidP="006C4E41">
            <w:pPr>
              <w:widowControl w:val="0"/>
              <w:snapToGrid w:val="0"/>
              <w:spacing w:before="120" w:after="120" w:line="240" w:lineRule="auto"/>
              <w:rPr>
                <w:rFonts w:eastAsia="微软雅黑"/>
                <w:sz w:val="20"/>
                <w:szCs w:val="20"/>
              </w:rPr>
            </w:pPr>
          </w:p>
        </w:tc>
        <w:tc>
          <w:tcPr>
            <w:tcW w:w="6945" w:type="dxa"/>
          </w:tcPr>
          <w:p w14:paraId="0D7A5D25" w14:textId="6A93632B" w:rsidR="006C4E41" w:rsidRDefault="006C4E41" w:rsidP="006C4E41">
            <w:pPr>
              <w:widowControl w:val="0"/>
              <w:snapToGrid w:val="0"/>
              <w:spacing w:before="120" w:after="120" w:line="240" w:lineRule="auto"/>
              <w:rPr>
                <w:rFonts w:eastAsia="微软雅黑"/>
                <w:sz w:val="20"/>
                <w:szCs w:val="20"/>
              </w:rPr>
            </w:pPr>
          </w:p>
        </w:tc>
      </w:tr>
      <w:tr w:rsidR="004F31A7" w14:paraId="236C1864" w14:textId="77777777" w:rsidTr="006E3B3D">
        <w:tc>
          <w:tcPr>
            <w:tcW w:w="2405" w:type="dxa"/>
          </w:tcPr>
          <w:p w14:paraId="72D22A49" w14:textId="757907F9" w:rsidR="004F31A7" w:rsidRDefault="004F31A7" w:rsidP="004F31A7">
            <w:pPr>
              <w:widowControl w:val="0"/>
              <w:snapToGrid w:val="0"/>
              <w:spacing w:before="120" w:after="120" w:line="240" w:lineRule="auto"/>
              <w:rPr>
                <w:rFonts w:eastAsia="微软雅黑"/>
                <w:sz w:val="20"/>
                <w:szCs w:val="20"/>
              </w:rPr>
            </w:pPr>
          </w:p>
        </w:tc>
        <w:tc>
          <w:tcPr>
            <w:tcW w:w="6945" w:type="dxa"/>
          </w:tcPr>
          <w:p w14:paraId="03AD1E32" w14:textId="2D56C966" w:rsidR="004F31A7" w:rsidRDefault="004F31A7" w:rsidP="004F31A7">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Lenovo/MotM, CATT</w:t>
      </w:r>
    </w:p>
    <w:p w14:paraId="520CB021" w14:textId="77777777" w:rsidR="00644A91" w:rsidRPr="00525C61" w:rsidRDefault="00644A91"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0F55069D" w:rsidR="00624FAE" w:rsidRDefault="00624FAE" w:rsidP="006E3B3D">
            <w:pPr>
              <w:widowControl w:val="0"/>
              <w:snapToGrid w:val="0"/>
              <w:spacing w:before="120" w:after="120" w:line="240" w:lineRule="auto"/>
              <w:rPr>
                <w:rFonts w:eastAsia="微软雅黑"/>
                <w:sz w:val="20"/>
                <w:szCs w:val="20"/>
              </w:rPr>
            </w:pPr>
          </w:p>
        </w:tc>
        <w:tc>
          <w:tcPr>
            <w:tcW w:w="6945" w:type="dxa"/>
          </w:tcPr>
          <w:p w14:paraId="5E2BF006" w14:textId="6CF85EAD" w:rsidR="00624FAE" w:rsidRDefault="00624FAE" w:rsidP="006E3B3D">
            <w:pPr>
              <w:widowControl w:val="0"/>
              <w:snapToGrid w:val="0"/>
              <w:spacing w:before="120" w:after="120" w:line="240" w:lineRule="auto"/>
              <w:rPr>
                <w:rFonts w:eastAsia="微软雅黑"/>
                <w:sz w:val="20"/>
                <w:szCs w:val="20"/>
              </w:rPr>
            </w:pPr>
          </w:p>
        </w:tc>
      </w:tr>
      <w:tr w:rsidR="004F31A7" w14:paraId="1AD00958" w14:textId="77777777" w:rsidTr="006E3B3D">
        <w:tc>
          <w:tcPr>
            <w:tcW w:w="2405" w:type="dxa"/>
          </w:tcPr>
          <w:p w14:paraId="6EF8CAE9" w14:textId="24BE511A" w:rsidR="004F31A7" w:rsidRDefault="004F31A7" w:rsidP="004F31A7">
            <w:pPr>
              <w:widowControl w:val="0"/>
              <w:snapToGrid w:val="0"/>
              <w:spacing w:before="120" w:after="120" w:line="240" w:lineRule="auto"/>
              <w:rPr>
                <w:rFonts w:eastAsia="微软雅黑"/>
                <w:sz w:val="20"/>
                <w:szCs w:val="20"/>
              </w:rPr>
            </w:pPr>
          </w:p>
        </w:tc>
        <w:tc>
          <w:tcPr>
            <w:tcW w:w="6945" w:type="dxa"/>
          </w:tcPr>
          <w:p w14:paraId="598D3FA9" w14:textId="4BEB80F0" w:rsidR="004F31A7" w:rsidRDefault="004F31A7" w:rsidP="004F31A7">
            <w:pPr>
              <w:widowControl w:val="0"/>
              <w:snapToGrid w:val="0"/>
              <w:spacing w:before="120" w:after="120" w:line="240" w:lineRule="auto"/>
              <w:rPr>
                <w:rFonts w:eastAsia="微软雅黑"/>
                <w:sz w:val="20"/>
                <w:szCs w:val="20"/>
              </w:rPr>
            </w:pPr>
          </w:p>
        </w:tc>
      </w:tr>
      <w:tr w:rsidR="004F31A7" w14:paraId="6AF39A1D" w14:textId="77777777" w:rsidTr="006E3B3D">
        <w:tc>
          <w:tcPr>
            <w:tcW w:w="2405" w:type="dxa"/>
          </w:tcPr>
          <w:p w14:paraId="3A032B5E" w14:textId="3693C043" w:rsidR="004F31A7" w:rsidRDefault="004F31A7" w:rsidP="004F31A7">
            <w:pPr>
              <w:widowControl w:val="0"/>
              <w:snapToGrid w:val="0"/>
              <w:spacing w:before="120" w:after="120" w:line="240" w:lineRule="auto"/>
              <w:rPr>
                <w:rFonts w:eastAsia="微软雅黑"/>
                <w:sz w:val="20"/>
                <w:szCs w:val="20"/>
              </w:rPr>
            </w:pPr>
          </w:p>
        </w:tc>
        <w:tc>
          <w:tcPr>
            <w:tcW w:w="6945" w:type="dxa"/>
          </w:tcPr>
          <w:p w14:paraId="26A38A0B" w14:textId="343A2B16" w:rsidR="004F31A7" w:rsidRDefault="004F31A7" w:rsidP="004F31A7">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微软雅黑"/>
          <w:sz w:val="20"/>
          <w:szCs w:val="20"/>
        </w:rPr>
      </w:pPr>
    </w:p>
    <w:p w14:paraId="5D4398F0" w14:textId="77777777" w:rsidR="00FC59B3" w:rsidRPr="00FC59B3" w:rsidRDefault="00FC59B3">
      <w:pPr>
        <w:widowControl w:val="0"/>
        <w:snapToGrid w:val="0"/>
        <w:spacing w:before="120" w:after="120" w:line="240" w:lineRule="auto"/>
        <w:jc w:val="both"/>
        <w:rPr>
          <w:rFonts w:eastAsia="微软雅黑"/>
          <w:sz w:val="20"/>
          <w:szCs w:val="20"/>
        </w:rPr>
      </w:pPr>
    </w:p>
    <w:p w14:paraId="054F1DC9" w14:textId="77777777" w:rsidR="00FC59B3" w:rsidRPr="00FC59B3" w:rsidRDefault="00FC59B3">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w:t>
            </w:r>
            <w:r w:rsidRPr="00D94CC9">
              <w:rPr>
                <w:rFonts w:eastAsia="微软雅黑"/>
                <w:sz w:val="20"/>
                <w:szCs w:val="20"/>
              </w:rPr>
              <w:lastRenderedPageBreak/>
              <w:t xml:space="preserve">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lastRenderedPageBreak/>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98255" w14:textId="77777777" w:rsidR="004526B3" w:rsidRDefault="004526B3" w:rsidP="0066336C">
      <w:pPr>
        <w:spacing w:after="0" w:line="240" w:lineRule="auto"/>
      </w:pPr>
      <w:r>
        <w:separator/>
      </w:r>
    </w:p>
  </w:endnote>
  <w:endnote w:type="continuationSeparator" w:id="0">
    <w:p w14:paraId="65F3666F" w14:textId="77777777" w:rsidR="004526B3" w:rsidRDefault="004526B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556A2" w14:textId="77777777" w:rsidR="004526B3" w:rsidRDefault="004526B3" w:rsidP="0066336C">
      <w:pPr>
        <w:spacing w:after="0" w:line="240" w:lineRule="auto"/>
      </w:pPr>
      <w:r>
        <w:separator/>
      </w:r>
    </w:p>
  </w:footnote>
  <w:footnote w:type="continuationSeparator" w:id="0">
    <w:p w14:paraId="6A7D3A9C" w14:textId="77777777" w:rsidR="004526B3" w:rsidRDefault="004526B3"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51D7"/>
    <w:rsid w:val="00026C0A"/>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F2C"/>
    <w:rsid w:val="000903F2"/>
    <w:rsid w:val="00090580"/>
    <w:rsid w:val="000912BF"/>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2EB4"/>
    <w:rsid w:val="000E2F28"/>
    <w:rsid w:val="000E3A9E"/>
    <w:rsid w:val="000E4191"/>
    <w:rsid w:val="000E52BD"/>
    <w:rsid w:val="000E5DF4"/>
    <w:rsid w:val="000E648C"/>
    <w:rsid w:val="000E72C1"/>
    <w:rsid w:val="000E77B8"/>
    <w:rsid w:val="000E7EA2"/>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AB3"/>
    <w:rsid w:val="00180E7A"/>
    <w:rsid w:val="0018243A"/>
    <w:rsid w:val="00182B2D"/>
    <w:rsid w:val="00183BB1"/>
    <w:rsid w:val="00183DE4"/>
    <w:rsid w:val="00185114"/>
    <w:rsid w:val="0019023F"/>
    <w:rsid w:val="001906C5"/>
    <w:rsid w:val="001921DA"/>
    <w:rsid w:val="001924D6"/>
    <w:rsid w:val="0019267A"/>
    <w:rsid w:val="00192865"/>
    <w:rsid w:val="00192BE4"/>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686"/>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346"/>
    <w:rsid w:val="002174C8"/>
    <w:rsid w:val="0022135B"/>
    <w:rsid w:val="00221516"/>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6F80"/>
    <w:rsid w:val="002A7024"/>
    <w:rsid w:val="002A7CB8"/>
    <w:rsid w:val="002B21FE"/>
    <w:rsid w:val="002B309D"/>
    <w:rsid w:val="002B42C2"/>
    <w:rsid w:val="002B4A75"/>
    <w:rsid w:val="002B507D"/>
    <w:rsid w:val="002B6475"/>
    <w:rsid w:val="002B7DED"/>
    <w:rsid w:val="002C01FC"/>
    <w:rsid w:val="002C0777"/>
    <w:rsid w:val="002C0AB2"/>
    <w:rsid w:val="002C0C32"/>
    <w:rsid w:val="002C0DDD"/>
    <w:rsid w:val="002C1775"/>
    <w:rsid w:val="002C1BCD"/>
    <w:rsid w:val="002C1E4A"/>
    <w:rsid w:val="002C276E"/>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69E9"/>
    <w:rsid w:val="003671AC"/>
    <w:rsid w:val="00367271"/>
    <w:rsid w:val="003713EE"/>
    <w:rsid w:val="00372438"/>
    <w:rsid w:val="0037292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381B"/>
    <w:rsid w:val="00383D7F"/>
    <w:rsid w:val="00383EDE"/>
    <w:rsid w:val="003841BD"/>
    <w:rsid w:val="003849A3"/>
    <w:rsid w:val="00384B53"/>
    <w:rsid w:val="00385282"/>
    <w:rsid w:val="00385732"/>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504A"/>
    <w:rsid w:val="004554A3"/>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63D5"/>
    <w:rsid w:val="00547090"/>
    <w:rsid w:val="0054730D"/>
    <w:rsid w:val="00547748"/>
    <w:rsid w:val="00547B27"/>
    <w:rsid w:val="0055084D"/>
    <w:rsid w:val="00553256"/>
    <w:rsid w:val="00554B19"/>
    <w:rsid w:val="0055516E"/>
    <w:rsid w:val="00555BFD"/>
    <w:rsid w:val="0056054B"/>
    <w:rsid w:val="005620AE"/>
    <w:rsid w:val="00563E78"/>
    <w:rsid w:val="00565C1A"/>
    <w:rsid w:val="00565F4A"/>
    <w:rsid w:val="005665E7"/>
    <w:rsid w:val="00566A17"/>
    <w:rsid w:val="00567BBF"/>
    <w:rsid w:val="00567C16"/>
    <w:rsid w:val="00567D25"/>
    <w:rsid w:val="005703EB"/>
    <w:rsid w:val="005709BF"/>
    <w:rsid w:val="005719AF"/>
    <w:rsid w:val="00574F5E"/>
    <w:rsid w:val="005750D8"/>
    <w:rsid w:val="00575FB4"/>
    <w:rsid w:val="005773C6"/>
    <w:rsid w:val="00577E63"/>
    <w:rsid w:val="00577FF9"/>
    <w:rsid w:val="00580215"/>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2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4FD"/>
    <w:rsid w:val="00660023"/>
    <w:rsid w:val="00660FF3"/>
    <w:rsid w:val="0066335D"/>
    <w:rsid w:val="0066336C"/>
    <w:rsid w:val="00667767"/>
    <w:rsid w:val="00667889"/>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413A"/>
    <w:rsid w:val="006959B3"/>
    <w:rsid w:val="00695DF2"/>
    <w:rsid w:val="00696027"/>
    <w:rsid w:val="00696319"/>
    <w:rsid w:val="006964EC"/>
    <w:rsid w:val="006964F3"/>
    <w:rsid w:val="006A049C"/>
    <w:rsid w:val="006A166A"/>
    <w:rsid w:val="006A1D1C"/>
    <w:rsid w:val="006A1EE4"/>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C1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92C"/>
    <w:rsid w:val="00731E42"/>
    <w:rsid w:val="00731E6A"/>
    <w:rsid w:val="00732A46"/>
    <w:rsid w:val="00733264"/>
    <w:rsid w:val="00733881"/>
    <w:rsid w:val="00737479"/>
    <w:rsid w:val="007376B1"/>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4DB4"/>
    <w:rsid w:val="0075511E"/>
    <w:rsid w:val="00755FE0"/>
    <w:rsid w:val="007564B6"/>
    <w:rsid w:val="00756AFA"/>
    <w:rsid w:val="00756D0A"/>
    <w:rsid w:val="00756D69"/>
    <w:rsid w:val="007616D9"/>
    <w:rsid w:val="007623C0"/>
    <w:rsid w:val="00762660"/>
    <w:rsid w:val="007626BE"/>
    <w:rsid w:val="00762912"/>
    <w:rsid w:val="00762A9B"/>
    <w:rsid w:val="00762B8B"/>
    <w:rsid w:val="00763217"/>
    <w:rsid w:val="00763A73"/>
    <w:rsid w:val="007647C8"/>
    <w:rsid w:val="00764C59"/>
    <w:rsid w:val="00767248"/>
    <w:rsid w:val="0076740F"/>
    <w:rsid w:val="00770987"/>
    <w:rsid w:val="0077131B"/>
    <w:rsid w:val="00772436"/>
    <w:rsid w:val="007745CA"/>
    <w:rsid w:val="00776B14"/>
    <w:rsid w:val="00777186"/>
    <w:rsid w:val="00777490"/>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5D6"/>
    <w:rsid w:val="007F7CE0"/>
    <w:rsid w:val="007F7E42"/>
    <w:rsid w:val="008006E1"/>
    <w:rsid w:val="008008C6"/>
    <w:rsid w:val="00800D52"/>
    <w:rsid w:val="00801057"/>
    <w:rsid w:val="00801284"/>
    <w:rsid w:val="0080299A"/>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5B81"/>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CBC"/>
    <w:rsid w:val="00872422"/>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938"/>
    <w:rsid w:val="008D0237"/>
    <w:rsid w:val="008D0A58"/>
    <w:rsid w:val="008D0B34"/>
    <w:rsid w:val="008D10C1"/>
    <w:rsid w:val="008D2E5E"/>
    <w:rsid w:val="008D32D2"/>
    <w:rsid w:val="008D3D09"/>
    <w:rsid w:val="008D4574"/>
    <w:rsid w:val="008D4C71"/>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205"/>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5A6C"/>
    <w:rsid w:val="00A0607A"/>
    <w:rsid w:val="00A0624E"/>
    <w:rsid w:val="00A062B0"/>
    <w:rsid w:val="00A064A5"/>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4514"/>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6589"/>
    <w:rsid w:val="00A575F2"/>
    <w:rsid w:val="00A5765C"/>
    <w:rsid w:val="00A57B59"/>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58F6"/>
    <w:rsid w:val="00A7697C"/>
    <w:rsid w:val="00A771ED"/>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6CB8"/>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179"/>
    <w:rsid w:val="00B82947"/>
    <w:rsid w:val="00B83273"/>
    <w:rsid w:val="00B838C1"/>
    <w:rsid w:val="00B84705"/>
    <w:rsid w:val="00B84EF9"/>
    <w:rsid w:val="00B8590A"/>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A9C"/>
    <w:rsid w:val="00BA4CC3"/>
    <w:rsid w:val="00BA5903"/>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3FF5"/>
    <w:rsid w:val="00BC57DD"/>
    <w:rsid w:val="00BC5D1B"/>
    <w:rsid w:val="00BC5F90"/>
    <w:rsid w:val="00BC6334"/>
    <w:rsid w:val="00BC63E8"/>
    <w:rsid w:val="00BC78FB"/>
    <w:rsid w:val="00BC7F69"/>
    <w:rsid w:val="00BD0365"/>
    <w:rsid w:val="00BD094B"/>
    <w:rsid w:val="00BD233E"/>
    <w:rsid w:val="00BD361D"/>
    <w:rsid w:val="00BD38E9"/>
    <w:rsid w:val="00BD4648"/>
    <w:rsid w:val="00BD4F2D"/>
    <w:rsid w:val="00BD59E8"/>
    <w:rsid w:val="00BD5F8E"/>
    <w:rsid w:val="00BD6C5D"/>
    <w:rsid w:val="00BD6D9A"/>
    <w:rsid w:val="00BD734D"/>
    <w:rsid w:val="00BE168A"/>
    <w:rsid w:val="00BE186F"/>
    <w:rsid w:val="00BE3700"/>
    <w:rsid w:val="00BE437F"/>
    <w:rsid w:val="00BE6D11"/>
    <w:rsid w:val="00BE74B8"/>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06D4"/>
    <w:rsid w:val="00C51A9C"/>
    <w:rsid w:val="00C527DB"/>
    <w:rsid w:val="00C527FF"/>
    <w:rsid w:val="00C52C3A"/>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0CDC"/>
    <w:rsid w:val="00CE19E0"/>
    <w:rsid w:val="00CE324B"/>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342"/>
    <w:rsid w:val="00D42BB3"/>
    <w:rsid w:val="00D42F94"/>
    <w:rsid w:val="00D43306"/>
    <w:rsid w:val="00D43C91"/>
    <w:rsid w:val="00D44B1B"/>
    <w:rsid w:val="00D4612F"/>
    <w:rsid w:val="00D46642"/>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3FD"/>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4FC5"/>
    <w:rsid w:val="00F35477"/>
    <w:rsid w:val="00F368D8"/>
    <w:rsid w:val="00F3746F"/>
    <w:rsid w:val="00F374E2"/>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E19"/>
    <w:rsid w:val="00FA4011"/>
    <w:rsid w:val="00FA4E25"/>
    <w:rsid w:val="00FA5F13"/>
    <w:rsid w:val="00FA62A0"/>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1EAA"/>
    <w:rsid w:val="00FC2CA8"/>
    <w:rsid w:val="00FC2E09"/>
    <w:rsid w:val="00FC2E8D"/>
    <w:rsid w:val="00FC3CF1"/>
    <w:rsid w:val="00FC4D32"/>
    <w:rsid w:val="00FC59B3"/>
    <w:rsid w:val="00FC66CB"/>
    <w:rsid w:val="00FC6A25"/>
    <w:rsid w:val="00FC6BB7"/>
    <w:rsid w:val="00FC6E9A"/>
    <w:rsid w:val="00FC7F1E"/>
    <w:rsid w:val="00FD0C19"/>
    <w:rsid w:val="00FD1320"/>
    <w:rsid w:val="00FD15A8"/>
    <w:rsid w:val="00FD1C63"/>
    <w:rsid w:val="00FD206B"/>
    <w:rsid w:val="00FD26F5"/>
    <w:rsid w:val="00FD3C95"/>
    <w:rsid w:val="00FD3EB4"/>
    <w:rsid w:val="00FD4455"/>
    <w:rsid w:val="00FD481A"/>
    <w:rsid w:val="00FD4A32"/>
    <w:rsid w:val="00FD4DF6"/>
    <w:rsid w:val="00FD55BA"/>
    <w:rsid w:val="00FD5890"/>
    <w:rsid w:val="00FD58CC"/>
    <w:rsid w:val="00FD6738"/>
    <w:rsid w:val="00FD7D77"/>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443BEB-5C03-4969-8EFE-7D1BE22F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14</Pages>
  <Words>4559</Words>
  <Characters>25992</Characters>
  <Application>Microsoft Office Word</Application>
  <DocSecurity>0</DocSecurity>
  <Lines>216</Lines>
  <Paragraphs>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186</cp:revision>
  <dcterms:created xsi:type="dcterms:W3CDTF">2021-08-19T00:10:00Z</dcterms:created>
  <dcterms:modified xsi:type="dcterms:W3CDTF">2021-08-20T01:13:00Z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