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bookmarkStart w:id="0" w:name="_GoBack"/>
      <w:bookmarkEnd w:id="0"/>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1" w:name="Source"/>
      <w:bookmarkEnd w:id="1"/>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2" w:name="DocumentFor"/>
      <w:bookmarkEnd w:id="2"/>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3"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3441BA" w:rsidRPr="00231B58" w:rsidRDefault="003441B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3441BA" w:rsidRPr="00251521" w:rsidRDefault="003441BA"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3441BA" w:rsidRPr="00251521" w:rsidRDefault="003441B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3441BA" w:rsidRPr="00251521" w:rsidRDefault="003441B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3441BA" w:rsidRPr="00251521" w:rsidRDefault="003441B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3441BA" w:rsidRPr="00251521" w:rsidRDefault="003441B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3441BA" w:rsidRPr="00251521" w:rsidRDefault="003441B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3441BA" w:rsidRPr="00787267" w:rsidRDefault="003441BA"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3441BA" w:rsidRPr="00231B58" w:rsidRDefault="003441B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3441BA" w:rsidRPr="00251521" w:rsidRDefault="003441BA"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3441BA" w:rsidRPr="00251521" w:rsidRDefault="003441B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3441BA" w:rsidRPr="00251521" w:rsidRDefault="003441B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3441BA" w:rsidRPr="00251521" w:rsidRDefault="003441B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3441BA" w:rsidRPr="00251521" w:rsidRDefault="003441B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3441BA" w:rsidRPr="00251521" w:rsidRDefault="003441B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3441BA" w:rsidRPr="00251521" w:rsidRDefault="003441B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3441BA" w:rsidRPr="00787267" w:rsidRDefault="003441BA"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3"/>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w:t>
            </w:r>
            <w:proofErr w:type="spellStart"/>
            <w:r w:rsidRPr="00DF6205">
              <w:rPr>
                <w:bCs/>
              </w:rPr>
              <w:t>es</w:t>
            </w:r>
            <w:proofErr w:type="spellEnd"/>
            <w:r w:rsidRPr="00DF6205">
              <w:rPr>
                <w:bCs/>
              </w:rPr>
              <w:t>)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3441BA"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3441B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3441BA"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w:t>
            </w:r>
            <w:proofErr w:type="spellStart"/>
            <w:r>
              <w:t>Rel</w:t>
            </w:r>
            <w:proofErr w:type="spellEnd"/>
            <w:r>
              <w:t xml:space="preserve">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DengXian"/>
                <w:color w:val="FF0000"/>
                <w:sz w:val="18"/>
                <w:szCs w:val="18"/>
                <w:lang w:eastAsia="zh-CN"/>
              </w:rPr>
            </w:pPr>
            <w:r w:rsidRPr="00BC056B">
              <w:rPr>
                <w:rFonts w:eastAsia="DengXian"/>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w:t>
            </w:r>
            <w:proofErr w:type="spellStart"/>
            <w:r w:rsidRPr="00BC056B">
              <w:rPr>
                <w:color w:val="FF0000"/>
              </w:rPr>
              <w:t>Rel</w:t>
            </w:r>
            <w:proofErr w:type="spellEnd"/>
            <w:r w:rsidRPr="00BC056B">
              <w:rPr>
                <w:color w:val="FF0000"/>
              </w:rPr>
              <w:t xml:space="preserve">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3441BA" w:rsidRDefault="003441BA" w:rsidP="003441BA">
      <w:pPr>
        <w:ind w:firstLineChars="0" w:firstLine="0"/>
        <w:contextualSpacing/>
        <w:jc w:val="left"/>
        <w:rPr>
          <w:b/>
          <w:highlight w:val="yellow"/>
        </w:rPr>
      </w:pPr>
      <w:r w:rsidRPr="003441BA">
        <w:rPr>
          <w:b/>
          <w:highlight w:val="yellow"/>
        </w:rPr>
        <w:t>Proposal 1.</w:t>
      </w:r>
    </w:p>
    <w:p w14:paraId="6378B73C" w14:textId="09033982" w:rsidR="003441BA" w:rsidRPr="003441BA" w:rsidRDefault="003441BA" w:rsidP="003441BA">
      <w:pPr>
        <w:spacing w:line="240" w:lineRule="auto"/>
        <w:ind w:firstLineChars="0" w:firstLine="0"/>
        <w:rPr>
          <w:b/>
          <w:lang w:eastAsia="x-none"/>
        </w:rPr>
      </w:pPr>
      <w:r w:rsidRPr="003441BA">
        <w:rPr>
          <w:b/>
          <w:highlight w:val="yellow"/>
          <w:lang w:eastAsia="x-none"/>
        </w:rPr>
        <w:t>Disabling HARQ feedback for NB-IoT and for eMTC in NTN is recommended not to be supported in Rel-17.</w:t>
      </w:r>
    </w:p>
    <w:p w14:paraId="34A12649" w14:textId="77777777" w:rsidR="00B92DF1" w:rsidRPr="003441BA" w:rsidRDefault="00B92DF1" w:rsidP="003441BA">
      <w:pPr>
        <w:ind w:firstLineChars="0" w:firstLine="0"/>
        <w:contextualSpacing/>
        <w:jc w:val="left"/>
        <w:rPr>
          <w:b/>
        </w:rPr>
      </w:pPr>
    </w:p>
    <w:p w14:paraId="0DCA5C5F" w14:textId="77777777" w:rsidR="00B92DF1" w:rsidRDefault="00B92DF1"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 xml:space="preserve">PDCCH monitoring to reduce power </w:t>
      </w:r>
      <w:r w:rsidRPr="00675026">
        <w:rPr>
          <w:lang w:eastAsia="zh-CN"/>
        </w:rPr>
        <w:lastRenderedPageBreak/>
        <w:t>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lastRenderedPageBreak/>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3441BA"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3441BA"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DengXian"/>
                <w:color w:val="FF0000"/>
                <w:sz w:val="18"/>
                <w:szCs w:val="18"/>
                <w:lang w:eastAsia="zh-CN"/>
              </w:rPr>
            </w:pPr>
            <w:r w:rsidRPr="00E27DF1">
              <w:rPr>
                <w:rFonts w:eastAsia="DengXian"/>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 xml:space="preserve">The following points need to be considered before introducing reduced PDCCH monitoring procedure: (1) Even if UE would not need to monitor PDCCH scheduling for unicast </w:t>
            </w:r>
            <w:proofErr w:type="gramStart"/>
            <w:r w:rsidRPr="00A92364">
              <w:t>UL  data</w:t>
            </w:r>
            <w:proofErr w:type="gramEnd"/>
            <w:r w:rsidRPr="00A92364">
              <w:t>,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DengXian"/>
                <w:color w:val="FF0000"/>
                <w:sz w:val="18"/>
                <w:szCs w:val="18"/>
                <w:lang w:eastAsia="zh-CN"/>
              </w:rPr>
            </w:pPr>
            <w:r w:rsidRPr="001803A1">
              <w:rPr>
                <w:rFonts w:eastAsia="DengXian"/>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 xml:space="preserve">We tend to agree with </w:t>
            </w:r>
            <w:proofErr w:type="spellStart"/>
            <w:r>
              <w:rPr>
                <w:rFonts w:eastAsia="DengXian"/>
                <w:lang w:eastAsia="zh-CN"/>
              </w:rPr>
              <w:t>MediaTek’s</w:t>
            </w:r>
            <w:proofErr w:type="spellEnd"/>
            <w:r>
              <w:rPr>
                <w:rFonts w:eastAsia="DengXian"/>
                <w:lang w:eastAsia="zh-CN"/>
              </w:rPr>
              <w:t xml:space="preserve">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 xml:space="preserve">a summary </w:t>
      </w:r>
      <w:proofErr w:type="gramStart"/>
      <w:r w:rsidR="00454339">
        <w:rPr>
          <w:rFonts w:ascii="Times New Roman" w:hAnsi="Times New Roman"/>
          <w:sz w:val="20"/>
          <w:szCs w:val="20"/>
        </w:rPr>
        <w:t>follows</w:t>
      </w:r>
      <w:proofErr w:type="gramEnd"/>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RAN1 has</w:t>
      </w:r>
      <w:r>
        <w:t xml:space="preserve"> not</w:t>
      </w:r>
      <w:r>
        <w:t xml:space="preserve"> reached consensus to </w:t>
      </w:r>
      <w:r>
        <w:t>recommend enhancements to</w:t>
      </w:r>
      <w:r>
        <w:t xml:space="preserve">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91396D" w:rsidRDefault="00C32A9A" w:rsidP="00774F36">
      <w:pPr>
        <w:pStyle w:val="ListParagraph"/>
        <w:ind w:left="0" w:firstLineChars="0" w:firstLine="0"/>
        <w:rPr>
          <w:rFonts w:ascii="Times" w:hAnsi="Times" w:cs="Times"/>
          <w:b/>
          <w:sz w:val="20"/>
          <w:szCs w:val="20"/>
          <w:highlight w:val="yellow"/>
        </w:rPr>
      </w:pPr>
      <w:r w:rsidRPr="0091396D">
        <w:rPr>
          <w:rFonts w:ascii="Times" w:hAnsi="Times" w:cs="Times"/>
          <w:b/>
          <w:sz w:val="20"/>
          <w:szCs w:val="20"/>
          <w:highlight w:val="yellow"/>
        </w:rPr>
        <w:t>Proposal 2.</w:t>
      </w:r>
    </w:p>
    <w:p w14:paraId="145E949D" w14:textId="209F0A92" w:rsidR="00C32A9A" w:rsidRPr="0091396D" w:rsidRDefault="00454339" w:rsidP="00C32A9A">
      <w:pPr>
        <w:ind w:firstLineChars="0" w:firstLine="0"/>
        <w:rPr>
          <w:rFonts w:ascii="Times" w:hAnsi="Times" w:cs="Times"/>
          <w:b/>
          <w:lang w:eastAsia="en-US"/>
        </w:rPr>
      </w:pPr>
      <w:r w:rsidRPr="0091396D">
        <w:rPr>
          <w:rFonts w:ascii="Times" w:hAnsi="Times" w:cs="Times"/>
          <w:b/>
          <w:highlight w:val="yellow"/>
        </w:rPr>
        <w:t xml:space="preserve">For NB-IoT and eMTC in NTN, </w:t>
      </w:r>
      <w:r w:rsidR="00C32A9A" w:rsidRPr="0091396D">
        <w:rPr>
          <w:rFonts w:ascii="Times" w:hAnsi="Times" w:cs="Times"/>
          <w:b/>
          <w:highlight w:val="yellow"/>
        </w:rPr>
        <w:t>RAN1 has</w:t>
      </w:r>
      <w:r w:rsidR="00C32A9A" w:rsidRPr="0091396D">
        <w:rPr>
          <w:rFonts w:ascii="Times" w:hAnsi="Times" w:cs="Times"/>
          <w:b/>
          <w:highlight w:val="yellow"/>
        </w:rPr>
        <w:t xml:space="preserve"> not reached </w:t>
      </w:r>
      <w:r w:rsidR="00C32A9A" w:rsidRPr="0091396D">
        <w:rPr>
          <w:rFonts w:ascii="Times" w:hAnsi="Times" w:cs="Times"/>
          <w:b/>
          <w:highlight w:val="yellow"/>
        </w:rPr>
        <w:t xml:space="preserve">consensus to </w:t>
      </w:r>
      <w:r w:rsidR="00C32A9A" w:rsidRPr="0091396D">
        <w:rPr>
          <w:rFonts w:ascii="Times" w:hAnsi="Times" w:cs="Times"/>
          <w:b/>
          <w:highlight w:val="yellow"/>
        </w:rPr>
        <w:t xml:space="preserve">recommend enhancements to </w:t>
      </w:r>
      <w:r w:rsidR="00C32A9A" w:rsidRPr="0091396D">
        <w:rPr>
          <w:rFonts w:ascii="Times" w:hAnsi="Times" w:cs="Times"/>
          <w:b/>
          <w:highlight w:val="yellow"/>
        </w:rPr>
        <w:t xml:space="preserve">the Rel-16 procedure for the monitoring of a PDCCH which indicates </w:t>
      </w:r>
      <w:r w:rsidRPr="0091396D">
        <w:rPr>
          <w:rFonts w:ascii="Times" w:hAnsi="Times" w:cs="Times"/>
          <w:b/>
          <w:highlight w:val="yellow"/>
        </w:rPr>
        <w:t>an</w:t>
      </w:r>
      <w:r w:rsidR="00C32A9A" w:rsidRPr="0091396D">
        <w:rPr>
          <w:rFonts w:ascii="Times" w:hAnsi="Times" w:cs="Times"/>
          <w:b/>
          <w:highlight w:val="yellow"/>
        </w:rPr>
        <w:t xml:space="preserve"> ACK/NACK after transmission of a PUSCH.</w:t>
      </w:r>
    </w:p>
    <w:p w14:paraId="67438C24" w14:textId="10E37A1B" w:rsidR="0091396D" w:rsidRPr="0091396D" w:rsidRDefault="0091396D" w:rsidP="0091396D">
      <w:pPr>
        <w:pStyle w:val="ListParagraph"/>
        <w:numPr>
          <w:ilvl w:val="0"/>
          <w:numId w:val="25"/>
        </w:numPr>
        <w:ind w:firstLineChars="0"/>
        <w:rPr>
          <w:rFonts w:ascii="Times" w:hAnsi="Times" w:cs="Times"/>
          <w:b/>
          <w:sz w:val="20"/>
          <w:szCs w:val="20"/>
        </w:rPr>
      </w:pPr>
      <w:r w:rsidRPr="0091396D">
        <w:rPr>
          <w:rFonts w:ascii="Times" w:hAnsi="Times" w:cs="Times"/>
          <w:b/>
          <w:sz w:val="20"/>
          <w:szCs w:val="20"/>
          <w:highlight w:val="yellow"/>
        </w:rPr>
        <w:t>The above is included in the TR.</w:t>
      </w:r>
      <w:r w:rsidRPr="0091396D">
        <w:rPr>
          <w:rFonts w:ascii="Times" w:hAnsi="Times" w:cs="Times"/>
          <w:b/>
          <w:sz w:val="20"/>
          <w:szCs w:val="20"/>
        </w:rPr>
        <w:t xml:space="preserve"> </w:t>
      </w:r>
    </w:p>
    <w:p w14:paraId="14D03BD8" w14:textId="18330DF6" w:rsidR="00C32A9A" w:rsidRDefault="00C32A9A" w:rsidP="00774F36">
      <w:pPr>
        <w:pStyle w:val="ListParagraph"/>
        <w:ind w:left="0" w:firstLineChars="0" w:firstLine="0"/>
        <w:rPr>
          <w:rFonts w:ascii="Times New Roman" w:hAnsi="Times New Roman"/>
          <w:sz w:val="20"/>
          <w:szCs w:val="20"/>
        </w:rPr>
      </w:pPr>
    </w:p>
    <w:p w14:paraId="38BB4ED4" w14:textId="77777777" w:rsidR="00454339" w:rsidRDefault="00454339" w:rsidP="00774F36">
      <w:pPr>
        <w:pStyle w:val="ListParagraph"/>
        <w:ind w:left="0" w:firstLineChars="0" w:firstLine="0"/>
        <w:rPr>
          <w:rFonts w:ascii="Times New Roman" w:hAnsi="Times New Roman"/>
          <w:b/>
          <w:sz w:val="20"/>
          <w:szCs w:val="20"/>
          <w:highlight w:val="yellow"/>
        </w:rPr>
      </w:pPr>
      <w:r>
        <w:rPr>
          <w:rFonts w:ascii="Times New Roman" w:hAnsi="Times New Roman"/>
          <w:b/>
          <w:sz w:val="20"/>
          <w:szCs w:val="20"/>
          <w:highlight w:val="yellow"/>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454339">
        <w:rPr>
          <w:rFonts w:ascii="Times New Roman" w:hAnsi="Times New Roman"/>
          <w:b/>
          <w:sz w:val="20"/>
          <w:szCs w:val="20"/>
          <w:highlight w:val="yellow"/>
        </w:rPr>
        <w:t xml:space="preserve">Further discuss whether the following text </w:t>
      </w:r>
      <w:r w:rsidR="0091396D">
        <w:rPr>
          <w:rFonts w:ascii="Times New Roman" w:hAnsi="Times New Roman"/>
          <w:b/>
          <w:sz w:val="20"/>
          <w:szCs w:val="20"/>
          <w:highlight w:val="yellow"/>
        </w:rPr>
        <w:t>is</w:t>
      </w:r>
      <w:r w:rsidRPr="00454339">
        <w:rPr>
          <w:rFonts w:ascii="Times New Roman" w:hAnsi="Times New Roman"/>
          <w:b/>
          <w:sz w:val="20"/>
          <w:szCs w:val="20"/>
          <w:highlight w:val="yellow"/>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49BFD99" w14:textId="77777777" w:rsidR="00454339" w:rsidRDefault="00454339" w:rsidP="00774F36">
      <w:pPr>
        <w:pStyle w:val="ListParagraph"/>
        <w:ind w:left="0" w:firstLineChars="0" w:firstLine="0"/>
        <w:rPr>
          <w:rFonts w:ascii="Times New Roman" w:hAnsi="Times New Roman"/>
          <w:sz w:val="20"/>
          <w:szCs w:val="20"/>
        </w:rPr>
      </w:pPr>
    </w:p>
    <w:p w14:paraId="010B2C56" w14:textId="77777777" w:rsidR="00C32A9A" w:rsidRDefault="00C32A9A"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3441B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3441B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 xml:space="preserve">If HARQ feedback disabling is not supported in </w:t>
            </w:r>
            <w:proofErr w:type="spellStart"/>
            <w:r>
              <w:t>Rel</w:t>
            </w:r>
            <w:proofErr w:type="spellEnd"/>
            <w:r>
              <w:t xml:space="preserve">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Agree with moderator’s proposal for Release 17. Optimizations are good to capture for future post-</w:t>
            </w:r>
            <w:proofErr w:type="spellStart"/>
            <w:r>
              <w:rPr>
                <w:rFonts w:eastAsia="DengXian"/>
                <w:sz w:val="18"/>
                <w:szCs w:val="18"/>
                <w:lang w:eastAsia="zh-CN"/>
              </w:rPr>
              <w:t>Rel</w:t>
            </w:r>
            <w:proofErr w:type="spellEnd"/>
            <w:r>
              <w:rPr>
                <w:rFonts w:eastAsia="DengXian"/>
                <w:sz w:val="18"/>
                <w:szCs w:val="18"/>
                <w:lang w:eastAsia="zh-CN"/>
              </w:rPr>
              <w:t xml:space="preserve">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r w:rsidRPr="0013215D">
        <w:rPr>
          <w:b/>
          <w:highlight w:val="yellow"/>
        </w:rPr>
        <w:t>.</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w:t>
      </w:r>
      <w:r w:rsidR="002C2DD1" w:rsidRPr="0092076D">
        <w:rPr>
          <w:rFonts w:ascii="Times" w:hAnsi="Times" w:cs="Times"/>
          <w:b/>
          <w:sz w:val="20"/>
          <w:szCs w:val="20"/>
          <w:highlight w:val="yellow"/>
        </w:rPr>
        <w:t xml:space="preserve">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w:t>
      </w:r>
      <w:r w:rsidR="002C2DD1" w:rsidRPr="0092076D">
        <w:rPr>
          <w:rFonts w:ascii="Times" w:hAnsi="Times" w:cs="Times"/>
          <w:b/>
          <w:sz w:val="20"/>
          <w:szCs w:val="20"/>
          <w:highlight w:val="yellow"/>
        </w:rPr>
        <w:t xml:space="preserve">the network </w:t>
      </w:r>
      <w:r w:rsidR="002C2DD1" w:rsidRPr="0092076D">
        <w:rPr>
          <w:rFonts w:ascii="Times" w:hAnsi="Times" w:cs="Times"/>
          <w:b/>
          <w:sz w:val="20"/>
          <w:szCs w:val="20"/>
          <w:highlight w:val="yellow"/>
        </w:rPr>
        <w:t xml:space="preserve">that </w:t>
      </w:r>
      <w:r w:rsidR="002C2DD1" w:rsidRPr="0092076D">
        <w:rPr>
          <w:rFonts w:ascii="Times" w:hAnsi="Times" w:cs="Times"/>
          <w:b/>
          <w:sz w:val="20"/>
          <w:szCs w:val="20"/>
          <w:highlight w:val="yellow"/>
        </w:rPr>
        <w:t>a sufficient number of repetitions has been transmitted</w:t>
      </w:r>
      <w:r w:rsidR="002C2DD1" w:rsidRPr="0092076D">
        <w:rPr>
          <w:rFonts w:ascii="Times" w:hAnsi="Times" w:cs="Times"/>
          <w:b/>
          <w:sz w:val="20"/>
          <w:szCs w:val="20"/>
          <w:highlight w:val="yellow"/>
        </w:rPr>
        <w:t xml:space="preserve">, </w:t>
      </w:r>
      <w:r w:rsidR="002C2DD1" w:rsidRPr="0092076D">
        <w:rPr>
          <w:rFonts w:ascii="Times" w:eastAsia="DengXian" w:hAnsi="Times" w:cs="Times"/>
          <w:b/>
          <w:sz w:val="20"/>
          <w:szCs w:val="20"/>
          <w:highlight w:val="yellow"/>
        </w:rPr>
        <w:t xml:space="preserve">requested number of repetition, BLER-based triggering or bundling of feedback, </w:t>
      </w:r>
      <w:r w:rsidR="002C2DD1" w:rsidRPr="0092076D">
        <w:rPr>
          <w:rFonts w:ascii="Times" w:eastAsia="DengXian" w:hAnsi="Times" w:cs="Times"/>
          <w:b/>
          <w:sz w:val="20"/>
          <w:szCs w:val="20"/>
          <w:highlight w:val="yellow"/>
        </w:rPr>
        <w:t>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77777777" w:rsidR="002C2DD1" w:rsidRPr="004E5F59" w:rsidRDefault="002C2DD1" w:rsidP="0092076D">
      <w:pPr>
        <w:ind w:firstLineChars="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3441B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lastRenderedPageBreak/>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3441B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lastRenderedPageBreak/>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 xml:space="preserve">To make the system work, this issue should be studied and captured in TR 36.763, where solution(s) should be added in </w:t>
            </w:r>
            <w:proofErr w:type="spellStart"/>
            <w:r w:rsidRPr="00802504">
              <w:rPr>
                <w:sz w:val="18"/>
                <w:szCs w:val="18"/>
              </w:rPr>
              <w:t>Rel</w:t>
            </w:r>
            <w:proofErr w:type="spellEnd"/>
            <w:r w:rsidRPr="00802504">
              <w:rPr>
                <w:sz w:val="18"/>
                <w:szCs w:val="18"/>
              </w:rPr>
              <w:t xml:space="preserve">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 xml:space="preserve">This can be captured in the TR, but should be outside of </w:t>
            </w:r>
            <w:proofErr w:type="spellStart"/>
            <w:r>
              <w:rPr>
                <w:rFonts w:eastAsia="DengXian"/>
                <w:lang w:eastAsia="zh-CN"/>
              </w:rPr>
              <w:t>Rel</w:t>
            </w:r>
            <w:proofErr w:type="spellEnd"/>
            <w:r>
              <w:rPr>
                <w:rFonts w:eastAsia="DengXian"/>
                <w:lang w:eastAsia="zh-CN"/>
              </w:rPr>
              <w:t xml:space="preserve">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ue to the large number of repetitions</w:t>
      </w:r>
      <w:r w:rsidRPr="0092076D">
        <w:rPr>
          <w:rFonts w:ascii="Times" w:hAnsi="Times" w:cs="Times"/>
          <w:b/>
          <w:sz w:val="20"/>
          <w:szCs w:val="20"/>
          <w:highlight w:val="yellow"/>
          <w:lang w:eastAsia="en-US"/>
        </w:rPr>
        <w:t xml:space="preserve"> in NTN IoT</w:t>
      </w:r>
      <w:r w:rsidRPr="0092076D">
        <w:rPr>
          <w:rFonts w:ascii="Times" w:hAnsi="Times" w:cs="Times"/>
          <w:b/>
          <w:sz w:val="20"/>
          <w:szCs w:val="20"/>
          <w:highlight w:val="yellow"/>
          <w:lang w:eastAsia="en-US"/>
        </w:rPr>
        <w:t xml:space="preserve">, an UL/DL transmission can be </w:t>
      </w:r>
      <w:r w:rsidRPr="0092076D">
        <w:rPr>
          <w:rFonts w:ascii="Times" w:hAnsi="Times" w:cs="Times"/>
          <w:b/>
          <w:sz w:val="20"/>
          <w:szCs w:val="20"/>
          <w:highlight w:val="yellow"/>
          <w:lang w:eastAsia="en-US"/>
        </w:rPr>
        <w:t xml:space="preserve">have a duration larger </w:t>
      </w:r>
      <w:r w:rsidRPr="0092076D">
        <w:rPr>
          <w:rFonts w:ascii="Times" w:hAnsi="Times" w:cs="Times"/>
          <w:b/>
          <w:sz w:val="20"/>
          <w:szCs w:val="20"/>
          <w:highlight w:val="yellow"/>
          <w:lang w:eastAsia="en-US"/>
        </w:rPr>
        <w:t xml:space="preserve">than the time interval needed by the UE for cell reselection or handover. This can be an issue especially for LEO satellite due to high mobility. </w:t>
      </w:r>
      <w:r w:rsidRPr="0092076D">
        <w:rPr>
          <w:rFonts w:ascii="Times" w:hAnsi="Times" w:cs="Times"/>
          <w:b/>
          <w:sz w:val="20"/>
          <w:szCs w:val="20"/>
          <w:highlight w:val="yellow"/>
          <w:lang w:eastAsia="en-US"/>
        </w:rPr>
        <w:t>Some</w:t>
      </w:r>
      <w:r w:rsidRPr="0092076D">
        <w:rPr>
          <w:rFonts w:ascii="Times" w:hAnsi="Times" w:cs="Times"/>
          <w:b/>
          <w:sz w:val="20"/>
          <w:szCs w:val="20"/>
          <w:highlight w:val="yellow"/>
          <w:lang w:eastAsia="en-US"/>
        </w:rPr>
        <w:t xml:space="preserve"> repetitions c</w:t>
      </w:r>
      <w:r w:rsidRPr="0092076D">
        <w:rPr>
          <w:rFonts w:ascii="Times" w:hAnsi="Times" w:cs="Times"/>
          <w:b/>
          <w:sz w:val="20"/>
          <w:szCs w:val="20"/>
          <w:highlight w:val="yellow"/>
          <w:lang w:eastAsia="en-US"/>
        </w:rPr>
        <w:t>annot</w:t>
      </w:r>
      <w:r w:rsidRPr="0092076D">
        <w:rPr>
          <w:rFonts w:ascii="Times" w:hAnsi="Times" w:cs="Times"/>
          <w:b/>
          <w:sz w:val="20"/>
          <w:szCs w:val="20"/>
          <w:highlight w:val="yellow"/>
          <w:lang w:eastAsia="en-US"/>
        </w:rPr>
        <w:t xml:space="preserve"> be transmitted before the cell change happens and this will cause a waste of resources. </w:t>
      </w:r>
      <w:r w:rsidRPr="0092076D">
        <w:rPr>
          <w:rFonts w:ascii="Times" w:hAnsi="Times" w:cs="Times"/>
          <w:b/>
          <w:sz w:val="20"/>
          <w:szCs w:val="20"/>
          <w:highlight w:val="yellow"/>
          <w:lang w:eastAsia="en-US"/>
        </w:rPr>
        <w:t>Combining</w:t>
      </w:r>
      <w:r w:rsidRPr="0092076D">
        <w:rPr>
          <w:rFonts w:ascii="Times" w:hAnsi="Times" w:cs="Times"/>
          <w:b/>
          <w:sz w:val="20"/>
          <w:szCs w:val="20"/>
          <w:highlight w:val="yellow"/>
          <w:lang w:eastAsia="en-US"/>
        </w:rPr>
        <w:t xml:space="preserve"> repetitions from </w:t>
      </w:r>
      <w:r w:rsidRPr="0092076D">
        <w:rPr>
          <w:rFonts w:ascii="Times" w:hAnsi="Times" w:cs="Times"/>
          <w:b/>
          <w:sz w:val="20"/>
          <w:szCs w:val="20"/>
          <w:highlight w:val="yellow"/>
          <w:lang w:eastAsia="en-US"/>
        </w:rPr>
        <w:t>different</w:t>
      </w:r>
      <w:r w:rsidRPr="0092076D">
        <w:rPr>
          <w:rFonts w:ascii="Times" w:hAnsi="Times" w:cs="Times"/>
          <w:b/>
          <w:sz w:val="20"/>
          <w:szCs w:val="20"/>
          <w:highlight w:val="yellow"/>
          <w:lang w:eastAsia="en-US"/>
        </w:rPr>
        <w:t xml:space="preserve"> cells</w:t>
      </w:r>
      <w:r w:rsidRPr="0092076D">
        <w:rPr>
          <w:rFonts w:ascii="Times" w:hAnsi="Times" w:cs="Times"/>
          <w:b/>
          <w:sz w:val="20"/>
          <w:szCs w:val="20"/>
          <w:highlight w:val="yellow"/>
          <w:lang w:eastAsia="en-US"/>
        </w:rPr>
        <w:t xml:space="preserve"> or </w:t>
      </w:r>
      <w:r w:rsidRPr="0092076D">
        <w:rPr>
          <w:rFonts w:ascii="Times" w:hAnsi="Times" w:cs="Times"/>
          <w:b/>
          <w:sz w:val="20"/>
          <w:szCs w:val="20"/>
          <w:highlight w:val="yellow"/>
          <w:lang w:eastAsia="en-US"/>
        </w:rPr>
        <w:t>different beams</w:t>
      </w:r>
      <w:r w:rsidRPr="0092076D">
        <w:rPr>
          <w:rFonts w:ascii="Times" w:hAnsi="Times" w:cs="Times"/>
          <w:b/>
          <w:sz w:val="20"/>
          <w:szCs w:val="20"/>
          <w:highlight w:val="yellow"/>
          <w:lang w:eastAsia="en-US"/>
        </w:rPr>
        <w:t xml:space="preserve"> are potential solutions.</w:t>
      </w:r>
      <w:r w:rsidRPr="0092076D">
        <w:rPr>
          <w:rFonts w:ascii="Times" w:hAnsi="Times" w:cs="Times"/>
          <w:b/>
          <w:sz w:val="20"/>
          <w:szCs w:val="20"/>
          <w:highlight w:val="yellow"/>
          <w:lang w:eastAsia="en-US"/>
        </w:rPr>
        <w:t xml:space="preserve">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w:t>
      </w:r>
      <w:r w:rsidRPr="0092076D">
        <w:rPr>
          <w:rFonts w:ascii="Times" w:hAnsi="Times" w:cs="Times"/>
          <w:b/>
          <w:sz w:val="20"/>
          <w:szCs w:val="20"/>
          <w:highlight w:val="yellow"/>
          <w:lang w:eastAsia="x-none"/>
        </w:rPr>
        <w:t xml:space="preserve">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3441B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lastRenderedPageBreak/>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w:t>
            </w:r>
            <w:proofErr w:type="spellStart"/>
            <w:r w:rsidRPr="000702C7">
              <w:rPr>
                <w:bCs/>
                <w:color w:val="FF0000"/>
                <w:sz w:val="18"/>
                <w:szCs w:val="18"/>
              </w:rPr>
              <w:t>Rel</w:t>
            </w:r>
            <w:proofErr w:type="spellEnd"/>
            <w:r w:rsidRPr="000702C7">
              <w:rPr>
                <w:bCs/>
                <w:color w:val="FF0000"/>
                <w:sz w:val="18"/>
                <w:szCs w:val="18"/>
              </w:rPr>
              <w:t xml:space="preserve">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 xml:space="preserve">Can be considered after </w:t>
            </w:r>
            <w:proofErr w:type="spellStart"/>
            <w:r>
              <w:rPr>
                <w:rFonts w:eastAsia="DengXian"/>
                <w:sz w:val="18"/>
                <w:szCs w:val="18"/>
                <w:lang w:eastAsia="zh-CN"/>
              </w:rPr>
              <w:t>Rel</w:t>
            </w:r>
            <w:proofErr w:type="spellEnd"/>
            <w:r>
              <w:rPr>
                <w:rFonts w:eastAsia="DengXian"/>
                <w:sz w:val="18"/>
                <w:szCs w:val="18"/>
                <w:lang w:eastAsia="zh-CN"/>
              </w:rPr>
              <w:t xml:space="preserve">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w:t>
      </w:r>
      <w:r w:rsidRPr="0092076D">
        <w:rPr>
          <w:rFonts w:ascii="Times" w:hAnsi="Times" w:cs="Times"/>
          <w:b/>
          <w:highlight w:val="yellow"/>
        </w:rPr>
        <w:t>6</w:t>
      </w:r>
      <w:r w:rsidRPr="0092076D">
        <w:rPr>
          <w:rFonts w:ascii="Times" w:hAnsi="Times" w:cs="Times"/>
          <w:b/>
          <w:highlight w:val="yellow"/>
        </w:rPr>
        <w:t xml:space="preserve">.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w:t>
      </w:r>
      <w:r w:rsidRPr="0092076D">
        <w:rPr>
          <w:rFonts w:ascii="Times" w:hAnsi="Times" w:cs="Times"/>
          <w:b/>
          <w:bCs/>
          <w:sz w:val="20"/>
          <w:szCs w:val="20"/>
          <w:highlight w:val="yellow"/>
        </w:rPr>
        <w:t xml:space="preserv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solutions </w:t>
      </w:r>
      <w:r w:rsidRPr="0092076D">
        <w:rPr>
          <w:rFonts w:ascii="Times" w:hAnsi="Times" w:cs="Times"/>
          <w:b/>
          <w:sz w:val="20"/>
          <w:szCs w:val="20"/>
          <w:highlight w:val="yellow"/>
          <w:lang w:eastAsia="x-none"/>
        </w:rPr>
        <w:t xml:space="preserve">to enhance throughput </w:t>
      </w:r>
      <w:r w:rsidRPr="0092076D">
        <w:rPr>
          <w:rFonts w:ascii="Times" w:hAnsi="Times" w:cs="Times"/>
          <w:b/>
          <w:sz w:val="20"/>
          <w:szCs w:val="20"/>
          <w:highlight w:val="yellow"/>
          <w:lang w:eastAsia="x-none"/>
        </w:rPr>
        <w:t>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lastRenderedPageBreak/>
              <w:t>Proposal</w:t>
            </w:r>
            <w:r w:rsidR="000C6C5E" w:rsidRPr="005C0A93">
              <w:rPr>
                <w:lang w:eastAsia="zh-CN"/>
              </w:rPr>
              <w:t xml:space="preserve"> </w:t>
            </w:r>
            <w:proofErr w:type="gramStart"/>
            <w:r w:rsidR="000C6C5E" w:rsidRPr="005C0A93">
              <w:rPr>
                <w:lang w:eastAsia="zh-CN"/>
              </w:rPr>
              <w:t>3:For</w:t>
            </w:r>
            <w:proofErr w:type="gramEnd"/>
            <w:r w:rsidR="000C6C5E" w:rsidRPr="005C0A93">
              <w:rPr>
                <w:lang w:eastAsia="zh-CN"/>
              </w:rPr>
              <w:t xml:space="preserve">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gNB to wait for reception of HARQ-ACK for a DL HARQ process before scheduling a new TB for that HARQ process. gNB </w:t>
            </w:r>
            <w:r w:rsidRPr="00DF6205">
              <w:rPr>
                <w:rFonts w:eastAsiaTheme="minorHAnsi"/>
              </w:rPr>
              <w:lastRenderedPageBreak/>
              <w:t>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w:t>
            </w:r>
            <w:proofErr w:type="spellStart"/>
            <w:r w:rsidR="000C6C5E" w:rsidRPr="00DF6205">
              <w:rPr>
                <w:bCs/>
              </w:rPr>
              <w:t>es</w:t>
            </w:r>
            <w:proofErr w:type="spellEnd"/>
            <w:r w:rsidR="000C6C5E" w:rsidRPr="00DF6205">
              <w:rPr>
                <w:bCs/>
              </w:rPr>
              <w:t>)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3441BA"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3441B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3441B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3441B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3441B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lastRenderedPageBreak/>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B936D" w14:textId="77777777" w:rsidR="00927AF2" w:rsidRDefault="00927AF2" w:rsidP="007378B8">
      <w:r>
        <w:separator/>
      </w:r>
    </w:p>
  </w:endnote>
  <w:endnote w:type="continuationSeparator" w:id="0">
    <w:p w14:paraId="3B7A04C2" w14:textId="77777777" w:rsidR="00927AF2" w:rsidRDefault="00927AF2"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19820ECC" w:rsidR="003441BA" w:rsidRDefault="003441BA">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6BDAEB23" w:rsidR="003441BA" w:rsidRPr="00650EAB" w:rsidRDefault="003441BA"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TVYAW0DAABHBwAADgAAAAAAAAAAAAAAAAAuAgAAZHJzL2Uyb0RvYy54bWxQSwECLQAUAAYA&#10;CAAAACEA8tHuc94AAAALAQAADwAAAAAAAAAAAAAAAADHBQAAZHJzL2Rvd25yZXYueG1sUEsFBgAA&#10;AAAEAAQA8wAAANIGAAAAAA==&#10;" o:allowincell="f" filled="f" stroked="f" strokeweight=".5pt">
              <v:fill o:detectmouseclick="t"/>
              <v:textbox inset="20pt,0,,0">
                <w:txbxContent>
                  <w:p w14:paraId="5B619F3A" w14:textId="6BDAEB23" w:rsidR="00650EAB" w:rsidRPr="00650EAB" w:rsidRDefault="00650EAB"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796C3B">
      <w:rPr>
        <w:rStyle w:val="PageNumber"/>
        <w:i/>
        <w:color w:val="auto"/>
      </w:rPr>
      <w:t>1</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ED946" w14:textId="77777777" w:rsidR="00927AF2" w:rsidRDefault="00927AF2" w:rsidP="007378B8">
      <w:r>
        <w:separator/>
      </w:r>
    </w:p>
  </w:footnote>
  <w:footnote w:type="continuationSeparator" w:id="0">
    <w:p w14:paraId="477E3684" w14:textId="77777777" w:rsidR="00927AF2" w:rsidRDefault="00927AF2"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3441BA" w:rsidRDefault="003441BA"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2"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30"/>
  </w:num>
  <w:num w:numId="3">
    <w:abstractNumId w:val="10"/>
  </w:num>
  <w:num w:numId="4">
    <w:abstractNumId w:val="21"/>
  </w:num>
  <w:num w:numId="5">
    <w:abstractNumId w:val="1"/>
  </w:num>
  <w:num w:numId="6">
    <w:abstractNumId w:val="6"/>
  </w:num>
  <w:num w:numId="7">
    <w:abstractNumId w:val="29"/>
  </w:num>
  <w:num w:numId="8">
    <w:abstractNumId w:val="2"/>
  </w:num>
  <w:num w:numId="9">
    <w:abstractNumId w:val="7"/>
  </w:num>
  <w:num w:numId="10">
    <w:abstractNumId w:val="26"/>
  </w:num>
  <w:num w:numId="11">
    <w:abstractNumId w:val="16"/>
  </w:num>
  <w:num w:numId="12">
    <w:abstractNumId w:val="19"/>
  </w:num>
  <w:num w:numId="13">
    <w:abstractNumId w:val="24"/>
  </w:num>
  <w:num w:numId="14">
    <w:abstractNumId w:val="11"/>
  </w:num>
  <w:num w:numId="15">
    <w:abstractNumId w:val="9"/>
  </w:num>
  <w:num w:numId="16">
    <w:abstractNumId w:val="20"/>
  </w:num>
  <w:num w:numId="17">
    <w:abstractNumId w:val="3"/>
  </w:num>
  <w:num w:numId="18">
    <w:abstractNumId w:val="23"/>
  </w:num>
  <w:num w:numId="19">
    <w:abstractNumId w:val="32"/>
  </w:num>
  <w:num w:numId="20">
    <w:abstractNumId w:val="15"/>
  </w:num>
  <w:num w:numId="21">
    <w:abstractNumId w:val="31"/>
  </w:num>
  <w:num w:numId="22">
    <w:abstractNumId w:val="17"/>
  </w:num>
  <w:num w:numId="23">
    <w:abstractNumId w:val="18"/>
  </w:num>
  <w:num w:numId="24">
    <w:abstractNumId w:val="22"/>
  </w:num>
  <w:num w:numId="25">
    <w:abstractNumId w:val="28"/>
  </w:num>
  <w:num w:numId="26">
    <w:abstractNumId w:val="2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7"/>
  </w:num>
  <w:num w:numId="3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6D"/>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DF1AE-D66D-4110-AA60-D1257F3F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24</Pages>
  <Words>11573</Words>
  <Characters>65970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 2</cp:lastModifiedBy>
  <cp:revision>11</cp:revision>
  <dcterms:created xsi:type="dcterms:W3CDTF">2021-05-24T16:52:00Z</dcterms:created>
  <dcterms:modified xsi:type="dcterms:W3CDTF">2021-05-24T19:13:00Z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