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ad"/>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af7"/>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af7"/>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9"/>
      </w:pPr>
    </w:p>
    <w:p w14:paraId="61034AE9" w14:textId="75338257" w:rsidR="00CD1693" w:rsidRDefault="006750BB">
      <w:pPr>
        <w:pStyle w:val="a9"/>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af7"/>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35pt;mso-width-percent:0;mso-height-percent:0;mso-width-percent:0;mso-height-percent:0" o:ole="">
            <v:imagedata r:id="rId14" o:title=""/>
          </v:shape>
          <o:OLEObject Type="Embed" ProgID="Visio.Drawing.11" ShapeID="_x0000_i1025" DrawAspect="Content" ObjectID="_1683115377"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9"/>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af7"/>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af7"/>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af7"/>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7"/>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af7"/>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7"/>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a9"/>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hint="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2C3094B3" w:rsidR="005A7013" w:rsidRDefault="005A7013" w:rsidP="005A7013">
            <w:pPr>
              <w:snapToGrid w:val="0"/>
              <w:spacing w:after="0"/>
              <w:rPr>
                <w:lang w:eastAsia="zh-CN"/>
              </w:rPr>
            </w:pPr>
          </w:p>
        </w:tc>
        <w:tc>
          <w:tcPr>
            <w:tcW w:w="8080" w:type="dxa"/>
            <w:vAlign w:val="center"/>
          </w:tcPr>
          <w:p w14:paraId="4C798F0B" w14:textId="77777777" w:rsidR="005A7013" w:rsidRPr="0044038F" w:rsidRDefault="005A7013" w:rsidP="005A7013">
            <w:pPr>
              <w:spacing w:before="60" w:after="60" w:line="288" w:lineRule="auto"/>
              <w:jc w:val="both"/>
              <w:rPr>
                <w:rFonts w:eastAsia="Malgun Gothic"/>
                <w:b/>
                <w:sz w:val="22"/>
                <w:szCs w:val="22"/>
              </w:rPr>
            </w:pPr>
          </w:p>
        </w:tc>
      </w:tr>
      <w:tr w:rsidR="005A7013" w14:paraId="3D65A09A" w14:textId="77777777" w:rsidTr="00FE13CE">
        <w:trPr>
          <w:trHeight w:val="398"/>
          <w:jc w:val="center"/>
        </w:trPr>
        <w:tc>
          <w:tcPr>
            <w:tcW w:w="2547" w:type="dxa"/>
            <w:shd w:val="clear" w:color="auto" w:fill="auto"/>
            <w:vAlign w:val="center"/>
          </w:tcPr>
          <w:p w14:paraId="10D0D31C" w14:textId="5EC55C7C" w:rsidR="005A7013" w:rsidRDefault="005A7013" w:rsidP="005A7013">
            <w:pPr>
              <w:snapToGrid w:val="0"/>
              <w:spacing w:after="0"/>
              <w:rPr>
                <w:lang w:eastAsia="zh-CN"/>
              </w:rPr>
            </w:pPr>
          </w:p>
        </w:tc>
        <w:tc>
          <w:tcPr>
            <w:tcW w:w="8080" w:type="dxa"/>
            <w:vAlign w:val="center"/>
          </w:tcPr>
          <w:p w14:paraId="363F81DC" w14:textId="77777777" w:rsidR="005A7013" w:rsidRDefault="005A7013" w:rsidP="005A7013">
            <w:pPr>
              <w:ind w:right="-99"/>
            </w:pP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w:lastRenderedPageBreak/>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E245AE" w:rsidRDefault="00E245AE"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E245AE" w:rsidRDefault="00E245AE"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af7"/>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af7"/>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af7"/>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lastRenderedPageBreak/>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a9"/>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a9"/>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a9"/>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77777777" w:rsidR="00DB61B9" w:rsidRDefault="00DB61B9" w:rsidP="00DB61B9">
            <w:pPr>
              <w:snapToGrid w:val="0"/>
              <w:spacing w:after="0"/>
              <w:rPr>
                <w:lang w:eastAsia="zh-CN"/>
              </w:rPr>
            </w:pPr>
          </w:p>
        </w:tc>
        <w:tc>
          <w:tcPr>
            <w:tcW w:w="8080" w:type="dxa"/>
            <w:vAlign w:val="center"/>
          </w:tcPr>
          <w:p w14:paraId="1279E4BF" w14:textId="77777777" w:rsidR="00DB61B9" w:rsidRPr="00D73F4B" w:rsidRDefault="00DB61B9" w:rsidP="00DB61B9">
            <w:pPr>
              <w:rPr>
                <w:bCs/>
                <w:i/>
              </w:rPr>
            </w:pP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af7"/>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af7"/>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af7"/>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af7"/>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af7"/>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af7"/>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af7"/>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 xml:space="preserve">PRACH </w:t>
            </w:r>
            <w:r w:rsidR="00277114" w:rsidRPr="00D23940">
              <w:rPr>
                <w:rFonts w:eastAsiaTheme="minorEastAsia"/>
                <w:lang w:eastAsia="zh-CN"/>
              </w:rPr>
              <w:lastRenderedPageBreak/>
              <w:t>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lastRenderedPageBreak/>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a9"/>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a9"/>
              <w:rPr>
                <w:iCs/>
              </w:rPr>
            </w:pPr>
            <w:r w:rsidRPr="000956DA">
              <w:rPr>
                <w:iCs/>
              </w:rPr>
              <w:t>Q1: Yes. Further study/analysis is needed.</w:t>
            </w:r>
          </w:p>
          <w:p w14:paraId="1E75436F" w14:textId="77777777" w:rsidR="000956DA" w:rsidRPr="000956DA" w:rsidRDefault="000956DA" w:rsidP="000956DA">
            <w:pPr>
              <w:pStyle w:val="a9"/>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a9"/>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a9"/>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77777777" w:rsidR="009D7E5C" w:rsidRDefault="009D7E5C" w:rsidP="009D7E5C">
            <w:pPr>
              <w:snapToGrid w:val="0"/>
              <w:spacing w:after="0"/>
              <w:rPr>
                <w:lang w:eastAsia="zh-CN"/>
              </w:rPr>
            </w:pPr>
          </w:p>
        </w:tc>
        <w:tc>
          <w:tcPr>
            <w:tcW w:w="8080" w:type="dxa"/>
            <w:vAlign w:val="center"/>
          </w:tcPr>
          <w:p w14:paraId="182E03E4" w14:textId="77777777" w:rsidR="009D7E5C" w:rsidRPr="00D73F4B" w:rsidRDefault="009D7E5C" w:rsidP="009D7E5C">
            <w:pPr>
              <w:rPr>
                <w:bCs/>
                <w:i/>
              </w:rPr>
            </w:pP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E245AE" w:rsidRDefault="00E245AE">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E245AE" w:rsidRDefault="00E245AE">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w:t>
      </w:r>
      <w:r w:rsidR="00D048AC">
        <w:rPr>
          <w:rFonts w:eastAsiaTheme="minorEastAsia"/>
          <w:lang w:eastAsia="zh-CN"/>
        </w:rPr>
        <w:lastRenderedPageBreak/>
        <w:t xml:space="preserve">=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E245AE" w:rsidRDefault="00E245AE">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E245AE" w:rsidRDefault="00E245AE">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2pt;mso-width-percent:0;mso-height-percent:0;mso-width-percent:0;mso-height-percent:0" o:ole="">
                  <v:imagedata r:id="rId21" o:title=""/>
                </v:shape>
                <o:OLEObject Type="Embed" ProgID="Equation.3" ShapeID="_x0000_i1026" DrawAspect="Content" ObjectID="_1683115378"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9pt;height:15.05pt;mso-width-percent:0;mso-height-percent:0;mso-width-percent:0;mso-height-percent:0" o:ole="">
                  <v:imagedata r:id="rId23" o:title=""/>
                </v:shape>
                <o:OLEObject Type="Embed" ProgID="Equation.3" ShapeID="_x0000_i1027" DrawAspect="Content" ObjectID="_1683115379"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pt;height:13.45pt;mso-width-percent:0;mso-height-percent:0;mso-width-percent:0;mso-height-percent:0" o:ole="">
                  <v:imagedata r:id="rId25" o:title=""/>
                </v:shape>
                <o:OLEObject Type="Embed" ProgID="Equation.3" ShapeID="_x0000_i1028" DrawAspect="Content" ObjectID="_1683115380"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9pt;height:11.3pt;mso-width-percent:0;mso-height-percent:0;mso-width-percent:0;mso-height-percent:0" o:ole="">
                  <v:imagedata r:id="rId27" o:title=""/>
                </v:shape>
                <o:OLEObject Type="Embed" ProgID="Equation.3" ShapeID="_x0000_i1029" DrawAspect="Content" ObjectID="_1683115381"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6pt;height:13.45pt;mso-width-percent:0;mso-height-percent:0;mso-width-percent:0;mso-height-percent:0" o:ole="">
                  <v:imagedata r:id="rId29" o:title=""/>
                </v:shape>
                <o:OLEObject Type="Embed" ProgID="Equation.3" ShapeID="_x0000_i1030" DrawAspect="Content" ObjectID="_1683115382"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65pt;height:15.05pt;mso-width-percent:0;mso-height-percent:0;mso-width-percent:0;mso-height-percent:0" o:ole="">
                  <v:imagedata r:id="rId31" o:title=""/>
                </v:shape>
                <o:OLEObject Type="Embed" ProgID="Equation.3" ShapeID="_x0000_i1031" DrawAspect="Content" ObjectID="_1683115383"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3pt;height:11.3pt;mso-width-percent:0;mso-height-percent:0;mso-width-percent:0;mso-height-percent:0" o:ole="">
                  <v:imagedata r:id="rId33" o:title=""/>
                </v:shape>
                <o:OLEObject Type="Embed" ProgID="Equation.3" ShapeID="_x0000_i1032" DrawAspect="Content" ObjectID="_1683115384"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55pt;height:13.45pt;mso-width-percent:0;mso-height-percent:0;mso-width-percent:0;mso-height-percent:0" o:ole="">
                  <v:imagedata r:id="rId35" o:title=""/>
                </v:shape>
                <o:OLEObject Type="Embed" ProgID="Equation.3" ShapeID="_x0000_i1033" DrawAspect="Content" ObjectID="_1683115385"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5pt;height:17.2pt;mso-width-percent:0;mso-height-percent:0;mso-width-percent:0;mso-height-percent:0" o:ole="">
            <v:imagedata r:id="rId37" o:title=""/>
          </v:shape>
          <o:OLEObject Type="Embed" ProgID="Equation.3" ShapeID="_x0000_i1034" DrawAspect="Content" ObjectID="_1683115386"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8pt;height:17.2pt;mso-width-percent:0;mso-height-percent:0;mso-width-percent:0;mso-height-percent:0" o:ole="">
            <v:imagedata r:id="rId39" o:title=""/>
          </v:shape>
          <o:OLEObject Type="Embed" ProgID="Equation.3" ShapeID="_x0000_i1035" DrawAspect="Content" ObjectID="_1683115387"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95pt;height:19.9pt;mso-width-percent:0;mso-height-percent:0;mso-width-percent:0;mso-height-percent:0" o:ole="">
            <v:imagedata r:id="rId41" o:title=""/>
          </v:shape>
          <o:OLEObject Type="Embed" ProgID="Equation.3" ShapeID="_x0000_i1036" DrawAspect="Content" ObjectID="_1683115388"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E245AE" w:rsidP="00FE13CE">
            <w:pPr>
              <w:pStyle w:val="TAH"/>
            </w:pPr>
            <w:r>
              <w:rPr>
                <w:noProof/>
              </w:rPr>
              <w:pict w14:anchorId="572A9E0C">
                <v:shape id="_x0000_i1037" type="#_x0000_t75" alt="" style="width:13.45pt;height:13.4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5pt;height:17.2pt;mso-width-percent:0;mso-height-percent:0;mso-width-percent:0;mso-height-percent:0" o:ole="">
                  <v:imagedata r:id="rId44" o:title=""/>
                </v:shape>
                <o:OLEObject Type="Embed" ProgID="Equation.3" ShapeID="_x0000_i1038" DrawAspect="Content" ObjectID="_1683115389"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8pt;height:17.2pt;mso-width-percent:0;mso-height-percent:0;mso-width-percent:0;mso-height-percent:0" o:ole="">
                  <v:imagedata r:id="rId46" o:title=""/>
                </v:shape>
                <o:OLEObject Type="Embed" ProgID="Equation.3" ShapeID="_x0000_i1039" DrawAspect="Content" ObjectID="_1683115390"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95pt;height:19.9pt;mso-width-percent:0;mso-height-percent:0;mso-width-percent:0;mso-height-percent:0" o:ole="">
                  <v:imagedata r:id="rId48" o:title=""/>
                </v:shape>
                <o:OLEObject Type="Embed" ProgID="Equation.3" ShapeID="_x0000_i1040" DrawAspect="Content" ObjectID="_1683115391"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9pt;mso-width-percent:0;mso-height-percent:0;mso-width-percent:0;mso-height-percent:0" o:ole="">
            <v:imagedata r:id="rId50" o:title=""/>
          </v:shape>
          <o:OLEObject Type="Embed" ProgID="Visio.Drawing.11" ShapeID="_x0000_i1041" DrawAspect="Content" ObjectID="_1683115392"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0"/>
        <w:gridCol w:w="1069"/>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E245AE" w:rsidP="00FE13CE">
            <w:pPr>
              <w:pStyle w:val="TAH"/>
              <w:rPr>
                <w:rFonts w:ascii="Times New Roman" w:hAnsi="Times New Roman"/>
              </w:rPr>
            </w:pPr>
            <w:r>
              <w:rPr>
                <w:rFonts w:ascii="Times New Roman" w:hAnsi="Times New Roman"/>
                <w:noProof/>
                <w:position w:val="-10"/>
              </w:rPr>
              <w:pict w14:anchorId="10CA82EF">
                <v:shape id="_x0000_i1042" type="#_x0000_t75" alt="" style="width:13.95pt;height:13.9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E245AE"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3.9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E245AE"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3.9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E245AE"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3.9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E245AE"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3.9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E245AE"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3.9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E245AE" w:rsidP="00FE13CE">
            <w:pPr>
              <w:pStyle w:val="TAC"/>
              <w:rPr>
                <w:rFonts w:ascii="Times New Roman" w:hAnsi="Times New Roman"/>
              </w:rPr>
            </w:pPr>
            <w:r>
              <w:rPr>
                <w:rFonts w:ascii="Times New Roman" w:hAnsi="Times New Roman"/>
                <w:noProof/>
                <w:position w:val="-10"/>
              </w:rPr>
              <w:pict w14:anchorId="374F8C20">
                <v:shape id="_x0000_i1048" type="#_x0000_t75" alt="" style="width:36.55pt;height:13.9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af7"/>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af7"/>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 xml:space="preserve">8 slots for 3.75 kHz SCS and </w:t>
            </w:r>
            <w:r w:rsidR="00AE2A73" w:rsidRPr="00AE2A73">
              <w:rPr>
                <w:rFonts w:eastAsiaTheme="minorEastAsia"/>
                <w:lang w:eastAsia="zh-CN"/>
              </w:rPr>
              <w:lastRenderedPageBreak/>
              <w:t>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lastRenderedPageBreak/>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lastRenderedPageBreak/>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77777777" w:rsidR="005214FF" w:rsidRDefault="005214FF" w:rsidP="005214FF">
            <w:pPr>
              <w:snapToGrid w:val="0"/>
              <w:spacing w:after="0"/>
              <w:rPr>
                <w:lang w:eastAsia="zh-CN"/>
              </w:rPr>
            </w:pPr>
          </w:p>
        </w:tc>
        <w:tc>
          <w:tcPr>
            <w:tcW w:w="8080" w:type="dxa"/>
            <w:vAlign w:val="center"/>
          </w:tcPr>
          <w:p w14:paraId="5CFB5CB8" w14:textId="77777777" w:rsidR="005214FF" w:rsidRDefault="005214FF" w:rsidP="005214FF">
            <w:pPr>
              <w:overflowPunct w:val="0"/>
              <w:autoSpaceDE w:val="0"/>
              <w:autoSpaceDN w:val="0"/>
              <w:adjustRightInd w:val="0"/>
              <w:contextualSpacing/>
              <w:textAlignment w:val="baseline"/>
            </w:pPr>
          </w:p>
        </w:tc>
      </w:tr>
      <w:tr w:rsidR="005214FF" w14:paraId="25A5D393" w14:textId="77777777" w:rsidTr="00FE13CE">
        <w:trPr>
          <w:trHeight w:val="398"/>
          <w:jc w:val="center"/>
        </w:trPr>
        <w:tc>
          <w:tcPr>
            <w:tcW w:w="2547" w:type="dxa"/>
            <w:shd w:val="clear" w:color="auto" w:fill="auto"/>
            <w:vAlign w:val="center"/>
          </w:tcPr>
          <w:p w14:paraId="35D42D51" w14:textId="77777777" w:rsidR="005214FF" w:rsidRDefault="005214FF" w:rsidP="005214FF">
            <w:pPr>
              <w:snapToGrid w:val="0"/>
              <w:spacing w:after="0"/>
              <w:rPr>
                <w:bCs/>
                <w:lang w:eastAsia="zh-CN"/>
              </w:rPr>
            </w:pPr>
          </w:p>
        </w:tc>
        <w:tc>
          <w:tcPr>
            <w:tcW w:w="8080" w:type="dxa"/>
            <w:vAlign w:val="center"/>
          </w:tcPr>
          <w:p w14:paraId="27DB5DAF" w14:textId="77777777" w:rsidR="005214FF" w:rsidRPr="00AD2C3F" w:rsidRDefault="005214FF" w:rsidP="005214FF">
            <w:pPr>
              <w:jc w:val="both"/>
              <w:rPr>
                <w:i/>
              </w:rPr>
            </w:pP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lastRenderedPageBreak/>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E245AE" w:rsidRDefault="00E245AE"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E245AE" w:rsidRDefault="00E245AE"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af7"/>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af7"/>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af7"/>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a9"/>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a9"/>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hint="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bookmarkStart w:id="3" w:name="_GoBack"/>
            <w:bookmarkEnd w:id="3"/>
          </w:p>
        </w:tc>
      </w:tr>
      <w:tr w:rsidR="005214FF" w14:paraId="2C376E72" w14:textId="77777777" w:rsidTr="00720345">
        <w:trPr>
          <w:trHeight w:val="398"/>
          <w:jc w:val="center"/>
        </w:trPr>
        <w:tc>
          <w:tcPr>
            <w:tcW w:w="2547" w:type="dxa"/>
            <w:shd w:val="clear" w:color="auto" w:fill="auto"/>
            <w:vAlign w:val="center"/>
          </w:tcPr>
          <w:p w14:paraId="381FECFA" w14:textId="77777777" w:rsidR="005214FF" w:rsidRDefault="005214FF" w:rsidP="005214FF">
            <w:pPr>
              <w:snapToGrid w:val="0"/>
              <w:spacing w:after="0"/>
              <w:rPr>
                <w:lang w:eastAsia="zh-CN"/>
              </w:rPr>
            </w:pPr>
          </w:p>
        </w:tc>
        <w:tc>
          <w:tcPr>
            <w:tcW w:w="8080" w:type="dxa"/>
            <w:vAlign w:val="center"/>
          </w:tcPr>
          <w:p w14:paraId="3BD31773" w14:textId="77777777" w:rsidR="005214FF" w:rsidRPr="00414429" w:rsidRDefault="005214FF" w:rsidP="005214FF">
            <w:pPr>
              <w:spacing w:before="240" w:after="240"/>
              <w:jc w:val="both"/>
              <w:rPr>
                <w:i/>
              </w:rPr>
            </w:pPr>
          </w:p>
        </w:tc>
      </w:tr>
      <w:tr w:rsidR="005214FF" w14:paraId="5DD2C8CE" w14:textId="77777777" w:rsidTr="00720345">
        <w:trPr>
          <w:trHeight w:val="398"/>
          <w:jc w:val="center"/>
        </w:trPr>
        <w:tc>
          <w:tcPr>
            <w:tcW w:w="2547" w:type="dxa"/>
            <w:shd w:val="clear" w:color="auto" w:fill="auto"/>
            <w:vAlign w:val="center"/>
          </w:tcPr>
          <w:p w14:paraId="6594D2D2" w14:textId="77777777" w:rsidR="005214FF" w:rsidRDefault="005214FF" w:rsidP="005214FF">
            <w:pPr>
              <w:snapToGrid w:val="0"/>
              <w:spacing w:after="0"/>
              <w:rPr>
                <w:lang w:eastAsia="zh-CN"/>
              </w:rPr>
            </w:pPr>
          </w:p>
        </w:tc>
        <w:tc>
          <w:tcPr>
            <w:tcW w:w="8080" w:type="dxa"/>
            <w:vAlign w:val="center"/>
          </w:tcPr>
          <w:p w14:paraId="1968A01A" w14:textId="77777777" w:rsidR="005214FF" w:rsidRDefault="005214FF" w:rsidP="005214FF">
            <w:pPr>
              <w:snapToGrid w:val="0"/>
              <w:rPr>
                <w:lang w:eastAsia="ko-KR"/>
              </w:rPr>
            </w:pP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w:t>
      </w:r>
      <w:r>
        <w:rPr>
          <w:lang w:val="en-US"/>
        </w:rPr>
        <w:lastRenderedPageBreak/>
        <w:t xml:space="preserve">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af7"/>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af7"/>
        <w:numPr>
          <w:ilvl w:val="0"/>
          <w:numId w:val="28"/>
        </w:numPr>
        <w:spacing w:after="0"/>
        <w:rPr>
          <w:rFonts w:eastAsia="MS Gothic"/>
          <w:b/>
          <w:i/>
          <w:kern w:val="28"/>
          <w:lang w:val="en-US" w:eastAsia="ja-JP"/>
        </w:rPr>
      </w:pPr>
      <w:r w:rsidRPr="00AC5F6E">
        <w:rPr>
          <w:rFonts w:eastAsia="MS Gothic"/>
          <w:b/>
          <w:kern w:val="28"/>
          <w:lang w:val="en-US" w:eastAsia="ja-JP"/>
        </w:rPr>
        <w:lastRenderedPageBreak/>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a9"/>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lastRenderedPageBreak/>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hint="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77777777" w:rsidR="005214FF" w:rsidRDefault="005214FF" w:rsidP="005214FF">
            <w:pPr>
              <w:snapToGrid w:val="0"/>
              <w:spacing w:after="0"/>
              <w:rPr>
                <w:lang w:eastAsia="zh-CN"/>
              </w:rPr>
            </w:pPr>
          </w:p>
        </w:tc>
        <w:tc>
          <w:tcPr>
            <w:tcW w:w="8080" w:type="dxa"/>
            <w:vAlign w:val="center"/>
          </w:tcPr>
          <w:p w14:paraId="667B46F3" w14:textId="77777777" w:rsidR="005214FF" w:rsidRDefault="005214FF" w:rsidP="005214FF">
            <w:pPr>
              <w:snapToGrid w:val="0"/>
              <w:rPr>
                <w:lang w:eastAsia="ko-KR"/>
              </w:rPr>
            </w:pP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af7"/>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af7"/>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a9"/>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lastRenderedPageBreak/>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77777777" w:rsidR="005214FF" w:rsidRDefault="005214FF" w:rsidP="005214FF">
            <w:pPr>
              <w:snapToGrid w:val="0"/>
              <w:spacing w:after="0"/>
              <w:rPr>
                <w:lang w:eastAsia="zh-CN"/>
              </w:rPr>
            </w:pPr>
          </w:p>
        </w:tc>
        <w:tc>
          <w:tcPr>
            <w:tcW w:w="8080" w:type="dxa"/>
            <w:vAlign w:val="center"/>
          </w:tcPr>
          <w:p w14:paraId="18AB4064" w14:textId="77777777" w:rsidR="005214FF" w:rsidRPr="00414429" w:rsidRDefault="005214FF" w:rsidP="005214FF">
            <w:pPr>
              <w:spacing w:before="240" w:after="240"/>
              <w:jc w:val="both"/>
              <w:rPr>
                <w:i/>
              </w:rPr>
            </w:pP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af7"/>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af7"/>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a9"/>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77777777" w:rsidR="005214FF" w:rsidRDefault="005214FF" w:rsidP="005214FF">
            <w:pPr>
              <w:snapToGrid w:val="0"/>
              <w:spacing w:after="0"/>
              <w:rPr>
                <w:lang w:eastAsia="zh-CN"/>
              </w:rPr>
            </w:pPr>
          </w:p>
        </w:tc>
        <w:tc>
          <w:tcPr>
            <w:tcW w:w="8080" w:type="dxa"/>
            <w:vAlign w:val="center"/>
          </w:tcPr>
          <w:p w14:paraId="50543400" w14:textId="77777777" w:rsidR="005214FF" w:rsidRDefault="005214FF" w:rsidP="005214FF">
            <w:pPr>
              <w:jc w:val="both"/>
              <w:rPr>
                <w:b/>
                <w:i/>
                <w:lang w:val="en-US"/>
              </w:rPr>
            </w:pP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7"/>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af7"/>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7"/>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af7"/>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af7"/>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af7"/>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af7"/>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af7"/>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af7"/>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af7"/>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af7"/>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af7"/>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af7"/>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af7"/>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af7"/>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af7"/>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af7"/>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af7"/>
        <w:numPr>
          <w:ilvl w:val="0"/>
          <w:numId w:val="4"/>
        </w:numPr>
        <w:spacing w:before="120"/>
      </w:pPr>
      <w:r>
        <w:lastRenderedPageBreak/>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af7"/>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af7"/>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af7"/>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af7"/>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lastRenderedPageBreak/>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xml:space="preserve">: Need to enhance mapping mechanism of PRACH occasion in the initial access to </w:t>
            </w:r>
            <w:r w:rsidRPr="002330AC">
              <w:rPr>
                <w:i/>
              </w:rPr>
              <w:lastRenderedPageBreak/>
              <w:t>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9"/>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9"/>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9"/>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a9"/>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a9"/>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a9"/>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af7"/>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af7"/>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9"/>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9"/>
              <w:rPr>
                <w:i/>
                <w:lang w:eastAsia="zh-TW"/>
              </w:rPr>
            </w:pPr>
            <w:r>
              <w:rPr>
                <w:b/>
                <w:i/>
                <w:lang w:eastAsia="zh-TW"/>
              </w:rPr>
              <w:lastRenderedPageBreak/>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9"/>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9"/>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a9"/>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a9"/>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9"/>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a9"/>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a9"/>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9"/>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9"/>
              <w:rPr>
                <w:i/>
              </w:rPr>
            </w:pPr>
            <w:r w:rsidRPr="00882C45">
              <w:rPr>
                <w:b/>
                <w:i/>
              </w:rPr>
              <w:lastRenderedPageBreak/>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9"/>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9"/>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9"/>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9"/>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9"/>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af7"/>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af7"/>
              <w:numPr>
                <w:ilvl w:val="0"/>
                <w:numId w:val="14"/>
              </w:numPr>
              <w:overflowPunct w:val="0"/>
              <w:autoSpaceDE w:val="0"/>
              <w:autoSpaceDN w:val="0"/>
              <w:adjustRightInd w:val="0"/>
              <w:contextualSpacing/>
              <w:textAlignment w:val="baseline"/>
              <w:rPr>
                <w:b/>
                <w:bCs/>
                <w:color w:val="FF0000"/>
              </w:rPr>
            </w:pPr>
            <w:r w:rsidRPr="00E83902">
              <w:rPr>
                <w:b/>
                <w:bCs/>
                <w:color w:val="FF0000"/>
              </w:rPr>
              <w:lastRenderedPageBreak/>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af7"/>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af7"/>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af7"/>
              <w:numPr>
                <w:ilvl w:val="1"/>
                <w:numId w:val="5"/>
              </w:numPr>
              <w:spacing w:before="120" w:after="120"/>
              <w:jc w:val="both"/>
              <w:rPr>
                <w:i/>
              </w:rPr>
            </w:pPr>
            <w:r>
              <w:rPr>
                <w:i/>
              </w:rPr>
              <w:t>Post-compensation at the eNB side</w:t>
            </w:r>
          </w:p>
          <w:p w14:paraId="50B873FB" w14:textId="77777777" w:rsidR="00730005" w:rsidRDefault="00730005" w:rsidP="00730005">
            <w:pPr>
              <w:pStyle w:val="af7"/>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af7"/>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af7"/>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af7"/>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af7"/>
              <w:numPr>
                <w:ilvl w:val="1"/>
                <w:numId w:val="13"/>
              </w:numPr>
              <w:spacing w:before="120" w:after="120"/>
              <w:jc w:val="both"/>
              <w:rPr>
                <w:i/>
              </w:rPr>
            </w:pPr>
            <w:r>
              <w:rPr>
                <w:i/>
              </w:rPr>
              <w:lastRenderedPageBreak/>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7"/>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7"/>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7"/>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lastRenderedPageBreak/>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9"/>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9"/>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lastRenderedPageBreak/>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lastRenderedPageBreak/>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0E47" w14:textId="77777777" w:rsidR="00A1691C" w:rsidRDefault="00A1691C" w:rsidP="00584850">
      <w:pPr>
        <w:spacing w:after="0"/>
      </w:pPr>
      <w:r>
        <w:separator/>
      </w:r>
    </w:p>
  </w:endnote>
  <w:endnote w:type="continuationSeparator" w:id="0">
    <w:p w14:paraId="4A77CE44" w14:textId="77777777" w:rsidR="00A1691C" w:rsidRDefault="00A1691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7517" w14:textId="77777777" w:rsidR="00A1691C" w:rsidRDefault="00A1691C" w:rsidP="00584850">
      <w:pPr>
        <w:spacing w:after="0"/>
      </w:pPr>
      <w:r>
        <w:separator/>
      </w:r>
    </w:p>
  </w:footnote>
  <w:footnote w:type="continuationSeparator" w:id="0">
    <w:p w14:paraId="20F5C59F" w14:textId="77777777" w:rsidR="00A1691C" w:rsidRDefault="00A1691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__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60B3010A-F9BB-443D-B77D-7816A179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40</Pages>
  <Words>15350</Words>
  <Characters>87499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Lei, Reven (雷珍珠)</cp:lastModifiedBy>
  <cp:revision>6</cp:revision>
  <cp:lastPrinted>2017-11-03T15:53:00Z</cp:lastPrinted>
  <dcterms:created xsi:type="dcterms:W3CDTF">2021-05-21T01:06:00Z</dcterms:created>
  <dcterms:modified xsi:type="dcterms:W3CDTF">2021-05-21T07:11:00Z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