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5C1076">
        <w:tc>
          <w:tcPr>
            <w:tcW w:w="1701" w:type="dxa"/>
          </w:tcPr>
          <w:p w14:paraId="2EFFAE62" w14:textId="77777777" w:rsidR="00943B16" w:rsidRPr="005B167C" w:rsidRDefault="00943B16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5C1076">
        <w:tc>
          <w:tcPr>
            <w:tcW w:w="1701" w:type="dxa"/>
          </w:tcPr>
          <w:p w14:paraId="42366331" w14:textId="0702EE7C" w:rsidR="00943B16" w:rsidRPr="00F5074B" w:rsidRDefault="00A9211C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5C1076">
        <w:tc>
          <w:tcPr>
            <w:tcW w:w="1701" w:type="dxa"/>
          </w:tcPr>
          <w:p w14:paraId="3E0ED33E" w14:textId="3CAA2091" w:rsidR="00A9211C" w:rsidRDefault="00B50924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5C1076">
        <w:tc>
          <w:tcPr>
            <w:tcW w:w="1701" w:type="dxa"/>
          </w:tcPr>
          <w:p w14:paraId="465C74D5" w14:textId="22ADFBFE" w:rsidR="00C84252" w:rsidRDefault="00C84252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5C1076">
        <w:tc>
          <w:tcPr>
            <w:tcW w:w="1701" w:type="dxa"/>
          </w:tcPr>
          <w:p w14:paraId="206ABD7F" w14:textId="35D3A333" w:rsidR="0004486D" w:rsidRDefault="0004486D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5C1076">
        <w:tc>
          <w:tcPr>
            <w:tcW w:w="1701" w:type="dxa"/>
          </w:tcPr>
          <w:p w14:paraId="77C70B08" w14:textId="220C6E64" w:rsidR="00D80E82" w:rsidRDefault="00D80E82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Moderator(ZTE)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5pt;height:15.65pt" o:ole="">
            <v:imagedata r:id="rId8" o:title=""/>
          </v:shape>
          <o:OLEObject Type="Embed" ProgID="Equation.3" ShapeID="_x0000_i1025" DrawAspect="Content" ObjectID="_1683394465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2pt;height:15.65pt" o:ole="">
            <v:imagedata r:id="rId10" o:title=""/>
          </v:shape>
          <o:OLEObject Type="Embed" ProgID="Equation.3" ShapeID="_x0000_i1026" DrawAspect="Content" ObjectID="_1683394466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65pt;height:15.65pt" o:ole="">
            <v:imagedata r:id="rId8" o:title=""/>
          </v:shape>
          <o:OLEObject Type="Embed" ProgID="Equation.3" ShapeID="_x0000_i1027" DrawAspect="Content" ObjectID="_1683394467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65pt;height:15.65pt" o:ole="">
            <v:imagedata r:id="rId8" o:title=""/>
          </v:shape>
          <o:OLEObject Type="Embed" ProgID="Equation.3" ShapeID="_x0000_i1028" DrawAspect="Content" ObjectID="_1683394468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5pt;height:15.65pt" o:ole="">
            <v:imagedata r:id="rId14" o:title=""/>
          </v:shape>
          <o:OLEObject Type="Embed" ProgID="Equation.3" ShapeID="_x0000_i1029" DrawAspect="Content" ObjectID="_1683394469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65pt;height:15.65pt" o:ole="">
            <v:imagedata r:id="rId8" o:title=""/>
          </v:shape>
          <o:OLEObject Type="Embed" ProgID="Equation.3" ShapeID="_x0000_i1030" DrawAspect="Content" ObjectID="_1683394470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65pt;height:15.65pt" o:ole="">
            <v:imagedata r:id="rId8" o:title=""/>
          </v:shape>
          <o:OLEObject Type="Embed" ProgID="Equation.3" ShapeID="_x0000_i1031" DrawAspect="Content" ObjectID="_1683394471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65pt;height:15.65pt" o:ole="">
            <v:imagedata r:id="rId8" o:title=""/>
          </v:shape>
          <o:OLEObject Type="Embed" ProgID="Equation.3" ShapeID="_x0000_i1032" DrawAspect="Content" ObjectID="_1683394472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2pt;height:15.65pt" o:ole="">
            <v:imagedata r:id="rId10" o:title=""/>
          </v:shape>
          <o:OLEObject Type="Embed" ProgID="Equation.3" ShapeID="_x0000_i1033" DrawAspect="Content" ObjectID="_1683394473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65pt;height:15.65pt" o:ole="">
            <v:imagedata r:id="rId8" o:title=""/>
          </v:shape>
          <o:OLEObject Type="Embed" ProgID="Equation.3" ShapeID="_x0000_i1034" DrawAspect="Content" ObjectID="_1683394474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65pt;height:15.65pt" o:ole="">
            <v:imagedata r:id="rId8" o:title=""/>
          </v:shape>
          <o:OLEObject Type="Embed" ProgID="Equation.3" ShapeID="_x0000_i1035" DrawAspect="Content" ObjectID="_1683394475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5pt;height:15.65pt" o:ole="">
            <v:imagedata r:id="rId14" o:title=""/>
          </v:shape>
          <o:OLEObject Type="Embed" ProgID="Equation.3" ShapeID="_x0000_i1036" DrawAspect="Content" ObjectID="_1683394476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65pt;height:15.65pt" o:ole="">
            <v:imagedata r:id="rId8" o:title=""/>
          </v:shape>
          <o:OLEObject Type="Embed" ProgID="Equation.3" ShapeID="_x0000_i1037" DrawAspect="Content" ObjectID="_1683394477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65pt;height:15.65pt" o:ole="">
            <v:imagedata r:id="rId8" o:title=""/>
          </v:shape>
          <o:OLEObject Type="Embed" ProgID="Equation.3" ShapeID="_x0000_i1038" DrawAspect="Content" ObjectID="_1683394478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宋体"/>
                <w:kern w:val="0"/>
                <w:sz w:val="20"/>
                <w:szCs w:val="20"/>
              </w:rPr>
              <w:t>TP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ae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C1076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65pt;height:15.65pt" o:ole="">
            <v:imagedata r:id="rId8" o:title=""/>
          </v:shape>
          <o:OLEObject Type="Embed" ProgID="Equation.3" ShapeID="_x0000_i1039" DrawAspect="Content" ObjectID="_1683394479" r:id="rId2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2pt;height:15.65pt" o:ole="">
            <v:imagedata r:id="rId10" o:title=""/>
          </v:shape>
          <o:OLEObject Type="Embed" ProgID="Equation.3" ShapeID="_x0000_i1040" DrawAspect="Content" ObjectID="_1683394480" r:id="rId2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65pt;height:15.65pt" o:ole="">
            <v:imagedata r:id="rId8" o:title=""/>
          </v:shape>
          <o:OLEObject Type="Embed" ProgID="Equation.3" ShapeID="_x0000_i1041" DrawAspect="Content" ObjectID="_1683394481" r:id="rId2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65pt;height:15.65pt" o:ole="">
            <v:imagedata r:id="rId8" o:title=""/>
          </v:shape>
          <o:OLEObject Type="Embed" ProgID="Equation.3" ShapeID="_x0000_i1042" DrawAspect="Content" ObjectID="_1683394482" r:id="rId2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5pt;height:15.65pt" o:ole="">
            <v:imagedata r:id="rId14" o:title=""/>
          </v:shape>
          <o:OLEObject Type="Embed" ProgID="Equation.3" ShapeID="_x0000_i1043" DrawAspect="Content" ObjectID="_1683394483" r:id="rId3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65pt;height:15.65pt" o:ole="">
            <v:imagedata r:id="rId8" o:title=""/>
          </v:shape>
          <o:OLEObject Type="Embed" ProgID="Equation.3" ShapeID="_x0000_i1044" DrawAspect="Content" ObjectID="_1683394484" r:id="rId3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65pt;height:15.65pt" o:ole="">
            <v:imagedata r:id="rId8" o:title=""/>
          </v:shape>
          <o:OLEObject Type="Embed" ProgID="Equation.3" ShapeID="_x0000_i1045" DrawAspect="Content" ObjectID="_1683394485" r:id="rId3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宋体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C1076">
        <w:tc>
          <w:tcPr>
            <w:tcW w:w="1559" w:type="dxa"/>
          </w:tcPr>
          <w:p w14:paraId="0A51814B" w14:textId="77777777" w:rsidR="005002B0" w:rsidRPr="005B167C" w:rsidRDefault="005002B0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C1076">
        <w:tc>
          <w:tcPr>
            <w:tcW w:w="1559" w:type="dxa"/>
          </w:tcPr>
          <w:p w14:paraId="267C8413" w14:textId="6522A752" w:rsidR="005002B0" w:rsidRPr="002B556F" w:rsidRDefault="001A7BEC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11E3888C" w14:textId="38F30826" w:rsidR="005002B0" w:rsidRPr="002B556F" w:rsidRDefault="001A7BEC" w:rsidP="00AB4735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F</w:t>
            </w:r>
            <w:r>
              <w:rPr>
                <w:rFonts w:eastAsia="宋体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</w:p>
        </w:tc>
      </w:tr>
      <w:tr w:rsidR="00AB4735" w:rsidRPr="005B167C" w14:paraId="434A97A9" w14:textId="77777777" w:rsidTr="005C1076">
        <w:tc>
          <w:tcPr>
            <w:tcW w:w="1559" w:type="dxa"/>
          </w:tcPr>
          <w:p w14:paraId="1DFB5CD0" w14:textId="32D33E49" w:rsidR="00AB4735" w:rsidRDefault="00AB4735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7136C4A9" w14:textId="163C18BF" w:rsidR="00AB4735" w:rsidRDefault="00AB4735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From our understanding, this sub-bullet also includes Rel-14 NPRACH resources </w:t>
            </w:r>
            <w:r>
              <w:rPr>
                <w:rFonts w:eastAsia="宋体"/>
                <w:kern w:val="0"/>
                <w:sz w:val="20"/>
                <w:szCs w:val="20"/>
              </w:rPr>
              <w:t>that utilized by a UE that performs a random access procedure.</w:t>
            </w:r>
          </w:p>
          <w:p w14:paraId="4F246BDB" w14:textId="1D596BC2" w:rsidR="009C367B" w:rsidRDefault="00B2598F" w:rsidP="00B2598F">
            <w:pPr>
              <w:widowControl/>
              <w:shd w:val="clear" w:color="auto" w:fill="FDFDFD"/>
              <w:spacing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Besides, “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>any NPRACH resource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 xml:space="preserve"> includes Rel-13 NPRACH resources on 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. But considering that Rel-13 NPRACH on anchor carrier is a mandatory feature,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we are fine with the sub-bullet 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>“</w:t>
            </w:r>
            <w:r w:rsidR="009C367B"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” </w:t>
            </w:r>
            <w:r>
              <w:rPr>
                <w:rFonts w:eastAsia="宋体"/>
                <w:kern w:val="0"/>
                <w:sz w:val="20"/>
                <w:szCs w:val="20"/>
              </w:rPr>
              <w:t>proposed by Ericsson.</w:t>
            </w:r>
          </w:p>
        </w:tc>
      </w:tr>
      <w:tr w:rsidR="0011413C" w:rsidRPr="005B167C" w14:paraId="523AC290" w14:textId="77777777" w:rsidTr="005C1076">
        <w:tc>
          <w:tcPr>
            <w:tcW w:w="1559" w:type="dxa"/>
          </w:tcPr>
          <w:p w14:paraId="521052AA" w14:textId="0D19C561" w:rsidR="0011413C" w:rsidRDefault="0011413C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74020E5" w14:textId="3E962EF6" w:rsidR="0011413C" w:rsidRDefault="0011413C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About the question “does it include Rel-14”, indeed it seems that a Rel-14 CR will be needed. What we are discussing here is a Rel-15 CR, perhaps we can focus on it and in the next meeting we can bring the Rel-14 </w:t>
            </w:r>
            <w:r w:rsidR="00171927">
              <w:rPr>
                <w:rFonts w:eastAsia="宋体"/>
                <w:kern w:val="0"/>
                <w:sz w:val="20"/>
                <w:szCs w:val="20"/>
              </w:rPr>
              <w:t xml:space="preserve">CR </w:t>
            </w:r>
            <w:r>
              <w:rPr>
                <w:rFonts w:eastAsia="宋体"/>
                <w:kern w:val="0"/>
                <w:sz w:val="20"/>
                <w:szCs w:val="20"/>
              </w:rPr>
              <w:t>to cover on it the RA procedure.</w:t>
            </w:r>
          </w:p>
        </w:tc>
      </w:tr>
      <w:tr w:rsidR="009A7CC9" w:rsidRPr="005B167C" w14:paraId="2F347C55" w14:textId="77777777" w:rsidTr="005C1076">
        <w:tc>
          <w:tcPr>
            <w:tcW w:w="1559" w:type="dxa"/>
          </w:tcPr>
          <w:p w14:paraId="72FA6A1A" w14:textId="3E0E2038" w:rsidR="009A7CC9" w:rsidRDefault="009A7CC9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HiSilicon2</w:t>
            </w:r>
          </w:p>
        </w:tc>
        <w:tc>
          <w:tcPr>
            <w:tcW w:w="7088" w:type="dxa"/>
          </w:tcPr>
          <w:p w14:paraId="474912B0" w14:textId="3E71E475" w:rsidR="009A7CC9" w:rsidRP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9A7CC9">
              <w:rPr>
                <w:rFonts w:eastAsia="宋体"/>
                <w:kern w:val="0"/>
                <w:sz w:val="20"/>
                <w:szCs w:val="20"/>
              </w:rPr>
              <w:t>For this bullet, we</w:t>
            </w:r>
            <w:r w:rsidR="007514C5">
              <w:rPr>
                <w:rFonts w:eastAsia="宋体"/>
                <w:kern w:val="0"/>
                <w:sz w:val="20"/>
                <w:szCs w:val="20"/>
              </w:rPr>
              <w:t xml:space="preserve"> agree with E// that maybe we can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 focus only on Rel-15 NPRACH resources below to move forward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in this meeting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, and FFS </w:t>
            </w:r>
            <w:r>
              <w:rPr>
                <w:rFonts w:eastAsia="宋体"/>
                <w:kern w:val="0"/>
                <w:sz w:val="20"/>
                <w:szCs w:val="20"/>
              </w:rPr>
              <w:t>in next meeting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 if necessary.</w:t>
            </w:r>
          </w:p>
          <w:p w14:paraId="0BC56807" w14:textId="629D9DB1" w:rsid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9A7CC9">
              <w:rPr>
                <w:rFonts w:eastAsia="宋体"/>
                <w:kern w:val="0"/>
                <w:sz w:val="20"/>
                <w:szCs w:val="20"/>
              </w:rPr>
              <w:t>any NPRACH resource configured for format 2, or TDD or mixed mode and utilized by a UE during random access procedure.</w:t>
            </w:r>
          </w:p>
        </w:tc>
      </w:tr>
      <w:tr w:rsidR="0076699B" w:rsidRPr="005B167C" w14:paraId="5A91A618" w14:textId="77777777" w:rsidTr="005C1076">
        <w:tc>
          <w:tcPr>
            <w:tcW w:w="1559" w:type="dxa"/>
          </w:tcPr>
          <w:p w14:paraId="600F95C4" w14:textId="609E2C99" w:rsidR="0076699B" w:rsidRDefault="0076699B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0F177E6" w14:textId="22EF38B2" w:rsidR="0076699B" w:rsidRPr="009A7CC9" w:rsidRDefault="0076699B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Just to be clear, in this e-meeting we are fine with the “</w:t>
            </w:r>
            <w:r>
              <w:rPr>
                <w:rFonts w:eastAsia="宋体"/>
                <w:b/>
                <w:i/>
                <w:kern w:val="0"/>
                <w:sz w:val="22"/>
                <w:highlight w:val="yellow"/>
                <w:u w:val="single"/>
                <w:lang w:eastAsia="en-US"/>
              </w:rPr>
              <w:t xml:space="preserve">Updated </w:t>
            </w:r>
            <w:r w:rsidRPr="00762071">
              <w:rPr>
                <w:rFonts w:eastAsia="宋体"/>
                <w:b/>
                <w:i/>
                <w:kern w:val="0"/>
                <w:sz w:val="22"/>
                <w:highlight w:val="yellow"/>
                <w:u w:val="single"/>
                <w:lang w:eastAsia="en-US"/>
              </w:rPr>
              <w:t>TP</w:t>
            </w:r>
            <w:r>
              <w:rPr>
                <w:rFonts w:eastAsia="宋体"/>
                <w:kern w:val="0"/>
                <w:sz w:val="20"/>
                <w:szCs w:val="20"/>
              </w:rPr>
              <w:t>” as it is. In the next e-meeting we can bring the Rel-14 CR.</w:t>
            </w:r>
          </w:p>
        </w:tc>
      </w:tr>
      <w:tr w:rsidR="005C1076" w:rsidRPr="005B167C" w14:paraId="17B3B9B3" w14:textId="77777777" w:rsidTr="005C1076">
        <w:tc>
          <w:tcPr>
            <w:tcW w:w="1559" w:type="dxa"/>
          </w:tcPr>
          <w:p w14:paraId="504C38E5" w14:textId="282B1FE2" w:rsidR="005C1076" w:rsidRDefault="005C1076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(ZTE)</w:t>
            </w:r>
          </w:p>
        </w:tc>
        <w:tc>
          <w:tcPr>
            <w:tcW w:w="7088" w:type="dxa"/>
          </w:tcPr>
          <w:p w14:paraId="172F96AA" w14:textId="53EB5786" w:rsidR="005C1076" w:rsidRDefault="005C1076" w:rsidP="000504CA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To </w:t>
            </w:r>
            <w:r>
              <w:rPr>
                <w:rFonts w:eastAsia="宋体"/>
                <w:kern w:val="0"/>
                <w:sz w:val="20"/>
                <w:szCs w:val="20"/>
              </w:rPr>
              <w:t>address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</w:t>
            </w:r>
            <w:r w:rsidR="004F57A2">
              <w:rPr>
                <w:rFonts w:eastAsia="宋体"/>
                <w:kern w:val="0"/>
                <w:sz w:val="20"/>
                <w:szCs w:val="20"/>
              </w:rPr>
              <w:t>the concern from Huawei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, a further </w:t>
            </w:r>
            <w:r w:rsidRPr="004F57A2">
              <w:rPr>
                <w:rFonts w:eastAsia="宋体"/>
                <w:kern w:val="0"/>
                <w:sz w:val="20"/>
                <w:szCs w:val="20"/>
              </w:rPr>
              <w:t>updated draft CR</w:t>
            </w:r>
            <w:r w:rsidR="004F57A2">
              <w:rPr>
                <w:rFonts w:eastAsia="宋体"/>
                <w:kern w:val="0"/>
                <w:sz w:val="20"/>
                <w:szCs w:val="20"/>
              </w:rPr>
              <w:t xml:space="preserve"> (The last sub-bullet is revised in </w:t>
            </w:r>
            <w:r w:rsidR="004F57A2" w:rsidRPr="004F57A2">
              <w:rPr>
                <w:rFonts w:eastAsia="宋体" w:hint="eastAsia"/>
                <w:b/>
                <w:i/>
                <w:kern w:val="0"/>
                <w:highlight w:val="cyan"/>
                <w:u w:val="single"/>
              </w:rPr>
              <w:t>Further u</w:t>
            </w:r>
            <w:r w:rsidR="004F57A2" w:rsidRPr="004F57A2">
              <w:rPr>
                <w:rFonts w:eastAsia="宋体"/>
                <w:b/>
                <w:i/>
                <w:kern w:val="0"/>
                <w:highlight w:val="cyan"/>
                <w:u w:val="single"/>
                <w:lang w:eastAsia="en-US"/>
              </w:rPr>
              <w:t>pdated TP</w:t>
            </w:r>
            <w:r w:rsidR="004F57A2">
              <w:rPr>
                <w:rFonts w:eastAsia="宋体"/>
                <w:kern w:val="0"/>
                <w:sz w:val="20"/>
                <w:szCs w:val="20"/>
              </w:rPr>
              <w:t>)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has been prepared for your review. </w:t>
            </w:r>
            <w:bookmarkStart w:id="62" w:name="_GoBack"/>
            <w:bookmarkEnd w:id="62"/>
          </w:p>
        </w:tc>
      </w:tr>
      <w:tr w:rsidR="000504CA" w:rsidRPr="005B167C" w14:paraId="07654A98" w14:textId="77777777" w:rsidTr="005C1076">
        <w:tc>
          <w:tcPr>
            <w:tcW w:w="1559" w:type="dxa"/>
          </w:tcPr>
          <w:p w14:paraId="1355E538" w14:textId="77777777" w:rsidR="000504CA" w:rsidRDefault="000504CA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1474D17" w14:textId="77777777" w:rsidR="000504CA" w:rsidRDefault="000504CA" w:rsidP="004F57A2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 w:hint="eastAsia"/>
                <w:kern w:val="0"/>
                <w:sz w:val="20"/>
                <w:szCs w:val="20"/>
              </w:rPr>
            </w:pPr>
          </w:p>
        </w:tc>
      </w:tr>
    </w:tbl>
    <w:p w14:paraId="1585299D" w14:textId="77777777" w:rsidR="00D80E82" w:rsidRDefault="00D80E82" w:rsidP="00D80E82"/>
    <w:p w14:paraId="2EE6A301" w14:textId="02F32269" w:rsidR="005C1076" w:rsidRDefault="005C1076" w:rsidP="00D80E82">
      <w:r>
        <w:rPr>
          <w:rFonts w:hint="eastAsia"/>
        </w:rPr>
        <w:t xml:space="preserve">Based on </w:t>
      </w:r>
      <w:r w:rsidR="004F57A2">
        <w:t>the further discussions</w:t>
      </w:r>
      <w:r>
        <w:rPr>
          <w:rFonts w:hint="eastAsia"/>
        </w:rPr>
        <w:t>,</w:t>
      </w:r>
      <w:r>
        <w:t xml:space="preserve"> we have the following </w:t>
      </w:r>
      <w:r>
        <w:rPr>
          <w:rFonts w:hint="eastAsia"/>
        </w:rPr>
        <w:t xml:space="preserve">further </w:t>
      </w:r>
      <w:r>
        <w:t xml:space="preserve">updated draft CR. Please find the </w:t>
      </w:r>
      <w:hyperlink r:id="rId33" w:history="1">
        <w:r w:rsidRPr="008D4E00">
          <w:rPr>
            <w:rStyle w:val="ae"/>
          </w:rPr>
          <w:t>draf</w:t>
        </w:r>
        <w:r w:rsidRPr="008D4E00">
          <w:rPr>
            <w:rStyle w:val="ae"/>
          </w:rPr>
          <w:t>t</w:t>
        </w:r>
        <w:r w:rsidRPr="008D4E00">
          <w:rPr>
            <w:rStyle w:val="ae"/>
          </w:rPr>
          <w:t xml:space="preserve"> CR </w:t>
        </w:r>
        <w:r w:rsidRPr="008D4E00">
          <w:rPr>
            <w:rStyle w:val="ae"/>
            <w:rFonts w:hint="eastAsia"/>
          </w:rPr>
          <w:t xml:space="preserve">- </w:t>
        </w:r>
        <w:r w:rsidRPr="008D4E00">
          <w:rPr>
            <w:rStyle w:val="ae"/>
            <w:rFonts w:hint="eastAsia"/>
            <w:highlight w:val="yellow"/>
          </w:rPr>
          <w:t>v2</w:t>
        </w:r>
        <w:r w:rsidRPr="008D4E00">
          <w:rPr>
            <w:rStyle w:val="ae"/>
            <w:rFonts w:hint="eastAsia"/>
          </w:rPr>
          <w:t xml:space="preserve"> </w:t>
        </w:r>
      </w:hyperlink>
      <w:r>
        <w:t>in the drafts folder:</w:t>
      </w:r>
    </w:p>
    <w:p w14:paraId="61081808" w14:textId="77777777" w:rsidR="005C1076" w:rsidRPr="008D4E00" w:rsidRDefault="005C1076" w:rsidP="00D80E82">
      <w:pPr>
        <w:rPr>
          <w:rFonts w:hint="eastAsia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C1076" w:rsidRPr="001031B6" w14:paraId="1B070DAF" w14:textId="77777777" w:rsidTr="005C1076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2779C996" w14:textId="77777777" w:rsidR="005C1076" w:rsidRPr="001031B6" w:rsidRDefault="005C1076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373512" w14:textId="77777777" w:rsidR="005C1076" w:rsidRPr="001031B6" w:rsidRDefault="005C1076" w:rsidP="005C1076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5C1076" w:rsidRPr="001031B6" w14:paraId="31BD86CA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BA226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83E87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3C020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E4180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395F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5C1076" w:rsidRPr="001031B6" w14:paraId="41551D4E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8CD99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434B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7D516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656B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9FE13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5C1076" w:rsidRPr="001031B6" w14:paraId="287CE17D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223A8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EDA91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3D44E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46FD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2FA6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5C1076" w:rsidRPr="001031B6" w14:paraId="4644E45E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3485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BC3FD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AC78E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67C29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6082F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5C1076" w:rsidRPr="001031B6" w14:paraId="58FA1B71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9B633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FAA61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81BA3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9123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D4F5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5C1076" w:rsidRPr="001031B6" w14:paraId="0C89AB8B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B9F89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40A50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C53BD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547BC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DB7A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nprach-ParametersListTDD-r15</w:t>
                  </w:r>
                </w:p>
              </w:tc>
            </w:tr>
            <w:tr w:rsidR="005C1076" w:rsidRPr="001031B6" w14:paraId="4540AFF8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AD4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E54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53A32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577F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33D790FC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D1F6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5C1076" w:rsidRPr="001031B6" w14:paraId="0A360879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BA29F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8C53" w14:textId="7C60F6BD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B83753">
                    <w:rPr>
                      <w:rFonts w:ascii="Times New Roman" w:hAnsi="Times New Roman"/>
                      <w:sz w:val="20"/>
                      <w:szCs w:val="20"/>
                    </w:rPr>
                    <w:t>any NPRACH resource configured for </w:t>
                  </w:r>
                  <w:r>
                    <w:rPr>
                      <w:rFonts w:ascii="Times New Roman" w:hAnsi="Times New Roman" w:hint="eastAsia"/>
                      <w:lang w:eastAsia="zh-CN"/>
                    </w:rPr>
                    <w:t xml:space="preserve">FDD </w:t>
                  </w:r>
                  <w:r w:rsidRPr="00B83753">
                    <w:rPr>
                      <w:rFonts w:ascii="Times New Roman" w:hAnsi="Times New Roman"/>
                      <w:sz w:val="20"/>
                      <w:szCs w:val="20"/>
                    </w:rPr>
                    <w:t>NPRACH format 2, or </w:t>
                  </w:r>
                  <w:r>
                    <w:rPr>
                      <w:rFonts w:ascii="Times New Roman" w:hAnsi="Times New Roman" w:hint="eastAsia"/>
                      <w:lang w:eastAsia="zh-CN"/>
                    </w:rPr>
                    <w:t>TDD</w:t>
                  </w:r>
                  <w:r w:rsidRPr="00B83753">
                    <w:rPr>
                      <w:rFonts w:ascii="Times New Roman" w:hAnsi="Times New Roman"/>
                      <w:sz w:val="20"/>
                      <w:szCs w:val="20"/>
                    </w:rPr>
                    <w:t> or mixed operation mode and utilized by a UE during random access procedure</w:t>
                  </w:r>
                </w:p>
              </w:tc>
            </w:tr>
            <w:tr w:rsidR="005C1076" w:rsidRPr="001031B6" w14:paraId="6A87EE61" w14:textId="77777777" w:rsidTr="005C1076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FC5E6" w14:textId="77777777" w:rsidR="005C1076" w:rsidRPr="001031B6" w:rsidRDefault="005C1076" w:rsidP="005C107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7BD0F9AB" w14:textId="77777777" w:rsidR="005C1076" w:rsidRPr="001031B6" w:rsidRDefault="005C1076" w:rsidP="005C107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5C1076" w:rsidRPr="001031B6" w14:paraId="7B40F36D" w14:textId="77777777" w:rsidTr="005C1076">
        <w:tc>
          <w:tcPr>
            <w:tcW w:w="2221" w:type="dxa"/>
            <w:tcBorders>
              <w:left w:val="single" w:sz="4" w:space="0" w:color="auto"/>
            </w:tcBorders>
          </w:tcPr>
          <w:p w14:paraId="78A4B016" w14:textId="77777777" w:rsidR="005C1076" w:rsidRPr="001031B6" w:rsidRDefault="005C1076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1044110" w14:textId="77777777" w:rsidR="005C1076" w:rsidRPr="001031B6" w:rsidRDefault="005C1076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C1076" w:rsidRPr="009609BC" w14:paraId="071E003F" w14:textId="77777777" w:rsidTr="005C1076">
        <w:tc>
          <w:tcPr>
            <w:tcW w:w="2221" w:type="dxa"/>
            <w:tcBorders>
              <w:left w:val="single" w:sz="4" w:space="0" w:color="auto"/>
            </w:tcBorders>
          </w:tcPr>
          <w:p w14:paraId="05C79D07" w14:textId="77777777" w:rsidR="005C1076" w:rsidRPr="001031B6" w:rsidRDefault="005C1076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5DFD5E8" w14:textId="77777777" w:rsidR="005C1076" w:rsidRPr="009609BC" w:rsidRDefault="005C1076" w:rsidP="005C107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5C1076" w:rsidRPr="001031B6" w14:paraId="5519223F" w14:textId="77777777" w:rsidTr="005C1076">
        <w:tc>
          <w:tcPr>
            <w:tcW w:w="2221" w:type="dxa"/>
            <w:tcBorders>
              <w:left w:val="single" w:sz="4" w:space="0" w:color="auto"/>
            </w:tcBorders>
          </w:tcPr>
          <w:p w14:paraId="24FC37FF" w14:textId="77777777" w:rsidR="005C1076" w:rsidRPr="001031B6" w:rsidRDefault="005C1076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7AFCF392" w14:textId="77777777" w:rsidR="005C1076" w:rsidRPr="001031B6" w:rsidRDefault="005C1076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C1076" w:rsidRPr="001031B6" w14:paraId="20A2CE7C" w14:textId="77777777" w:rsidTr="005C1076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043AE9E" w14:textId="77777777" w:rsidR="005C1076" w:rsidRPr="001031B6" w:rsidRDefault="005C1076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8EB42B" w14:textId="77777777" w:rsidR="005C1076" w:rsidRPr="001031B6" w:rsidRDefault="005C1076" w:rsidP="005C107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0C71179B" w14:textId="77777777" w:rsidR="005C1076" w:rsidRPr="005C1076" w:rsidRDefault="005C1076" w:rsidP="00D80E82"/>
    <w:p w14:paraId="7C0F2EAC" w14:textId="77777777" w:rsidR="005C1076" w:rsidRDefault="005C1076" w:rsidP="00D80E82"/>
    <w:p w14:paraId="3DEE0249" w14:textId="1FCE66E4" w:rsidR="005C1076" w:rsidRPr="005B167C" w:rsidRDefault="005C1076" w:rsidP="005C1076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4F57A2">
        <w:rPr>
          <w:rFonts w:ascii="Times New Roman" w:eastAsia="宋体" w:hAnsi="Times New Roman" w:cs="Times New Roman" w:hint="eastAsia"/>
          <w:b/>
          <w:i/>
          <w:kern w:val="0"/>
          <w:sz w:val="22"/>
          <w:highlight w:val="cyan"/>
          <w:u w:val="single"/>
        </w:rPr>
        <w:t>Further u</w:t>
      </w:r>
      <w:r w:rsidRPr="004F57A2">
        <w:rPr>
          <w:rFonts w:ascii="Times New Roman" w:eastAsia="宋体" w:hAnsi="Times New Roman" w:cs="Times New Roman"/>
          <w:b/>
          <w:i/>
          <w:kern w:val="0"/>
          <w:sz w:val="22"/>
          <w:highlight w:val="cyan"/>
          <w:u w:val="single"/>
          <w:lang w:eastAsia="en-US"/>
        </w:rPr>
        <w:t>pdated 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6EDA8FBF" w14:textId="77777777" w:rsidR="005C1076" w:rsidRPr="00730755" w:rsidRDefault="005C1076" w:rsidP="005C1076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51C97B6F" w14:textId="77777777" w:rsidR="005C1076" w:rsidRPr="00730755" w:rsidRDefault="005C1076" w:rsidP="005C1076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399144A4" w14:textId="77777777" w:rsidR="005C1076" w:rsidRPr="008234BC" w:rsidRDefault="005C1076" w:rsidP="005C1076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6DEA7B2">
          <v:shape id="_x0000_i1046" type="#_x0000_t75" style="width:25.65pt;height:15.65pt" o:ole="">
            <v:imagedata r:id="rId8" o:title=""/>
          </v:shape>
          <o:OLEObject Type="Embed" ProgID="Equation.3" ShapeID="_x0000_i1046" DrawAspect="Content" ObjectID="_1683394486" r:id="rId3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5030FF6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63" w:author="ZTE" w:date="2021-05-21T11:19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64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318815AD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65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6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6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68" w:author="ZTE" w:date="2021-05-21T11:20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4CB4685C" w14:textId="77777777" w:rsidR="005C1076" w:rsidRDefault="005C1076" w:rsidP="005C1076">
      <w:pPr>
        <w:widowControl/>
        <w:spacing w:after="180"/>
        <w:ind w:left="568" w:hanging="284"/>
        <w:jc w:val="left"/>
        <w:rPr>
          <w:ins w:id="69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71" w:author="ZTE" w:date="2021-05-21T11:25:00Z"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7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40147B72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CD09F13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A7393DD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FC57C8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8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11C06CF9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8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8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E2153B7" w14:textId="4AC506B9" w:rsidR="005C1076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83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</w:ins>
      <w:ins w:id="84" w:author="ZTE" w:date="2021-05-24T19:55:00Z">
        <w:r w:rsidRPr="00B83753">
          <w:rPr>
            <w:rFonts w:ascii="Times New Roman" w:eastAsia="宋体" w:hAnsi="Times New Roman" w:cs="Times New Roman"/>
            <w:sz w:val="20"/>
            <w:szCs w:val="20"/>
          </w:rPr>
          <w:t>any NPRACH resource configured for NPRACH format 2 of frame structure type 1, or frame structure type 2 or mixed operation mode and utilized by a UE during random access procedure</w:t>
        </w:r>
      </w:ins>
      <w:ins w:id="85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F95635A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211165AA" w14:textId="77777777" w:rsidR="005C1076" w:rsidRPr="008234BC" w:rsidRDefault="005C1076" w:rsidP="005C1076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375E8E0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16D41C60">
          <v:shape id="_x0000_i1047" type="#_x0000_t75" style="width:62pt;height:15.65pt" o:ole="">
            <v:imagedata r:id="rId10" o:title=""/>
          </v:shape>
          <o:OLEObject Type="Embed" ProgID="Equation.3" ShapeID="_x0000_i1047" DrawAspect="Content" ObjectID="_1683394487" r:id="rId3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2515801">
          <v:shape id="_x0000_i1048" type="#_x0000_t75" style="width:25.65pt;height:15.65pt" o:ole="">
            <v:imagedata r:id="rId8" o:title=""/>
          </v:shape>
          <o:OLEObject Type="Embed" ProgID="Equation.3" ShapeID="_x0000_i1048" DrawAspect="Content" ObjectID="_1683394488" r:id="rId3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5AA02FD">
          <v:shape id="_x0000_i1049" type="#_x0000_t75" style="width:25.65pt;height:15.65pt" o:ole="">
            <v:imagedata r:id="rId8" o:title=""/>
          </v:shape>
          <o:OLEObject Type="Embed" ProgID="Equation.3" ShapeID="_x0000_i1049" DrawAspect="Content" ObjectID="_1683394489" r:id="rId3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4D73A31B" w14:textId="77777777" w:rsidR="005C1076" w:rsidRPr="00730755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4641A1F1">
          <v:shape id="_x0000_i1050" type="#_x0000_t75" style="width:55pt;height:15.65pt" o:ole="">
            <v:imagedata r:id="rId14" o:title=""/>
          </v:shape>
          <o:OLEObject Type="Embed" ProgID="Equation.3" ShapeID="_x0000_i1050" DrawAspect="Content" ObjectID="_1683394490" r:id="rId3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5EEE61F5">
          <v:shape id="_x0000_i1051" type="#_x0000_t75" style="width:25.65pt;height:15.65pt" o:ole="">
            <v:imagedata r:id="rId8" o:title=""/>
          </v:shape>
          <o:OLEObject Type="Embed" ProgID="Equation.3" ShapeID="_x0000_i1051" DrawAspect="Content" ObjectID="_1683394491" r:id="rId3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7A30D1D0">
          <v:shape id="_x0000_i1052" type="#_x0000_t75" style="width:25.65pt;height:15.65pt" o:ole="">
            <v:imagedata r:id="rId8" o:title=""/>
          </v:shape>
          <o:OLEObject Type="Embed" ProgID="Equation.3" ShapeID="_x0000_i1052" DrawAspect="Content" ObjectID="_1683394492" r:id="rId4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68451275" w14:textId="77777777" w:rsidR="005C1076" w:rsidRDefault="005C1076" w:rsidP="005C1076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69A34017" w14:textId="77777777" w:rsidR="005C1076" w:rsidRPr="005002B0" w:rsidRDefault="005C1076" w:rsidP="00D80E82">
      <w:pPr>
        <w:rPr>
          <w:rFonts w:hint="eastAsia"/>
        </w:rPr>
      </w:pPr>
    </w:p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3F549" w14:textId="77777777" w:rsidR="00BF6D01" w:rsidRDefault="00BF6D01" w:rsidP="00D44BA5">
      <w:r>
        <w:separator/>
      </w:r>
    </w:p>
  </w:endnote>
  <w:endnote w:type="continuationSeparator" w:id="0">
    <w:p w14:paraId="51F50D4E" w14:textId="77777777" w:rsidR="00BF6D01" w:rsidRDefault="00BF6D01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1A4F" w14:textId="77777777" w:rsidR="00BF6D01" w:rsidRDefault="00BF6D01" w:rsidP="00D44BA5">
      <w:r>
        <w:separator/>
      </w:r>
    </w:p>
  </w:footnote>
  <w:footnote w:type="continuationSeparator" w:id="0">
    <w:p w14:paraId="5FFF0ABB" w14:textId="77777777" w:rsidR="00BF6D01" w:rsidRDefault="00BF6D01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4CA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13C"/>
    <w:rsid w:val="00114EC1"/>
    <w:rsid w:val="00130FB9"/>
    <w:rsid w:val="00171927"/>
    <w:rsid w:val="00171C5A"/>
    <w:rsid w:val="00181A96"/>
    <w:rsid w:val="001902F5"/>
    <w:rsid w:val="001A485F"/>
    <w:rsid w:val="001A4B10"/>
    <w:rsid w:val="001A7BEC"/>
    <w:rsid w:val="001B70EB"/>
    <w:rsid w:val="001B7D67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65E39"/>
    <w:rsid w:val="003774F0"/>
    <w:rsid w:val="00382B76"/>
    <w:rsid w:val="00404EB6"/>
    <w:rsid w:val="0041742E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4F57A2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076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14C5"/>
    <w:rsid w:val="00756D42"/>
    <w:rsid w:val="00762071"/>
    <w:rsid w:val="007649B3"/>
    <w:rsid w:val="0076699B"/>
    <w:rsid w:val="00777FA2"/>
    <w:rsid w:val="00791602"/>
    <w:rsid w:val="00792F04"/>
    <w:rsid w:val="007C00BB"/>
    <w:rsid w:val="007F0004"/>
    <w:rsid w:val="007F454E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D4E00"/>
    <w:rsid w:val="008E5726"/>
    <w:rsid w:val="008E5C61"/>
    <w:rsid w:val="008F5B45"/>
    <w:rsid w:val="00911ADA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A7CC9"/>
    <w:rsid w:val="009C367B"/>
    <w:rsid w:val="009E14F4"/>
    <w:rsid w:val="00A2234D"/>
    <w:rsid w:val="00A34A27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B4735"/>
    <w:rsid w:val="00AC6D0E"/>
    <w:rsid w:val="00AD1C54"/>
    <w:rsid w:val="00AE2B45"/>
    <w:rsid w:val="00AF2DAD"/>
    <w:rsid w:val="00B20E50"/>
    <w:rsid w:val="00B2598F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BF6D01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33851"/>
    <w:rsid w:val="00E46C13"/>
    <w:rsid w:val="00E5154F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unhideWhenUsed/>
    <w:rsid w:val="009140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7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hyperlink" Target="https://www.3gpp.org/ftp/tsg_ran/WG1_RL1/TSGR1_105-e/Inbox/drafts/6.1/%5B105-e-LTE-6.1CRs-03%5D/draft%20CR/R1-21xxxxx%20Draft%20CR%20on%20Clarification%20on%20NPUSCH%20postponement%20for%20NB-IoT%20-%20v2.docx" TargetMode="External"/><Relationship Id="rId38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5</cp:revision>
  <dcterms:created xsi:type="dcterms:W3CDTF">2021-05-24T09:46:00Z</dcterms:created>
  <dcterms:modified xsi:type="dcterms:W3CDTF">2021-05-24T12:16:00Z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