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91044D" w:rsidP="007A44D1">
            <w:pPr>
              <w:spacing w:after="0"/>
              <w:rPr>
                <w:sz w:val="20"/>
                <w:szCs w:val="20"/>
                <w:lang w:eastAsia="zh-CN"/>
              </w:rPr>
            </w:pPr>
            <w:hyperlink r:id="rId10"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91044D" w:rsidP="007A44D1">
            <w:pPr>
              <w:spacing w:after="0"/>
              <w:rPr>
                <w:sz w:val="20"/>
                <w:szCs w:val="20"/>
                <w:lang w:eastAsia="zh-CN"/>
              </w:rPr>
            </w:pPr>
            <w:hyperlink r:id="rId11"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91044D" w:rsidP="007A44D1">
            <w:pPr>
              <w:spacing w:after="0"/>
              <w:rPr>
                <w:sz w:val="20"/>
                <w:szCs w:val="20"/>
                <w:lang w:eastAsia="zh-CN"/>
              </w:rPr>
            </w:pPr>
            <w:hyperlink r:id="rId12"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91044D" w:rsidP="007A44D1">
            <w:pPr>
              <w:spacing w:after="0"/>
              <w:rPr>
                <w:sz w:val="20"/>
                <w:szCs w:val="20"/>
                <w:lang w:eastAsia="zh-CN"/>
              </w:rPr>
            </w:pPr>
            <w:hyperlink r:id="rId13"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91044D" w:rsidP="00CA3B4E">
            <w:pPr>
              <w:spacing w:after="0"/>
              <w:ind w:left="110" w:hangingChars="50" w:hanging="110"/>
              <w:jc w:val="left"/>
              <w:rPr>
                <w:sz w:val="20"/>
                <w:szCs w:val="20"/>
                <w:lang w:eastAsia="zh-CN"/>
              </w:rPr>
            </w:pPr>
            <w:hyperlink r:id="rId14"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91044D"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91044D"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91044D"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91044D"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91044D" w:rsidP="007A44D1">
            <w:pPr>
              <w:spacing w:after="0"/>
              <w:ind w:left="110" w:hangingChars="50" w:hanging="110"/>
              <w:jc w:val="left"/>
              <w:rPr>
                <w:sz w:val="20"/>
                <w:szCs w:val="20"/>
                <w:lang w:eastAsia="zh-CN"/>
              </w:rPr>
            </w:pPr>
            <w:hyperlink r:id="rId19"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91044D" w:rsidP="007A44D1">
            <w:pPr>
              <w:spacing w:after="0"/>
              <w:ind w:left="110" w:hangingChars="50" w:hanging="110"/>
              <w:jc w:val="left"/>
              <w:rPr>
                <w:sz w:val="20"/>
                <w:szCs w:val="20"/>
                <w:lang w:eastAsia="zh-CN"/>
              </w:rPr>
            </w:pPr>
            <w:hyperlink r:id="rId20"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91044D" w:rsidP="007A44D1">
            <w:pPr>
              <w:spacing w:after="0"/>
              <w:ind w:left="110" w:hangingChars="50" w:hanging="110"/>
              <w:jc w:val="left"/>
              <w:rPr>
                <w:sz w:val="20"/>
                <w:szCs w:val="20"/>
                <w:lang w:eastAsia="zh-CN"/>
              </w:rPr>
            </w:pPr>
            <w:hyperlink r:id="rId21"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91044D" w:rsidP="007A44D1">
            <w:pPr>
              <w:spacing w:after="0"/>
              <w:ind w:left="110" w:hangingChars="50" w:hanging="110"/>
              <w:jc w:val="left"/>
              <w:rPr>
                <w:sz w:val="20"/>
                <w:szCs w:val="20"/>
                <w:lang w:eastAsia="zh-CN"/>
              </w:rPr>
            </w:pPr>
            <w:hyperlink r:id="rId22"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91044D" w:rsidP="007A44D1">
            <w:pPr>
              <w:spacing w:after="0"/>
              <w:ind w:left="110" w:hangingChars="50" w:hanging="110"/>
              <w:jc w:val="left"/>
              <w:rPr>
                <w:sz w:val="20"/>
                <w:szCs w:val="20"/>
                <w:lang w:eastAsia="zh-CN"/>
              </w:rPr>
            </w:pPr>
            <w:hyperlink r:id="rId23"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a"/>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a"/>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a"/>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91044D" w:rsidP="007A44D1">
            <w:pPr>
              <w:spacing w:after="0"/>
              <w:rPr>
                <w:sz w:val="20"/>
                <w:szCs w:val="20"/>
                <w:lang w:eastAsia="zh-CN"/>
              </w:rPr>
            </w:pPr>
            <w:hyperlink r:id="rId24"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91044D" w:rsidP="007A44D1">
            <w:pPr>
              <w:spacing w:after="0"/>
              <w:rPr>
                <w:sz w:val="20"/>
                <w:szCs w:val="20"/>
                <w:lang w:eastAsia="zh-CN"/>
              </w:rPr>
            </w:pPr>
            <w:hyperlink r:id="rId25"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91044D" w:rsidP="007A44D1">
            <w:pPr>
              <w:spacing w:after="0"/>
              <w:rPr>
                <w:sz w:val="20"/>
                <w:szCs w:val="20"/>
                <w:lang w:eastAsia="zh-CN"/>
              </w:rPr>
            </w:pPr>
            <w:hyperlink r:id="rId26"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91044D" w:rsidP="00F820B8">
            <w:pPr>
              <w:spacing w:after="0"/>
              <w:rPr>
                <w:sz w:val="20"/>
                <w:szCs w:val="20"/>
                <w:lang w:eastAsia="zh-CN"/>
              </w:rPr>
            </w:pPr>
            <w:hyperlink r:id="rId27"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91044D" w:rsidP="00D53108">
            <w:pPr>
              <w:spacing w:after="0"/>
              <w:rPr>
                <w:sz w:val="20"/>
                <w:szCs w:val="20"/>
                <w:lang w:eastAsia="zh-CN"/>
              </w:rPr>
            </w:pPr>
            <w:hyperlink r:id="rId28"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91044D" w:rsidRPr="008C1D01" w:rsidRDefault="0091044D"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91044D" w:rsidRPr="008C1D01" w:rsidRDefault="0091044D"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91044D" w:rsidRPr="008C1D01" w:rsidRDefault="0091044D"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91044D" w:rsidRPr="008C1D01" w:rsidRDefault="0091044D"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A06B48" w:rsidRPr="008C1D01" w:rsidRDefault="00A06B48"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06B48" w:rsidRPr="008C1D01" w:rsidRDefault="00A06B48" w:rsidP="00030242">
                      <w:pPr>
                        <w:overflowPunct w:val="0"/>
                        <w:spacing w:after="0"/>
                        <w:rPr>
                          <w:sz w:val="20"/>
                          <w:szCs w:val="20"/>
                        </w:rPr>
                      </w:pPr>
                      <w:r w:rsidRPr="008C1D01">
                        <w:rPr>
                          <w:sz w:val="20"/>
                          <w:szCs w:val="20"/>
                        </w:rPr>
                        <w:t xml:space="preserve">RAN1 discussed TA validation based on RSRP change </w:t>
                      </w:r>
                      <w:proofErr w:type="gramStart"/>
                      <w:r w:rsidRPr="008C1D01">
                        <w:rPr>
                          <w:sz w:val="20"/>
                          <w:szCs w:val="20"/>
                        </w:rPr>
                        <w:t>criterion, and</w:t>
                      </w:r>
                      <w:proofErr w:type="gramEnd"/>
                      <w:r w:rsidRPr="008C1D01">
                        <w:rPr>
                          <w:sz w:val="20"/>
                          <w:szCs w:val="20"/>
                        </w:rPr>
                        <w:t xml:space="preserve">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06B48" w:rsidRPr="008C1D01" w:rsidRDefault="00A06B48"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06B48" w:rsidRPr="008C1D01" w:rsidRDefault="00A06B48"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a"/>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proofErr w:type="gramStart"/>
      <w:r>
        <w:t>Any comments</w:t>
      </w:r>
      <w:r w:rsidR="009F7B23">
        <w:t xml:space="preserve"> on the above options</w:t>
      </w:r>
      <w:r>
        <w:t>?</w:t>
      </w:r>
      <w:proofErr w:type="gramEnd"/>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proofErr w:type="gramStart"/>
            <w:r>
              <w:rPr>
                <w:lang w:eastAsia="zh-CN"/>
              </w:rPr>
              <w:t>gNB</w:t>
            </w:r>
            <w:proofErr w:type="spellEnd"/>
            <w:proofErr w:type="gram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a"/>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a"/>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543C5F1E" w:rsidR="00D756C7" w:rsidRPr="00FF1F72" w:rsidRDefault="00D756C7" w:rsidP="00D2799B">
      <w:pPr>
        <w:pStyle w:val="afa"/>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r w:rsidR="00801735" w:rsidRPr="00FF1F72">
        <w:rPr>
          <w:lang w:eastAsia="zh-CN"/>
        </w:rPr>
        <w:t>. Ask RAN2 to confirm.</w:t>
      </w:r>
    </w:p>
    <w:p w14:paraId="4D4D848A" w14:textId="01589916" w:rsidR="00D756C7" w:rsidRPr="00FF1F72" w:rsidRDefault="0058773E" w:rsidP="00D2799B">
      <w:pPr>
        <w:pStyle w:val="afa"/>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a"/>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2B849FF3" w:rsidR="00D756C7" w:rsidRPr="00FF1F72" w:rsidRDefault="0058773E" w:rsidP="00D2799B">
      <w:pPr>
        <w:pStyle w:val="afa"/>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proofErr w:type="gramStart"/>
      <w:r>
        <w:t xml:space="preserve">Any comments on the above </w:t>
      </w:r>
      <w:r w:rsidR="00D756C7">
        <w:t>proposals</w:t>
      </w:r>
      <w:r>
        <w:t>?</w:t>
      </w:r>
      <w:proofErr w:type="gramEnd"/>
    </w:p>
    <w:tbl>
      <w:tblPr>
        <w:tblStyle w:val="af7"/>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w:t>
            </w:r>
            <w:proofErr w:type="spellStart"/>
            <w:r>
              <w:rPr>
                <w:lang w:eastAsia="zh-CN"/>
              </w:rPr>
              <w:t>gNB</w:t>
            </w:r>
            <w:proofErr w:type="spellEnd"/>
            <w:r>
              <w:rPr>
                <w:lang w:eastAsia="zh-CN"/>
              </w:rPr>
              <w:t xml:space="preserve">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 xml:space="preserve">set should remain constant. The easiest solution we saw for this was to configure SSB sets to the UE, as the </w:t>
            </w:r>
            <w:proofErr w:type="spellStart"/>
            <w:r>
              <w:rPr>
                <w:lang w:eastAsia="zh-CN"/>
              </w:rPr>
              <w:t>gNB</w:t>
            </w:r>
            <w:proofErr w:type="spellEnd"/>
            <w:r>
              <w:rPr>
                <w:lang w:eastAsia="zh-CN"/>
              </w:rPr>
              <w:t xml:space="preserve">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w:t>
            </w:r>
            <w:proofErr w:type="spellStart"/>
            <w:r>
              <w:rPr>
                <w:rFonts w:hint="eastAsia"/>
                <w:lang w:eastAsia="zh-CN"/>
              </w:rPr>
              <w:t>gNB</w:t>
            </w:r>
            <w:proofErr w:type="spellEnd"/>
            <w:r>
              <w:rPr>
                <w:rFonts w:hint="eastAsia"/>
                <w:lang w:eastAsia="zh-CN"/>
              </w:rPr>
              <w:t xml:space="preserve">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rFonts w:hint="eastAsia"/>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proofErr w:type="gramStart"/>
      <w:r>
        <w:t>Any comments</w:t>
      </w:r>
      <w:r w:rsidR="00075560">
        <w:t xml:space="preserve"> to the other potential mechanisms</w:t>
      </w:r>
      <w:r>
        <w:t>?</w:t>
      </w:r>
      <w:proofErr w:type="gramEnd"/>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lastRenderedPageBreak/>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 xml:space="preserve">considering additional mechanisms for TA validation and don’t really see the point in </w:t>
            </w:r>
            <w:proofErr w:type="gramStart"/>
            <w:r w:rsidR="00422642">
              <w:rPr>
                <w:rFonts w:eastAsia="Malgun Gothic"/>
                <w:lang w:eastAsia="ko-KR"/>
              </w:rPr>
              <w:t>awaiting</w:t>
            </w:r>
            <w:proofErr w:type="gramEnd"/>
            <w:r w:rsidR="00422642">
              <w:rPr>
                <w:rFonts w:eastAsia="Malgun Gothic"/>
                <w:lang w:eastAsia="ko-KR"/>
              </w:rPr>
              <w:t xml:space="preserve">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w:t>
            </w:r>
            <w:proofErr w:type="gramStart"/>
            <w:r>
              <w:rPr>
                <w:rFonts w:eastAsia="Malgun Gothic"/>
                <w:lang w:eastAsia="ko-KR"/>
              </w:rPr>
              <w:t>first,</w:t>
            </w:r>
            <w:proofErr w:type="gramEnd"/>
            <w:r>
              <w:rPr>
                <w:rFonts w:eastAsia="Malgun Gothic"/>
                <w:lang w:eastAsia="ko-KR"/>
              </w:rPr>
              <w:t xml:space="preserve">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91044D" w:rsidRDefault="0091044D" w:rsidP="00EA056F">
                            <w:pPr>
                              <w:spacing w:after="0"/>
                              <w:rPr>
                                <w:highlight w:val="green"/>
                              </w:rPr>
                            </w:pPr>
                            <w:r>
                              <w:rPr>
                                <w:highlight w:val="green"/>
                              </w:rPr>
                              <w:t>Agreement:</w:t>
                            </w:r>
                          </w:p>
                          <w:p w14:paraId="427AFBFA" w14:textId="77777777" w:rsidR="0091044D" w:rsidRDefault="0091044D"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91044D" w:rsidRDefault="0091044D"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91044D" w:rsidRDefault="0091044D"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91044D" w:rsidRDefault="0091044D"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A06B48" w:rsidRDefault="00A06B48" w:rsidP="00EA056F">
                      <w:pPr>
                        <w:spacing w:after="0"/>
                        <w:rPr>
                          <w:highlight w:val="green"/>
                        </w:rPr>
                      </w:pPr>
                      <w:r>
                        <w:rPr>
                          <w:highlight w:val="green"/>
                        </w:rPr>
                        <w:t>Agreement:</w:t>
                      </w:r>
                    </w:p>
                    <w:p w14:paraId="427AFBFA" w14:textId="77777777" w:rsidR="00A06B48" w:rsidRDefault="00A06B48"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06B48" w:rsidRDefault="00A06B48"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06B48" w:rsidRDefault="00A06B48"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06B48" w:rsidRDefault="00A06B48"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a"/>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a"/>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D2799B">
      <w:pPr>
        <w:pStyle w:val="afa"/>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D2799B">
      <w:pPr>
        <w:pStyle w:val="afa"/>
        <w:numPr>
          <w:ilvl w:val="2"/>
          <w:numId w:val="11"/>
        </w:numPr>
        <w:ind w:firstLineChars="0"/>
      </w:pPr>
      <w:r>
        <w:rPr>
          <w:lang w:eastAsia="zh-CN"/>
        </w:rPr>
        <w:lastRenderedPageBreak/>
        <w:t>Mapping ratio and association period could be explicitly signaled or implicitly derived</w:t>
      </w:r>
    </w:p>
    <w:p w14:paraId="3DC56371" w14:textId="77777777" w:rsidR="004D6714" w:rsidRPr="007B433E" w:rsidRDefault="004D6714" w:rsidP="00D2799B">
      <w:pPr>
        <w:pStyle w:val="afa"/>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w:t>
            </w:r>
            <w:proofErr w:type="gramStart"/>
            <w:r>
              <w:rPr>
                <w:rFonts w:hint="eastAsia"/>
                <w:lang w:eastAsia="zh-CN"/>
              </w:rPr>
              <w:t>raised</w:t>
            </w:r>
            <w:proofErr w:type="gramEnd"/>
            <w:r>
              <w:rPr>
                <w:rFonts w:hint="eastAsia"/>
                <w:lang w:eastAsia="zh-CN"/>
              </w:rPr>
              <w:t xml:space="preserve">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t>
            </w:r>
            <w:proofErr w:type="gramStart"/>
            <w:r>
              <w:rPr>
                <w:rFonts w:hint="eastAsia"/>
                <w:lang w:eastAsia="zh-CN"/>
              </w:rPr>
              <w:t>will</w:t>
            </w:r>
            <w:proofErr w:type="gramEnd"/>
            <w:r>
              <w:rPr>
                <w:rFonts w:hint="eastAsia"/>
                <w:lang w:eastAsia="zh-CN"/>
              </w:rPr>
              <w:t xml:space="preserve">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w:t>
            </w:r>
            <w:proofErr w:type="gramStart"/>
            <w:r>
              <w:rPr>
                <w:rFonts w:eastAsia="Malgun Gothic"/>
                <w:lang w:eastAsia="ko-KR"/>
              </w:rPr>
              <w:t>ordering,</w:t>
            </w:r>
            <w:proofErr w:type="gramEnd"/>
            <w:r>
              <w:rPr>
                <w:rFonts w:eastAsia="Malgun Gothic"/>
                <w:lang w:eastAsia="ko-KR"/>
              </w:rPr>
              <w:t xml:space="preserve"> and the associated SSBs can be ordered by SSB index. The RAN2 impact is minimized – only one of the mapping ratio or </w:t>
            </w:r>
            <w:r w:rsidRPr="00F169C5">
              <w:rPr>
                <w:rFonts w:eastAsia="Malgun Gothic"/>
                <w:lang w:eastAsia="ko-KR"/>
              </w:rPr>
              <w:t xml:space="preserve">association </w:t>
            </w:r>
            <w:proofErr w:type="gramStart"/>
            <w:r w:rsidRPr="00F169C5">
              <w:rPr>
                <w:rFonts w:eastAsia="Malgun Gothic"/>
                <w:lang w:eastAsia="ko-KR"/>
              </w:rPr>
              <w:t>period</w:t>
            </w:r>
            <w:proofErr w:type="gramEnd"/>
            <w:r>
              <w:rPr>
                <w:rFonts w:eastAsia="Malgun Gothic"/>
                <w:lang w:eastAsia="ko-KR"/>
              </w:rPr>
              <w:t xml:space="preserve"> need to be introduced and configured. With the consideration of Samsung, further </w:t>
            </w:r>
            <w:r>
              <w:rPr>
                <w:rFonts w:eastAsia="Malgun Gothic"/>
                <w:lang w:eastAsia="ko-KR"/>
              </w:rPr>
              <w:lastRenderedPageBreak/>
              <w:t>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lastRenderedPageBreak/>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 xml:space="preserve">ne question: does the CG resources in Option mean PUSCH resource unit? It is PUSCH resource </w:t>
            </w:r>
            <w:proofErr w:type="gramStart"/>
            <w:r>
              <w:rPr>
                <w:lang w:eastAsia="zh-CN"/>
              </w:rPr>
              <w:t>unit,</w:t>
            </w:r>
            <w:proofErr w:type="gramEnd"/>
            <w:r>
              <w:rPr>
                <w:lang w:eastAsia="zh-CN"/>
              </w:rPr>
              <w:t xml:space="preserve">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proofErr w:type="gramStart"/>
            <w:r w:rsidRPr="00826E34">
              <w:rPr>
                <w:lang w:eastAsia="zh-CN"/>
              </w:rPr>
              <w:t>are</w:t>
            </w:r>
            <w:proofErr w:type="gramEnd"/>
            <w:r w:rsidRPr="00826E34">
              <w:rPr>
                <w:lang w:eastAsia="zh-CN"/>
              </w:rPr>
              <w:t xml:space="preserv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w:t>
            </w:r>
            <w:proofErr w:type="gramStart"/>
            <w:r w:rsidRPr="000D6427">
              <w:rPr>
                <w:i/>
                <w:iCs/>
                <w:color w:val="000000"/>
                <w:sz w:val="20"/>
                <w:szCs w:val="20"/>
              </w:rPr>
              <w:t>SeqInitialization</w:t>
            </w:r>
            <w:proofErr w:type="spellEnd"/>
            <w:r>
              <w:rPr>
                <w:color w:val="000000"/>
                <w:sz w:val="20"/>
                <w:szCs w:val="20"/>
              </w:rPr>
              <w:t xml:space="preserve"> }</w:t>
            </w:r>
            <w:proofErr w:type="gramEnd"/>
            <w:r>
              <w:rPr>
                <w:color w:val="000000"/>
                <w:sz w:val="20"/>
                <w:szCs w:val="20"/>
              </w:rPr>
              <w:t xml:space="preserve">. The combinations of these parameters are huge </w:t>
            </w:r>
            <w:r>
              <w:rPr>
                <w:sz w:val="20"/>
                <w:szCs w:val="20"/>
              </w:rPr>
              <w:t xml:space="preserve">If there are no restrictions for parameter </w:t>
            </w:r>
            <w:proofErr w:type="gramStart"/>
            <w:r>
              <w:rPr>
                <w:sz w:val="20"/>
                <w:szCs w:val="20"/>
              </w:rPr>
              <w:t>combinations,</w:t>
            </w:r>
            <w:proofErr w:type="gramEnd"/>
            <w:r>
              <w:rPr>
                <w:sz w:val="20"/>
                <w:szCs w:val="20"/>
              </w:rPr>
              <w:t xml:space="preserve">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w:t>
            </w:r>
            <w:proofErr w:type="gramStart"/>
            <w:r>
              <w:rPr>
                <w:sz w:val="20"/>
                <w:szCs w:val="20"/>
              </w:rPr>
              <w:t>spec,</w:t>
            </w:r>
            <w:proofErr w:type="gramEnd"/>
            <w:r>
              <w:rPr>
                <w:sz w:val="20"/>
                <w:szCs w:val="20"/>
              </w:rPr>
              <w:t xml:space="preserve"> the </w:t>
            </w:r>
            <w:proofErr w:type="spellStart"/>
            <w:r>
              <w:rPr>
                <w:sz w:val="20"/>
                <w:szCs w:val="20"/>
              </w:rPr>
              <w:t>MsgA</w:t>
            </w:r>
            <w:proofErr w:type="spellEnd"/>
            <w:r>
              <w:rPr>
                <w:sz w:val="20"/>
                <w:szCs w:val="20"/>
              </w:rPr>
              <w:t xml:space="preserve"> PRB number is configured. Thus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a"/>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a"/>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a"/>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w:t>
      </w:r>
      <w:proofErr w:type="gramStart"/>
      <w:r>
        <w:rPr>
          <w:lang w:eastAsia="zh-CN"/>
        </w:rPr>
        <w:t>forward,</w:t>
      </w:r>
      <w:proofErr w:type="gramEnd"/>
      <w:r>
        <w:rPr>
          <w:lang w:eastAsia="zh-CN"/>
        </w:rPr>
        <w:t xml:space="preserve">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xml:space="preserve">, it is the </w:t>
      </w:r>
      <w:proofErr w:type="gramStart"/>
      <w:r w:rsidR="00DA6608">
        <w:rPr>
          <w:lang w:eastAsia="zh-CN"/>
        </w:rPr>
        <w:t>moderator’s understanding</w:t>
      </w:r>
      <w:proofErr w:type="gramEnd"/>
      <w:r w:rsidR="00DA6608">
        <w:rPr>
          <w:lang w:eastAsia="zh-CN"/>
        </w:rPr>
        <w:t xml:space="preserve">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a"/>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afa"/>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afa"/>
        <w:numPr>
          <w:ilvl w:val="3"/>
          <w:numId w:val="11"/>
        </w:numPr>
        <w:ind w:firstLineChars="0"/>
      </w:pPr>
      <w:r>
        <w:rPr>
          <w:lang w:eastAsia="zh-CN"/>
        </w:rPr>
        <w:t>The ordering of the SSB can reuse from the SSB-to-RO mapping</w:t>
      </w:r>
    </w:p>
    <w:p w14:paraId="792F5EE0" w14:textId="6E3D9289" w:rsidR="00F736EE" w:rsidRDefault="00F736EE" w:rsidP="00DA6608">
      <w:pPr>
        <w:pStyle w:val="afa"/>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p>
    <w:p w14:paraId="6D5F3916" w14:textId="7086E0C8" w:rsidR="00E51208" w:rsidRDefault="00E51208" w:rsidP="00D2799B">
      <w:pPr>
        <w:pStyle w:val="afa"/>
        <w:numPr>
          <w:ilvl w:val="2"/>
          <w:numId w:val="11"/>
        </w:numPr>
        <w:ind w:firstLineChars="0"/>
      </w:pPr>
      <w:r>
        <w:rPr>
          <w:lang w:eastAsia="zh-CN"/>
        </w:rPr>
        <w:lastRenderedPageBreak/>
        <w:t xml:space="preserve">Mapping ratio and association period could be </w:t>
      </w:r>
      <w:r w:rsidR="003E3267">
        <w:rPr>
          <w:lang w:eastAsia="zh-CN"/>
        </w:rPr>
        <w:t xml:space="preserve">either </w:t>
      </w:r>
      <w:r>
        <w:rPr>
          <w:lang w:eastAsia="zh-CN"/>
        </w:rPr>
        <w:t>explicitl</w:t>
      </w:r>
      <w:r w:rsidR="001D33C5">
        <w:rPr>
          <w:lang w:eastAsia="zh-CN"/>
        </w:rPr>
        <w:t>y signaled or implicitly derived</w:t>
      </w:r>
    </w:p>
    <w:p w14:paraId="016A532B" w14:textId="03E56B37" w:rsidR="001D33C5" w:rsidRDefault="001D33C5" w:rsidP="001D33C5">
      <w:pPr>
        <w:pStyle w:val="afa"/>
        <w:numPr>
          <w:ilvl w:val="3"/>
          <w:numId w:val="11"/>
        </w:numPr>
        <w:ind w:firstLineChars="0"/>
      </w:pPr>
      <w:r>
        <w:rPr>
          <w:lang w:eastAsia="zh-CN"/>
        </w:rPr>
        <w:t>FFS details</w:t>
      </w:r>
    </w:p>
    <w:p w14:paraId="05427B97" w14:textId="011D49EC" w:rsidR="00E51208" w:rsidRDefault="003E3267" w:rsidP="00D2799B">
      <w:pPr>
        <w:pStyle w:val="afa"/>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proofErr w:type="gramStart"/>
      <w:r>
        <w:t>Any</w:t>
      </w:r>
      <w:r w:rsidR="004F589D">
        <w:t xml:space="preserve"> comments on the above proposal</w:t>
      </w:r>
      <w:r w:rsidR="00E91638">
        <w:t>?</w:t>
      </w:r>
      <w:proofErr w:type="gramEnd"/>
    </w:p>
    <w:tbl>
      <w:tblPr>
        <w:tblStyle w:val="af7"/>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a"/>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a"/>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a"/>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a"/>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a"/>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a"/>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a"/>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proofErr w:type="gramStart"/>
      <w:r>
        <w:t>Any comments?</w:t>
      </w:r>
      <w:proofErr w:type="gramEnd"/>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w:t>
            </w:r>
            <w:proofErr w:type="gramStart"/>
            <w:r>
              <w:rPr>
                <w:rFonts w:hint="eastAsia"/>
                <w:lang w:eastAsia="zh-CN"/>
              </w:rPr>
              <w:t>:1</w:t>
            </w:r>
            <w:proofErr w:type="gramEnd"/>
            <w:r>
              <w:rPr>
                <w:rFonts w:hint="eastAsia"/>
                <w:lang w:eastAsia="zh-CN"/>
              </w:rPr>
              <w:t xml:space="preserve">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lastRenderedPageBreak/>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lastRenderedPageBreak/>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w:t>
            </w:r>
            <w:proofErr w:type="gramStart"/>
            <w:r>
              <w:rPr>
                <w:rFonts w:hint="eastAsia"/>
                <w:lang w:eastAsia="zh-CN"/>
              </w:rPr>
              <w:t>supported,</w:t>
            </w:r>
            <w:proofErr w:type="gramEnd"/>
            <w:r>
              <w:rPr>
                <w:rFonts w:hint="eastAsia"/>
                <w:lang w:eastAsia="zh-CN"/>
              </w:rPr>
              <w:t xml:space="preserve">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w:t>
            </w:r>
            <w:proofErr w:type="gramStart"/>
            <w:r>
              <w:rPr>
                <w:rFonts w:hint="eastAsia"/>
                <w:lang w:eastAsia="zh-CN"/>
              </w:rPr>
              <w:t>SSBs,</w:t>
            </w:r>
            <w:proofErr w:type="gramEnd"/>
            <w:r>
              <w:rPr>
                <w:rFonts w:hint="eastAsia"/>
                <w:lang w:eastAsia="zh-CN"/>
              </w:rPr>
              <w:t xml:space="preserve">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w:t>
            </w:r>
            <w:proofErr w:type="spellStart"/>
            <w:r>
              <w:rPr>
                <w:rFonts w:hint="eastAsia"/>
                <w:lang w:eastAsia="zh-CN"/>
              </w:rPr>
              <w:t>mis</w:t>
            </w:r>
            <w:proofErr w:type="spellEnd"/>
            <w:r>
              <w:rPr>
                <w:rFonts w:hint="eastAsia"/>
                <w:lang w:eastAsia="zh-CN"/>
              </w:rPr>
              <w:t>-configuration.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a"/>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afa"/>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afa"/>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2799B">
            <w:pPr>
              <w:pStyle w:val="afa"/>
              <w:numPr>
                <w:ilvl w:val="0"/>
                <w:numId w:val="28"/>
              </w:numPr>
              <w:ind w:firstLineChars="0"/>
              <w:rPr>
                <w:lang w:eastAsia="zh-CN"/>
              </w:rPr>
            </w:pPr>
            <w:r>
              <w:rPr>
                <w:lang w:eastAsia="zh-CN"/>
              </w:rPr>
              <w:t>We are fine for it.</w:t>
            </w:r>
          </w:p>
          <w:p w14:paraId="2B7AD718" w14:textId="77777777" w:rsidR="00D53E68" w:rsidRDefault="00D53E68" w:rsidP="00D2799B">
            <w:pPr>
              <w:pStyle w:val="afa"/>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a"/>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w:t>
            </w:r>
            <w:r w:rsidRPr="00B22E25">
              <w:rPr>
                <w:rFonts w:eastAsia="Malgun Gothic"/>
                <w:lang w:eastAsia="ko-KR"/>
              </w:rPr>
              <w:lastRenderedPageBreak/>
              <w:t>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afa"/>
              <w:numPr>
                <w:ilvl w:val="0"/>
                <w:numId w:val="30"/>
              </w:numPr>
              <w:ind w:firstLineChars="0"/>
              <w:rPr>
                <w:lang w:eastAsia="zh-CN"/>
              </w:rPr>
            </w:pPr>
            <w:proofErr w:type="gramStart"/>
            <w:r>
              <w:rPr>
                <w:lang w:eastAsia="zh-CN"/>
              </w:rPr>
              <w:t>multiple</w:t>
            </w:r>
            <w:proofErr w:type="gramEnd"/>
            <w:r>
              <w:rPr>
                <w:lang w:eastAsia="zh-CN"/>
              </w:rPr>
              <w:t xml:space="preserve"> DMRS resources can be configured.</w:t>
            </w:r>
          </w:p>
          <w:p w14:paraId="74922D2E" w14:textId="7515B6A7" w:rsidR="00901615" w:rsidRDefault="00901615" w:rsidP="00D2799B">
            <w:pPr>
              <w:pStyle w:val="afa"/>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a"/>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a"/>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afa"/>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a"/>
              <w:numPr>
                <w:ilvl w:val="0"/>
                <w:numId w:val="31"/>
              </w:numPr>
              <w:ind w:firstLineChars="0"/>
              <w:rPr>
                <w:lang w:eastAsia="zh-CN"/>
              </w:rPr>
            </w:pPr>
            <w:proofErr w:type="gramStart"/>
            <w:r w:rsidRPr="00343EE1">
              <w:rPr>
                <w:lang w:eastAsia="zh-CN"/>
              </w:rPr>
              <w:t>repetitions</w:t>
            </w:r>
            <w:proofErr w:type="gramEnd"/>
            <w:r w:rsidRPr="00343EE1">
              <w:rPr>
                <w:lang w:eastAsia="zh-CN"/>
              </w:rPr>
              <w:t xml:space="preserve">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 xml:space="preserve">For Alt 1, mapping between SSBs and PUSCH transmission occasions should be known to </w:t>
            </w:r>
            <w:proofErr w:type="spellStart"/>
            <w:r>
              <w:rPr>
                <w:lang w:eastAsia="zh-CN"/>
              </w:rPr>
              <w:t>gNB</w:t>
            </w:r>
            <w:proofErr w:type="spellEnd"/>
            <w:r>
              <w:rPr>
                <w:lang w:eastAsia="zh-CN"/>
              </w:rPr>
              <w:t>, so that</w:t>
            </w:r>
            <w:r w:rsidRPr="009B004B">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 xml:space="preserve">3) We could not understand need of </w:t>
            </w:r>
            <w:proofErr w:type="gramStart"/>
            <w:r>
              <w:rPr>
                <w:lang w:eastAsia="zh-CN"/>
              </w:rPr>
              <w:t>this</w:t>
            </w:r>
            <w:proofErr w:type="gramEnd"/>
            <w:r>
              <w:rPr>
                <w:lang w:eastAsia="zh-CN"/>
              </w:rPr>
              <w:t xml:space="preserve">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afa"/>
        <w:numPr>
          <w:ilvl w:val="0"/>
          <w:numId w:val="25"/>
        </w:numPr>
        <w:ind w:firstLineChars="0"/>
        <w:rPr>
          <w:lang w:eastAsia="zh-CN"/>
        </w:rPr>
      </w:pPr>
      <w:r>
        <w:rPr>
          <w:rFonts w:hint="eastAsia"/>
          <w:lang w:eastAsia="zh-CN"/>
        </w:rPr>
        <w:lastRenderedPageBreak/>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afa"/>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proofErr w:type="gramStart"/>
      <w:r>
        <w:t>Any comments on the above proposal?</w:t>
      </w:r>
      <w:proofErr w:type="gramEnd"/>
    </w:p>
    <w:tbl>
      <w:tblPr>
        <w:tblStyle w:val="af7"/>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 xml:space="preserve">he intention is fine. </w:t>
            </w:r>
            <w:proofErr w:type="gramStart"/>
            <w:r>
              <w:rPr>
                <w:rFonts w:hint="eastAsia"/>
                <w:lang w:eastAsia="zh-CN"/>
              </w:rPr>
              <w:t>few</w:t>
            </w:r>
            <w:proofErr w:type="gramEnd"/>
            <w:r>
              <w:rPr>
                <w:rFonts w:hint="eastAsia"/>
                <w:lang w:eastAsia="zh-CN"/>
              </w:rPr>
              <w:t xml:space="preserve">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w:t>
            </w:r>
            <w:proofErr w:type="spellStart"/>
            <w:r w:rsidR="00AE5F77">
              <w:rPr>
                <w:rFonts w:hint="eastAsia"/>
                <w:lang w:eastAsia="zh-CN"/>
              </w:rPr>
              <w:t>gNB</w:t>
            </w:r>
            <w:proofErr w:type="spellEnd"/>
            <w:r w:rsidR="00AE5F77">
              <w:rPr>
                <w:rFonts w:hint="eastAsia"/>
                <w:lang w:eastAsia="zh-CN"/>
              </w:rPr>
              <w:t xml:space="preserve">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bookmarkStart w:id="4" w:name="_GoBack"/>
            <w:bookmarkEnd w:id="4"/>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a"/>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proofErr w:type="gramStart"/>
      <w:r>
        <w:t xml:space="preserve">Any </w:t>
      </w:r>
      <w:r w:rsidR="008E3C09">
        <w:t xml:space="preserve">further </w:t>
      </w:r>
      <w:r>
        <w:t>comments?</w:t>
      </w:r>
      <w:proofErr w:type="gramEnd"/>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lastRenderedPageBreak/>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w:t>
            </w:r>
            <w:proofErr w:type="gramStart"/>
            <w:r>
              <w:rPr>
                <w:rFonts w:eastAsia="Malgun Gothic"/>
                <w:lang w:eastAsia="ko-KR"/>
              </w:rPr>
              <w:t>and</w:t>
            </w:r>
            <w:proofErr w:type="gramEnd"/>
            <w:r>
              <w:rPr>
                <w:rFonts w:eastAsia="Malgun Gothic"/>
                <w:lang w:eastAsia="ko-KR"/>
              </w:rPr>
              <w:t xml:space="preserve">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w:t>
            </w:r>
            <w:proofErr w:type="gramStart"/>
            <w:r w:rsidRPr="00B67C9E">
              <w:t>][</w:t>
            </w:r>
            <w:proofErr w:type="gramEnd"/>
            <w:r w:rsidRPr="00B67C9E">
              <w:t>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 xml:space="preserve">To vivo, I was also aware of that email discussion in RAN2, and I believe they will send </w:t>
            </w:r>
            <w:proofErr w:type="gramStart"/>
            <w:r>
              <w:rPr>
                <w:lang w:eastAsia="zh-CN"/>
              </w:rPr>
              <w:t>another</w:t>
            </w:r>
            <w:proofErr w:type="gramEnd"/>
            <w:r>
              <w:rPr>
                <w:lang w:eastAsia="zh-CN"/>
              </w:rPr>
              <w:t xml:space="preserve">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a"/>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proofErr w:type="gramStart"/>
      <w:r>
        <w:t>Any comments on the above proposal?</w:t>
      </w:r>
      <w:proofErr w:type="gramEnd"/>
    </w:p>
    <w:tbl>
      <w:tblPr>
        <w:tblStyle w:val="af7"/>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lastRenderedPageBreak/>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9" w:history="1">
              <w:r w:rsidRPr="0012580C">
                <w:rPr>
                  <w:rStyle w:val="af4"/>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w:t>
            </w:r>
            <w:proofErr w:type="spellStart"/>
            <w:r>
              <w:rPr>
                <w:rFonts w:hint="eastAsia"/>
                <w:lang w:eastAsia="zh-CN"/>
              </w:rPr>
              <w:t>gNB</w:t>
            </w:r>
            <w:proofErr w:type="spellEnd"/>
            <w:r>
              <w:rPr>
                <w:rFonts w:hint="eastAsia"/>
                <w:lang w:eastAsia="zh-CN"/>
              </w:rPr>
              <w:t xml:space="preserve"> </w:t>
            </w:r>
            <w:r>
              <w:rPr>
                <w:lang w:eastAsia="zh-CN"/>
              </w:rPr>
              <w:t>assistance</w:t>
            </w:r>
            <w:r>
              <w:rPr>
                <w:rFonts w:hint="eastAsia"/>
                <w:lang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a4"/>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proofErr w:type="gramStart"/>
      <w:r>
        <w:rPr>
          <w:rFonts w:hint="eastAsia"/>
          <w:lang w:eastAsia="zh-CN"/>
        </w:rPr>
        <w:t>L</w:t>
      </w:r>
      <w:r>
        <w:rPr>
          <w:lang w:eastAsia="zh-CN"/>
        </w:rPr>
        <w:t>ist of proposals in the submitted contributions.</w:t>
      </w:r>
      <w:proofErr w:type="gramEnd"/>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afa"/>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 xml:space="preserve">be reinterpreted as the number of </w:t>
            </w:r>
            <w:proofErr w:type="spellStart"/>
            <w:r w:rsidRPr="00303CAA">
              <w:rPr>
                <w:rFonts w:eastAsia="宋体"/>
                <w:b/>
                <w:bCs/>
                <w:i/>
                <w:iCs/>
                <w:sz w:val="20"/>
                <w:lang w:eastAsia="zh-CN"/>
              </w:rPr>
              <w:t>TDMed</w:t>
            </w:r>
            <w:proofErr w:type="spellEnd"/>
            <w:r w:rsidRPr="00303CAA">
              <w:rPr>
                <w:rFonts w:eastAsia="宋体"/>
                <w:b/>
                <w:bCs/>
                <w:i/>
                <w:iCs/>
                <w:sz w:val="20"/>
                <w:lang w:eastAsia="zh-CN"/>
              </w:rPr>
              <w:t xml:space="preserve"> occasions per CG period</w:t>
            </w:r>
          </w:p>
          <w:p w14:paraId="484AD0C7"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afa"/>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w:t>
            </w:r>
            <w:proofErr w:type="spellStart"/>
            <w:r w:rsidRPr="00327998">
              <w:rPr>
                <w:rFonts w:eastAsia="等线" w:hint="eastAsia"/>
                <w:b/>
                <w:i/>
                <w:sz w:val="20"/>
                <w:szCs w:val="20"/>
                <w:lang w:val="en-GB" w:eastAsia="zh-CN"/>
              </w:rPr>
              <w:t>Ngap</w:t>
            </w:r>
            <w:proofErr w:type="spellEnd"/>
            <w:r w:rsidRPr="00327998">
              <w:rPr>
                <w:rFonts w:eastAsia="等线"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lastRenderedPageBreak/>
              <w:t>gNB</w:t>
            </w:r>
            <w:proofErr w:type="spellEnd"/>
            <w:r w:rsidRPr="00327998">
              <w:rPr>
                <w:b/>
                <w:bCs/>
                <w:i/>
                <w:iCs/>
                <w:sz w:val="20"/>
              </w:rPr>
              <w:t>, UE can use the CG PUSCH resource for CG-SDT.</w:t>
            </w:r>
          </w:p>
          <w:p w14:paraId="5D521BA0" w14:textId="77777777" w:rsidR="00327998" w:rsidRPr="00327998" w:rsidRDefault="00327998" w:rsidP="00D2799B">
            <w:pPr>
              <w:pStyle w:val="afa"/>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a9"/>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w:t>
            </w:r>
            <w:proofErr w:type="spellStart"/>
            <w:r w:rsidRPr="00CD230F">
              <w:rPr>
                <w:rFonts w:eastAsia="宋体"/>
                <w:b/>
                <w:lang w:eastAsia="zh-CN"/>
              </w:rPr>
              <w:t>gNB</w:t>
            </w:r>
            <w:proofErr w:type="spellEnd"/>
          </w:p>
          <w:p w14:paraId="263C6737"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a9"/>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proofErr w:type="gramStart"/>
            <w:r w:rsidRPr="00CD230F">
              <w:rPr>
                <w:b/>
              </w:rPr>
              <w:t>are</w:t>
            </w:r>
            <w:proofErr w:type="gramEnd"/>
            <w:r w:rsidRPr="00CD230F">
              <w:rPr>
                <w:b/>
              </w:rPr>
              <w:t xml:space="preserv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A3CDC" w14:textId="77777777" w:rsidR="0091044D" w:rsidRDefault="0091044D" w:rsidP="005020B0">
      <w:pPr>
        <w:spacing w:after="0"/>
      </w:pPr>
      <w:r>
        <w:separator/>
      </w:r>
    </w:p>
  </w:endnote>
  <w:endnote w:type="continuationSeparator" w:id="0">
    <w:p w14:paraId="59AAAAD8" w14:textId="77777777" w:rsidR="0091044D" w:rsidRDefault="0091044D"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68276" w14:textId="77777777" w:rsidR="0091044D" w:rsidRDefault="0091044D" w:rsidP="005020B0">
      <w:pPr>
        <w:spacing w:after="0"/>
      </w:pPr>
      <w:r>
        <w:separator/>
      </w:r>
    </w:p>
  </w:footnote>
  <w:footnote w:type="continuationSeparator" w:id="0">
    <w:p w14:paraId="731F39B5" w14:textId="77777777" w:rsidR="0091044D" w:rsidRDefault="0091044D"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6"/>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5"/>
  </w:num>
  <w:num w:numId="10">
    <w:abstractNumId w:val="17"/>
  </w:num>
  <w:num w:numId="11">
    <w:abstractNumId w:val="1"/>
  </w:num>
  <w:num w:numId="12">
    <w:abstractNumId w:val="16"/>
  </w:num>
  <w:num w:numId="13">
    <w:abstractNumId w:val="33"/>
  </w:num>
  <w:num w:numId="14">
    <w:abstractNumId w:val="15"/>
  </w:num>
  <w:num w:numId="15">
    <w:abstractNumId w:val="4"/>
  </w:num>
  <w:num w:numId="16">
    <w:abstractNumId w:val="9"/>
  </w:num>
  <w:num w:numId="17">
    <w:abstractNumId w:val="24"/>
  </w:num>
  <w:num w:numId="18">
    <w:abstractNumId w:val="32"/>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8"/>
  </w:num>
  <w:num w:numId="27">
    <w:abstractNumId w:val="31"/>
  </w:num>
  <w:num w:numId="28">
    <w:abstractNumId w:val="11"/>
  </w:num>
  <w:num w:numId="29">
    <w:abstractNumId w:val="23"/>
  </w:num>
  <w:num w:numId="30">
    <w:abstractNumId w:val="29"/>
  </w:num>
  <w:num w:numId="31">
    <w:abstractNumId w:val="8"/>
  </w:num>
  <w:num w:numId="32">
    <w:abstractNumId w:val="27"/>
  </w:num>
  <w:num w:numId="33">
    <w:abstractNumId w:val="10"/>
  </w:num>
  <w:num w:numId="3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77AF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
    <w:name w:val="Unresolved Mention"/>
    <w:basedOn w:val="a0"/>
    <w:uiPriority w:val="99"/>
    <w:semiHidden/>
    <w:unhideWhenUsed/>
    <w:rsid w:val="001258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
    <w:name w:val="Unresolved Mention"/>
    <w:basedOn w:val="a0"/>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5\Docs\R1-2104840.zip" TargetMode="External"/><Relationship Id="rId18" Type="http://schemas.openxmlformats.org/officeDocument/2006/relationships/hyperlink" Target="file:///C:\Users\wanshic\OneDrive%20-%20Qualcomm\Documents\Standards\3GPP%20Standards\Meeting%20Documents\TSGR1_105\Docs\R1-2104840.zip" TargetMode="External"/><Relationship Id="rId26" Type="http://schemas.openxmlformats.org/officeDocument/2006/relationships/hyperlink" Target="file:///C:\Users\wanshic\OneDrive%20-%20Qualcomm\Documents\Standards\3GPP%20Standards\Meeting%20Documents\TSGR1_105\Docs\R1-2105073.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15.zip" TargetMode="External"/><Relationship Id="rId7" Type="http://schemas.openxmlformats.org/officeDocument/2006/relationships/webSettings" Target="webSettings.xml"/><Relationship Id="rId12" Type="http://schemas.openxmlformats.org/officeDocument/2006/relationships/hyperlink" Target="file:///C:\Users\wanshic\OneDrive%20-%20Qualcomm\Documents\Standards\3GPP%20Standards\Meeting%20Documents\TSGR1_105\Docs\R1-2104798.zip" TargetMode="External"/><Relationship Id="rId17" Type="http://schemas.openxmlformats.org/officeDocument/2006/relationships/hyperlink" Target="file:///C:\Users\wanshic\OneDrive%20-%20Qualcomm\Documents\Standards\3GPP%20Standards\Meeting%20Documents\TSGR1_105\Docs\R1-2104469.zip" TargetMode="External"/><Relationship Id="rId25" Type="http://schemas.openxmlformats.org/officeDocument/2006/relationships/hyperlink" Target="file:///C:\Users\wanshic\OneDrive%20-%20Qualcomm\Documents\Standards\3GPP%20Standards\Meeting%20Documents\TSGR1_105\Docs\R1-210446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08.zip" TargetMode="External"/><Relationship Id="rId20" Type="http://schemas.openxmlformats.org/officeDocument/2006/relationships/hyperlink" Target="file:///C:\Users\wanshic\OneDrive%20-%20Qualcomm\Documents\Standards\3GPP%20Standards\Meeting%20Documents\TSGR1_105\Docs\R1-2105283.zip" TargetMode="External"/><Relationship Id="rId29" Type="http://schemas.openxmlformats.org/officeDocument/2006/relationships/hyperlink" Target="https://www.3gpp.org/ftp/tsg_ran/WG1_RL1/TSGR1_105-e/Inbox/drafts/5.2/LS%20to%20RAN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5\Docs\R1-2104408.zip" TargetMode="External"/><Relationship Id="rId24" Type="http://schemas.openxmlformats.org/officeDocument/2006/relationships/hyperlink" Target="file:///C:\Users\wanshic\OneDrive%20-%20Qualcomm\Documents\Standards\3GPP%20Standards\Meeting%20Documents\TSGR1_105\Docs\R1-2104408.zip" TargetMode="External"/><Relationship Id="rId5" Type="http://schemas.microsoft.com/office/2007/relationships/stylesWithEffects" Target="stylesWithEffects.xml"/><Relationship Id="rId15" Type="http://schemas.openxmlformats.org/officeDocument/2006/relationships/hyperlink" Target="file:///C:\Users\wanshic\OneDrive%20-%20Qualcomm\Documents\Standards\3GPP%20Standards\Meeting%20Documents\TSGR1_105\Docs\R1-2104282.zip" TargetMode="External"/><Relationship Id="rId23" Type="http://schemas.openxmlformats.org/officeDocument/2006/relationships/hyperlink" Target="file:///C:\Users\wanshic\OneDrive%20-%20Qualcomm\Documents\Standards\3GPP%20Standards\Meeting%20Documents\TSGR1_105\Docs\R1-2105508.zip" TargetMode="External"/><Relationship Id="rId28" Type="http://schemas.openxmlformats.org/officeDocument/2006/relationships/hyperlink" Target="file:///C:\Users\wanshic\OneDrive%20-%20Qualcomm\Documents\Standards\3GPP%20Standards\Meeting%20Documents\TSGR1_105\Docs\R1-2105073.zip" TargetMode="External"/><Relationship Id="rId10" Type="http://schemas.openxmlformats.org/officeDocument/2006/relationships/hyperlink" Target="file:///C:\Users\wanshic\OneDrive%20-%20Qualcomm\Documents\Standards\3GPP%20Standards\Meeting%20Documents\TSGR1_105\Docs\R1-2104282.zip" TargetMode="External"/><Relationship Id="rId19" Type="http://schemas.openxmlformats.org/officeDocument/2006/relationships/hyperlink" Target="file:///C:\Users\wanshic\OneDrive%20-%20Qualcomm\Documents\Standards\3GPP%20Standards\Meeting%20Documents\TSGR1_105\Docs\R1-2105073.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5\Docs\R1-2105508.zip" TargetMode="External"/><Relationship Id="rId22" Type="http://schemas.openxmlformats.org/officeDocument/2006/relationships/hyperlink" Target="file:///C:\Users\wanshic\OneDrive%20-%20Qualcomm\Documents\Standards\3GPP%20Standards\Meeting%20Documents\TSGR1_105\Docs\R1-2105471.zip" TargetMode="External"/><Relationship Id="rId27" Type="http://schemas.openxmlformats.org/officeDocument/2006/relationships/hyperlink" Target="file:///C:\Users\wanshic\OneDrive%20-%20Qualcomm\Documents\Standards\3GPP%20Standards\Meeting%20Documents\TSGR1_105\Docs\R1-2105415.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9FDAC-8402-4813-AA49-DE3A2910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7581</Words>
  <Characters>41012</Characters>
  <Application>Microsoft Office Word</Application>
  <DocSecurity>0</DocSecurity>
  <Lines>341</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3</cp:revision>
  <cp:lastPrinted>2007-06-18T05:08:00Z</cp:lastPrinted>
  <dcterms:created xsi:type="dcterms:W3CDTF">2021-05-24T02:44:00Z</dcterms:created>
  <dcterms:modified xsi:type="dcterms:W3CDTF">2021-05-24T02:59:00Z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