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38E45BEC"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FD98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E33F04">
        <w:rPr>
          <w:rFonts w:ascii="Arial" w:hAnsi="Arial" w:cs="Arial"/>
          <w:b/>
          <w:noProof/>
          <w:kern w:val="2"/>
          <w:lang w:eastAsia="zh-CN"/>
        </w:rPr>
        <w:t>5</w:t>
      </w:r>
      <w:r w:rsidR="00A259AC">
        <w:rPr>
          <w:rFonts w:ascii="Arial" w:hAnsi="Arial" w:cs="Arial"/>
          <w:b/>
          <w:noProof/>
          <w:kern w:val="2"/>
          <w:lang w:eastAsia="zh-CN"/>
        </w:rPr>
        <w:t>-e</w:t>
      </w:r>
      <w:r w:rsidR="00972929" w:rsidRPr="00D74B92">
        <w:rPr>
          <w:rFonts w:ascii="Arial" w:hAnsi="Arial" w:cs="Arial"/>
          <w:b/>
          <w:kern w:val="2"/>
          <w:lang w:eastAsia="zh-CN"/>
        </w:rPr>
        <w:tab/>
      </w:r>
      <w:r w:rsidR="00E33F04" w:rsidRPr="00E33F04">
        <w:rPr>
          <w:rFonts w:ascii="Arial" w:hAnsi="Arial" w:cs="Arial"/>
          <w:b/>
          <w:kern w:val="2"/>
          <w:lang w:eastAsia="zh-CN"/>
        </w:rPr>
        <w:t>R1-2104190</w:t>
      </w:r>
    </w:p>
    <w:p w14:paraId="2A9D85E6" w14:textId="0E9261E5"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E33F04">
        <w:rPr>
          <w:rFonts w:ascii="Arial" w:hAnsi="Arial" w:cs="Arial"/>
          <w:b/>
          <w:kern w:val="2"/>
          <w:lang w:eastAsia="zh-CN"/>
        </w:rPr>
        <w:t>May</w:t>
      </w:r>
      <w:r w:rsidRPr="000F75A1">
        <w:rPr>
          <w:rFonts w:ascii="Arial" w:hAnsi="Arial" w:cs="Arial"/>
          <w:b/>
          <w:kern w:val="2"/>
          <w:lang w:eastAsia="zh-CN"/>
        </w:rPr>
        <w:t xml:space="preserve"> </w:t>
      </w:r>
      <w:r w:rsidR="00AD6141">
        <w:rPr>
          <w:rFonts w:ascii="Arial" w:hAnsi="Arial" w:cs="Arial"/>
          <w:b/>
          <w:kern w:val="2"/>
          <w:lang w:eastAsia="zh-CN"/>
        </w:rPr>
        <w:t>1</w:t>
      </w:r>
      <w:r w:rsidR="002A3A5F">
        <w:rPr>
          <w:rFonts w:ascii="Arial" w:hAnsi="Arial" w:cs="Arial"/>
          <w:b/>
          <w:kern w:val="2"/>
          <w:lang w:eastAsia="zh-CN"/>
        </w:rPr>
        <w:t>9</w:t>
      </w:r>
      <w:r w:rsidRPr="000F75A1">
        <w:rPr>
          <w:rFonts w:ascii="Arial" w:hAnsi="Arial" w:cs="Arial"/>
          <w:b/>
          <w:kern w:val="2"/>
          <w:lang w:eastAsia="zh-CN"/>
        </w:rPr>
        <w:t xml:space="preserve"> – </w:t>
      </w:r>
      <w:r w:rsidR="00AD6141">
        <w:rPr>
          <w:rFonts w:ascii="Arial" w:hAnsi="Arial" w:cs="Arial"/>
          <w:b/>
          <w:kern w:val="2"/>
          <w:lang w:eastAsia="zh-CN"/>
        </w:rPr>
        <w:t>2</w:t>
      </w:r>
      <w:r w:rsidR="00E33F04">
        <w:rPr>
          <w:rFonts w:ascii="Arial" w:hAnsi="Arial" w:cs="Arial"/>
          <w:b/>
          <w:kern w:val="2"/>
          <w:lang w:eastAsia="zh-CN"/>
        </w:rPr>
        <w:t>7</w:t>
      </w:r>
      <w:r w:rsidRPr="000F75A1">
        <w:rPr>
          <w:rFonts w:ascii="Arial" w:hAnsi="Arial" w:cs="Arial"/>
          <w:b/>
          <w:kern w:val="2"/>
          <w:lang w:eastAsia="zh-CN"/>
        </w:rPr>
        <w:t>, 202</w:t>
      </w:r>
      <w:r w:rsidR="00C90627">
        <w:rPr>
          <w:rFonts w:ascii="Arial" w:hAnsi="Arial" w:cs="Arial"/>
          <w:b/>
          <w:kern w:val="2"/>
          <w:lang w:eastAsia="zh-CN"/>
        </w:rPr>
        <w:t>1</w:t>
      </w:r>
    </w:p>
    <w:p w14:paraId="7826937B" w14:textId="7FA53FF0"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0526D4">
        <w:rPr>
          <w:rFonts w:ascii="Arial" w:hAnsi="Arial" w:cs="Arial"/>
          <w:b/>
          <w:lang w:eastAsia="zh-CN"/>
        </w:rPr>
        <w:t>6</w:t>
      </w:r>
      <w:r w:rsidR="00B64AEF">
        <w:rPr>
          <w:rFonts w:ascii="Arial" w:hAnsi="Arial" w:cs="Arial"/>
          <w:b/>
          <w:lang w:eastAsia="zh-CN"/>
        </w:rPr>
        <w:t>.1</w:t>
      </w:r>
      <w:r w:rsidR="006D75A1">
        <w:rPr>
          <w:rFonts w:ascii="Arial" w:hAnsi="Arial" w:cs="Arial"/>
          <w:b/>
          <w:lang w:eastAsia="zh-CN"/>
        </w:rPr>
        <w:t>.</w:t>
      </w:r>
      <w:r w:rsidR="00E33F04">
        <w:rPr>
          <w:rFonts w:ascii="Arial" w:hAnsi="Arial" w:cs="Arial"/>
          <w:b/>
          <w:lang w:eastAsia="zh-CN"/>
        </w:rPr>
        <w:t>4</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7FF2847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33F04" w:rsidRPr="00E33F04">
        <w:rPr>
          <w:rFonts w:ascii="Arial" w:hAnsi="Arial" w:cs="Arial"/>
          <w:b/>
          <w:lang w:eastAsia="zh-CN"/>
        </w:rPr>
        <w:t>Discussion on Modulation order and parameters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A110A0C" w14:textId="0A61E99A" w:rsidR="004D6BA8" w:rsidRDefault="00D619D4" w:rsidP="002F718C">
      <w:pPr>
        <w:rPr>
          <w:rFonts w:eastAsia="Yu Mincho"/>
          <w:bCs/>
          <w:iCs/>
          <w:lang w:eastAsia="ja-JP"/>
        </w:rPr>
      </w:pPr>
      <w:r>
        <w:t xml:space="preserve">The </w:t>
      </w:r>
      <w:r w:rsidR="007B44D9">
        <w:t xml:space="preserve">3GPP </w:t>
      </w:r>
      <w:r w:rsidR="004D6BA8">
        <w:t xml:space="preserve">Rel-17 work item for </w:t>
      </w:r>
      <w:r w:rsidR="00276D8B" w:rsidRPr="00276D8B">
        <w:t xml:space="preserve">reduced capability </w:t>
      </w:r>
      <w:r w:rsidR="00276D8B">
        <w:t>(</w:t>
      </w:r>
      <w:r w:rsidR="009B262F">
        <w:t>RedCap</w:t>
      </w:r>
      <w:r w:rsidR="00276D8B">
        <w:t>) devices</w:t>
      </w:r>
      <w:r w:rsidR="004D6BA8">
        <w:t xml:space="preserve"> was </w:t>
      </w:r>
      <w:r w:rsidR="006D75A1">
        <w:t xml:space="preserve">updated </w:t>
      </w:r>
      <w:r w:rsidR="004D6BA8">
        <w:t xml:space="preserve">in </w:t>
      </w:r>
      <w:r w:rsidR="00C90627">
        <w:fldChar w:fldCharType="begin"/>
      </w:r>
      <w:r w:rsidR="00C90627">
        <w:instrText xml:space="preserve"> REF _Ref60902124 \r \h </w:instrText>
      </w:r>
      <w:r w:rsidR="00C90627">
        <w:fldChar w:fldCharType="separate"/>
      </w:r>
      <w:r w:rsidR="000106BF">
        <w:t>[1]</w:t>
      </w:r>
      <w:r w:rsidR="00C90627">
        <w:fldChar w:fldCharType="end"/>
      </w:r>
      <w:r w:rsidR="00087F03">
        <w:rPr>
          <w:rFonts w:eastAsia="Yu Mincho"/>
          <w:bCs/>
          <w:iCs/>
          <w:lang w:eastAsia="ja-JP"/>
        </w:rPr>
        <w:t>.</w:t>
      </w:r>
      <w:r w:rsidR="004D6BA8">
        <w:rPr>
          <w:rFonts w:eastAsia="Yu Mincho"/>
          <w:bCs/>
          <w:iCs/>
          <w:lang w:eastAsia="ja-JP"/>
        </w:rPr>
        <w:t xml:space="preserve"> Among the objectives, the scope of this WI </w:t>
      </w:r>
      <w:r w:rsidR="00122B25">
        <w:rPr>
          <w:rFonts w:eastAsia="Yu Mincho"/>
          <w:bCs/>
          <w:iCs/>
          <w:lang w:eastAsia="ja-JP"/>
        </w:rPr>
        <w:t>includes</w:t>
      </w:r>
      <w:r w:rsidR="004D6BA8">
        <w:rPr>
          <w:rFonts w:eastAsia="Yu Mincho"/>
          <w:bCs/>
          <w:iCs/>
          <w:lang w:eastAsia="ja-JP"/>
        </w:rPr>
        <w:t xml:space="preserve"> </w:t>
      </w:r>
      <w:r w:rsidR="0048094D">
        <w:rPr>
          <w:rFonts w:eastAsia="Yu Mincho"/>
          <w:bCs/>
          <w:iCs/>
          <w:lang w:eastAsia="ja-JP"/>
        </w:rPr>
        <w:t>specifying</w:t>
      </w:r>
      <w:r w:rsidR="00276D8B" w:rsidRPr="00276D8B">
        <w:t xml:space="preserve"> </w:t>
      </w:r>
      <w:r w:rsidR="00276D8B" w:rsidRPr="00276D8B">
        <w:rPr>
          <w:rFonts w:eastAsia="Yu Mincho"/>
          <w:bCs/>
          <w:iCs/>
          <w:lang w:eastAsia="ja-JP"/>
        </w:rPr>
        <w:t xml:space="preserve">support for </w:t>
      </w:r>
      <w:r w:rsidR="007C015D">
        <w:rPr>
          <w:rFonts w:eastAsia="Yu Mincho"/>
          <w:bCs/>
          <w:iCs/>
          <w:lang w:eastAsia="ja-JP"/>
        </w:rPr>
        <w:t>five</w:t>
      </w:r>
      <w:r w:rsidR="007C015D" w:rsidRPr="00276D8B">
        <w:rPr>
          <w:rFonts w:eastAsia="Yu Mincho"/>
          <w:bCs/>
          <w:iCs/>
          <w:lang w:eastAsia="ja-JP"/>
        </w:rPr>
        <w:t xml:space="preserve"> </w:t>
      </w:r>
      <w:r w:rsidR="00276D8B" w:rsidRPr="00276D8B">
        <w:rPr>
          <w:rFonts w:eastAsia="Yu Mincho"/>
          <w:bCs/>
          <w:iCs/>
          <w:lang w:eastAsia="ja-JP"/>
        </w:rPr>
        <w:t>UE complexity reduction features</w:t>
      </w:r>
      <w:r w:rsidR="00276D8B">
        <w:rPr>
          <w:rFonts w:eastAsia="Yu Mincho"/>
          <w:bCs/>
          <w:iCs/>
          <w:lang w:eastAsia="ja-JP"/>
        </w:rPr>
        <w:t xml:space="preserve"> (reduced maximum bandwidth, reduced minimum number of Rx branches, maximum number of DL MIMO layers, relaxed maximum modulation order, and </w:t>
      </w:r>
      <w:r w:rsidR="007C015D">
        <w:rPr>
          <w:rFonts w:eastAsia="Yu Mincho"/>
          <w:bCs/>
          <w:iCs/>
          <w:lang w:eastAsia="ja-JP"/>
        </w:rPr>
        <w:t xml:space="preserve">half </w:t>
      </w:r>
      <w:r w:rsidR="00276D8B">
        <w:rPr>
          <w:rFonts w:eastAsia="Yu Mincho"/>
          <w:bCs/>
          <w:iCs/>
          <w:lang w:eastAsia="ja-JP"/>
        </w:rPr>
        <w:t>duplex operation</w:t>
      </w:r>
      <w:r w:rsidR="00FE6BF8">
        <w:rPr>
          <w:rFonts w:eastAsia="Yu Mincho"/>
          <w:bCs/>
          <w:iCs/>
          <w:lang w:eastAsia="ja-JP"/>
        </w:rPr>
        <w:t>)</w:t>
      </w:r>
      <w:r w:rsidR="004D6BA8">
        <w:rPr>
          <w:rFonts w:eastAsia="Yu Mincho"/>
          <w:bCs/>
          <w:iCs/>
          <w:lang w:eastAsia="ja-JP"/>
        </w:rPr>
        <w:t>.</w:t>
      </w:r>
      <w:r w:rsidR="0021634C">
        <w:rPr>
          <w:rFonts w:eastAsia="Yu Mincho"/>
          <w:bCs/>
          <w:iCs/>
          <w:lang w:eastAsia="ja-JP"/>
        </w:rPr>
        <w:t xml:space="preserve"> </w:t>
      </w:r>
    </w:p>
    <w:p w14:paraId="438AD74D" w14:textId="529D5E52" w:rsidR="00087F03" w:rsidRPr="00087F03" w:rsidRDefault="002252C6" w:rsidP="002F718C">
      <w:r>
        <w:rPr>
          <w:rFonts w:eastAsia="Yu Mincho"/>
          <w:bCs/>
          <w:iCs/>
          <w:lang w:eastAsia="ja-JP"/>
        </w:rPr>
        <w:t>In RAN1#104</w:t>
      </w:r>
      <w:r w:rsidR="00E33F04">
        <w:rPr>
          <w:rFonts w:eastAsia="Yu Mincho"/>
          <w:bCs/>
          <w:iCs/>
          <w:lang w:eastAsia="ja-JP"/>
        </w:rPr>
        <w:t>b</w:t>
      </w:r>
      <w:r>
        <w:rPr>
          <w:rFonts w:eastAsia="Yu Mincho"/>
          <w:bCs/>
          <w:iCs/>
          <w:lang w:eastAsia="ja-JP"/>
        </w:rPr>
        <w:t xml:space="preserve">, </w:t>
      </w:r>
      <w:r w:rsidR="002B1D68">
        <w:rPr>
          <w:rFonts w:eastAsia="Yu Mincho"/>
          <w:bCs/>
          <w:iCs/>
          <w:lang w:eastAsia="ja-JP"/>
        </w:rPr>
        <w:t>discussions about</w:t>
      </w:r>
      <w:r w:rsidR="00E33F04">
        <w:rPr>
          <w:rFonts w:eastAsia="Yu Mincho"/>
          <w:bCs/>
          <w:iCs/>
          <w:lang w:eastAsia="ja-JP"/>
        </w:rPr>
        <w:t xml:space="preserve"> </w:t>
      </w:r>
      <w:r w:rsidR="002B1D68">
        <w:rPr>
          <w:rFonts w:eastAsia="Yu Mincho"/>
          <w:bCs/>
          <w:iCs/>
          <w:lang w:eastAsia="ja-JP"/>
        </w:rPr>
        <w:t xml:space="preserve">the </w:t>
      </w:r>
      <w:r w:rsidR="00E33F04">
        <w:rPr>
          <w:rFonts w:eastAsia="Yu Mincho"/>
          <w:bCs/>
          <w:iCs/>
          <w:lang w:eastAsia="ja-JP"/>
        </w:rPr>
        <w:t>low spectral efficiency (SE) MCS table considering</w:t>
      </w:r>
      <w:r>
        <w:rPr>
          <w:rFonts w:eastAsia="Yu Mincho"/>
          <w:bCs/>
          <w:iCs/>
          <w:lang w:eastAsia="ja-JP"/>
        </w:rPr>
        <w:t xml:space="preserve"> </w:t>
      </w:r>
      <w:r w:rsidR="00E33F04">
        <w:rPr>
          <w:rFonts w:eastAsia="Yu Mincho"/>
          <w:bCs/>
          <w:iCs/>
          <w:lang w:eastAsia="ja-JP"/>
        </w:rPr>
        <w:t xml:space="preserve">the impact of </w:t>
      </w:r>
      <w:r>
        <w:rPr>
          <w:rFonts w:eastAsia="Yu Mincho"/>
          <w:bCs/>
          <w:iCs/>
          <w:lang w:eastAsia="ja-JP"/>
        </w:rPr>
        <w:t xml:space="preserve">the </w:t>
      </w:r>
      <w:r w:rsidR="00CA7C89">
        <w:rPr>
          <w:rFonts w:eastAsia="Yu Mincho"/>
          <w:bCs/>
          <w:iCs/>
          <w:lang w:eastAsia="ja-JP"/>
        </w:rPr>
        <w:t>R</w:t>
      </w:r>
      <w:r w:rsidR="006A126B">
        <w:rPr>
          <w:rFonts w:eastAsia="Yu Mincho"/>
          <w:bCs/>
          <w:iCs/>
          <w:lang w:eastAsia="ja-JP"/>
        </w:rPr>
        <w:t>x</w:t>
      </w:r>
      <w:r w:rsidR="00CA7C89">
        <w:rPr>
          <w:rFonts w:eastAsia="Yu Mincho"/>
          <w:bCs/>
          <w:iCs/>
          <w:lang w:eastAsia="ja-JP"/>
        </w:rPr>
        <w:t xml:space="preserve"> branch reduction</w:t>
      </w:r>
      <w:r>
        <w:rPr>
          <w:rFonts w:eastAsia="Yu Mincho"/>
          <w:bCs/>
          <w:iCs/>
          <w:lang w:eastAsia="ja-JP"/>
        </w:rPr>
        <w:t xml:space="preserve"> feature</w:t>
      </w:r>
      <w:r w:rsidR="002B1D68">
        <w:rPr>
          <w:rFonts w:eastAsia="Yu Mincho"/>
          <w:bCs/>
          <w:iCs/>
          <w:lang w:eastAsia="ja-JP"/>
        </w:rPr>
        <w:t xml:space="preserve"> </w:t>
      </w:r>
      <w:r w:rsidR="00BF3139">
        <w:rPr>
          <w:rFonts w:eastAsia="Yu Mincho"/>
          <w:bCs/>
          <w:iCs/>
          <w:lang w:eastAsia="ja-JP"/>
        </w:rPr>
        <w:t>were</w:t>
      </w:r>
      <w:r w:rsidR="002B1D68">
        <w:rPr>
          <w:rFonts w:eastAsia="Yu Mincho"/>
          <w:bCs/>
          <w:iCs/>
          <w:lang w:eastAsia="ja-JP"/>
        </w:rPr>
        <w:t xml:space="preserve"> deferred</w:t>
      </w:r>
      <w:r w:rsidR="00E33F04">
        <w:rPr>
          <w:rFonts w:eastAsia="Yu Mincho"/>
          <w:bCs/>
          <w:iCs/>
          <w:lang w:eastAsia="ja-JP"/>
        </w:rPr>
        <w:t xml:space="preserve"> to the RAN1#105 meeting.</w:t>
      </w:r>
      <w:r>
        <w:rPr>
          <w:rFonts w:eastAsia="Yu Mincho"/>
          <w:bCs/>
          <w:iCs/>
          <w:lang w:eastAsia="ja-JP"/>
        </w:rPr>
        <w:t xml:space="preserve"> </w:t>
      </w:r>
      <w:r w:rsidR="00087F03">
        <w:rPr>
          <w:rFonts w:eastAsia="Yu Mincho"/>
          <w:bCs/>
          <w:iCs/>
          <w:lang w:eastAsia="ja-JP"/>
        </w:rPr>
        <w:t xml:space="preserve">In this contribution, </w:t>
      </w:r>
      <w:r w:rsidR="002B1D68">
        <w:rPr>
          <w:rFonts w:eastAsia="Yu Mincho"/>
          <w:bCs/>
          <w:iCs/>
          <w:lang w:eastAsia="ja-JP"/>
        </w:rPr>
        <w:t xml:space="preserve">observations </w:t>
      </w:r>
      <w:r w:rsidR="0021634C">
        <w:rPr>
          <w:rFonts w:eastAsia="Yu Mincho"/>
          <w:bCs/>
          <w:iCs/>
          <w:lang w:eastAsia="ja-JP"/>
        </w:rPr>
        <w:t xml:space="preserve">and proposals </w:t>
      </w:r>
      <w:r w:rsidR="002B1D68">
        <w:rPr>
          <w:rFonts w:eastAsia="Yu Mincho"/>
          <w:bCs/>
          <w:iCs/>
          <w:lang w:eastAsia="ja-JP"/>
        </w:rPr>
        <w:t xml:space="preserve">supporting the use of the low SE table are presented based </w:t>
      </w:r>
      <w:r w:rsidR="00B727A2">
        <w:rPr>
          <w:rFonts w:eastAsia="Yu Mincho"/>
          <w:bCs/>
          <w:iCs/>
          <w:lang w:eastAsia="ja-JP"/>
        </w:rPr>
        <w:t>on the agreements</w:t>
      </w:r>
      <w:r w:rsidR="00E33F04">
        <w:rPr>
          <w:rFonts w:eastAsia="Yu Mincho"/>
          <w:bCs/>
          <w:iCs/>
          <w:lang w:eastAsia="ja-JP"/>
        </w:rPr>
        <w:t xml:space="preserve"> and comments from both the RAN1#104 and RAN1#104b meetings</w:t>
      </w:r>
      <w:r w:rsidR="000B4E59">
        <w:rPr>
          <w:rFonts w:eastAsia="Yu Mincho"/>
          <w:bCs/>
          <w:iCs/>
          <w:lang w:eastAsia="ja-JP"/>
        </w:rPr>
        <w:t xml:space="preserve">. </w:t>
      </w:r>
    </w:p>
    <w:p w14:paraId="4266F95C" w14:textId="1D935BE5" w:rsidR="002319F7" w:rsidRPr="002319F7" w:rsidRDefault="00087F03" w:rsidP="002319F7">
      <w:pPr>
        <w:pStyle w:val="Heading1"/>
      </w:pPr>
      <w:r>
        <w:t>Discussion</w:t>
      </w:r>
    </w:p>
    <w:p w14:paraId="7A919FE4" w14:textId="0BF02F67" w:rsidR="00CA7C89" w:rsidRDefault="00B319C7" w:rsidP="00CA7C89">
      <w:r>
        <w:t>In RAN1#104, the following agreements were reached</w:t>
      </w:r>
      <w:r w:rsidR="00525CCD">
        <w:t xml:space="preserve"> for the MCS tables and CQI tables</w:t>
      </w:r>
      <w:r>
        <w:t xml:space="preserve"> </w:t>
      </w:r>
      <w:r>
        <w:fldChar w:fldCharType="begin"/>
      </w:r>
      <w:r>
        <w:instrText xml:space="preserve"> REF _Ref65593867 \r \h </w:instrText>
      </w:r>
      <w:r>
        <w:fldChar w:fldCharType="separate"/>
      </w:r>
      <w:r w:rsidR="000106BF">
        <w:t>[2]</w:t>
      </w:r>
      <w:r>
        <w:fldChar w:fldCharType="end"/>
      </w:r>
      <w:r>
        <w:t>.</w:t>
      </w:r>
    </w:p>
    <w:tbl>
      <w:tblPr>
        <w:tblStyle w:val="TableGrid"/>
        <w:tblW w:w="0" w:type="auto"/>
        <w:tblLook w:val="04A0" w:firstRow="1" w:lastRow="0" w:firstColumn="1" w:lastColumn="0" w:noHBand="0" w:noVBand="1"/>
      </w:tblPr>
      <w:tblGrid>
        <w:gridCol w:w="9307"/>
      </w:tblGrid>
      <w:tr w:rsidR="00CA7C89" w14:paraId="192BE4B4" w14:textId="77777777" w:rsidTr="00CA7C89">
        <w:tc>
          <w:tcPr>
            <w:tcW w:w="9307" w:type="dxa"/>
          </w:tcPr>
          <w:p w14:paraId="36E14B23" w14:textId="77777777" w:rsidR="00B319C7" w:rsidRPr="00B319C7" w:rsidRDefault="00B319C7" w:rsidP="00B319C7">
            <w:pPr>
              <w:pStyle w:val="ListParagraph"/>
              <w:numPr>
                <w:ilvl w:val="0"/>
                <w:numId w:val="23"/>
              </w:numPr>
              <w:spacing w:after="180" w:line="252" w:lineRule="auto"/>
              <w:jc w:val="left"/>
              <w:rPr>
                <w:i/>
                <w:iCs/>
                <w:sz w:val="20"/>
                <w:szCs w:val="16"/>
              </w:rPr>
            </w:pPr>
            <w:r w:rsidRPr="00B319C7">
              <w:rPr>
                <w:i/>
                <w:iCs/>
                <w:sz w:val="20"/>
                <w:szCs w:val="16"/>
              </w:rPr>
              <w:t>The MCS tables currently defined are re-used for RedCap UEs</w:t>
            </w:r>
          </w:p>
          <w:p w14:paraId="7C0C4B30" w14:textId="77777777" w:rsidR="00B319C7" w:rsidRPr="00B319C7" w:rsidRDefault="00B319C7" w:rsidP="00B319C7">
            <w:pPr>
              <w:pStyle w:val="ListParagraph"/>
              <w:numPr>
                <w:ilvl w:val="1"/>
                <w:numId w:val="23"/>
              </w:numPr>
              <w:spacing w:after="180" w:line="252" w:lineRule="auto"/>
              <w:jc w:val="left"/>
              <w:rPr>
                <w:i/>
                <w:iCs/>
                <w:sz w:val="20"/>
                <w:szCs w:val="16"/>
              </w:rPr>
            </w:pPr>
            <w:r w:rsidRPr="00B319C7">
              <w:rPr>
                <w:i/>
                <w:iCs/>
                <w:sz w:val="20"/>
                <w:szCs w:val="16"/>
              </w:rPr>
              <w:t>FFS which MCS table is the default one for RedCap (i.e., the default one for non-RedCap UEs or the one with low SE entries)</w:t>
            </w:r>
          </w:p>
          <w:p w14:paraId="7EAD6998" w14:textId="77777777" w:rsidR="00B319C7" w:rsidRPr="00B319C7" w:rsidRDefault="00B319C7" w:rsidP="00B319C7">
            <w:pPr>
              <w:pStyle w:val="ListParagraph"/>
              <w:numPr>
                <w:ilvl w:val="1"/>
                <w:numId w:val="23"/>
              </w:numPr>
              <w:spacing w:after="180" w:line="252" w:lineRule="auto"/>
              <w:jc w:val="left"/>
              <w:rPr>
                <w:i/>
                <w:iCs/>
                <w:sz w:val="20"/>
                <w:szCs w:val="16"/>
              </w:rPr>
            </w:pPr>
            <w:r w:rsidRPr="00B319C7">
              <w:rPr>
                <w:i/>
                <w:iCs/>
                <w:sz w:val="20"/>
                <w:szCs w:val="16"/>
              </w:rPr>
              <w:t>FFS mandatory/optional of the MCS tables</w:t>
            </w:r>
          </w:p>
          <w:p w14:paraId="6FCCA6E7" w14:textId="57115012" w:rsidR="00CA7C89" w:rsidRPr="00B319C7" w:rsidRDefault="00B319C7" w:rsidP="00B319C7">
            <w:pPr>
              <w:pStyle w:val="ListParagraph"/>
              <w:numPr>
                <w:ilvl w:val="1"/>
                <w:numId w:val="23"/>
              </w:numPr>
              <w:spacing w:after="180" w:line="252" w:lineRule="auto"/>
              <w:jc w:val="left"/>
              <w:rPr>
                <w:i/>
                <w:iCs/>
                <w:szCs w:val="18"/>
              </w:rPr>
            </w:pPr>
            <w:r w:rsidRPr="00B319C7">
              <w:rPr>
                <w:i/>
                <w:iCs/>
                <w:sz w:val="20"/>
                <w:szCs w:val="16"/>
              </w:rPr>
              <w:t>Note: there is no new MCS table to be introduced for RedCap UEs</w:t>
            </w:r>
          </w:p>
        </w:tc>
      </w:tr>
    </w:tbl>
    <w:p w14:paraId="66430E7F" w14:textId="399507E5" w:rsidR="003606FC" w:rsidRPr="00934720" w:rsidRDefault="003606FC" w:rsidP="003606FC"/>
    <w:tbl>
      <w:tblPr>
        <w:tblStyle w:val="TableGrid"/>
        <w:tblW w:w="0" w:type="auto"/>
        <w:tblLook w:val="04A0" w:firstRow="1" w:lastRow="0" w:firstColumn="1" w:lastColumn="0" w:noHBand="0" w:noVBand="1"/>
      </w:tblPr>
      <w:tblGrid>
        <w:gridCol w:w="9307"/>
      </w:tblGrid>
      <w:tr w:rsidR="003606FC" w:rsidRPr="00934720" w14:paraId="689D3C5E" w14:textId="77777777" w:rsidTr="005935FD">
        <w:tc>
          <w:tcPr>
            <w:tcW w:w="9350" w:type="dxa"/>
          </w:tcPr>
          <w:p w14:paraId="47AFA529" w14:textId="77777777" w:rsidR="00B319C7" w:rsidRPr="00B319C7" w:rsidRDefault="00B319C7" w:rsidP="00B319C7">
            <w:pPr>
              <w:pStyle w:val="ListParagraph"/>
              <w:numPr>
                <w:ilvl w:val="0"/>
                <w:numId w:val="23"/>
              </w:numPr>
              <w:spacing w:after="180" w:line="252" w:lineRule="auto"/>
              <w:jc w:val="left"/>
              <w:rPr>
                <w:i/>
                <w:iCs/>
                <w:sz w:val="20"/>
                <w:szCs w:val="16"/>
              </w:rPr>
            </w:pPr>
            <w:r w:rsidRPr="00B319C7">
              <w:rPr>
                <w:i/>
                <w:iCs/>
                <w:sz w:val="20"/>
                <w:szCs w:val="16"/>
              </w:rPr>
              <w:t>The CQI tables currently defined are re-used for RedCap UEs.</w:t>
            </w:r>
          </w:p>
          <w:p w14:paraId="385FF1AF" w14:textId="77777777" w:rsidR="00B319C7" w:rsidRPr="00B319C7" w:rsidRDefault="00B319C7" w:rsidP="00B319C7">
            <w:pPr>
              <w:pStyle w:val="ListParagraph"/>
              <w:numPr>
                <w:ilvl w:val="1"/>
                <w:numId w:val="23"/>
              </w:numPr>
              <w:spacing w:after="180" w:line="252" w:lineRule="auto"/>
              <w:jc w:val="left"/>
              <w:rPr>
                <w:i/>
                <w:iCs/>
                <w:sz w:val="20"/>
                <w:szCs w:val="16"/>
              </w:rPr>
            </w:pPr>
            <w:r w:rsidRPr="00B319C7">
              <w:rPr>
                <w:i/>
                <w:iCs/>
                <w:sz w:val="20"/>
                <w:szCs w:val="16"/>
              </w:rPr>
              <w:t>FFS mandatory/optional of the CQI tables</w:t>
            </w:r>
          </w:p>
          <w:p w14:paraId="4CFB8800" w14:textId="3DB12C31" w:rsidR="003606FC" w:rsidRPr="00B319C7" w:rsidRDefault="00B319C7" w:rsidP="00B319C7">
            <w:pPr>
              <w:pStyle w:val="ListParagraph"/>
              <w:numPr>
                <w:ilvl w:val="1"/>
                <w:numId w:val="23"/>
              </w:numPr>
              <w:spacing w:after="180" w:line="252" w:lineRule="auto"/>
              <w:jc w:val="left"/>
              <w:rPr>
                <w:i/>
                <w:iCs/>
                <w:sz w:val="20"/>
                <w:szCs w:val="16"/>
              </w:rPr>
            </w:pPr>
            <w:r w:rsidRPr="00B319C7">
              <w:rPr>
                <w:i/>
                <w:iCs/>
                <w:sz w:val="20"/>
                <w:szCs w:val="16"/>
              </w:rPr>
              <w:t>There is no new CQI table to be introduced for RedCap UEs</w:t>
            </w:r>
          </w:p>
        </w:tc>
      </w:tr>
    </w:tbl>
    <w:p w14:paraId="7321D037" w14:textId="3E42BEE5" w:rsidR="003606FC" w:rsidRDefault="003606FC" w:rsidP="003606FC"/>
    <w:p w14:paraId="16557808" w14:textId="1E1A0AEA" w:rsidR="00E6517F" w:rsidRDefault="002B1D68" w:rsidP="003606FC">
      <w:r>
        <w:t>This contribution focus on the FFS</w:t>
      </w:r>
      <w:r w:rsidR="00E6517F">
        <w:t xml:space="preserve"> for the MCS table</w:t>
      </w:r>
      <w:r w:rsidR="00C33C76">
        <w:t xml:space="preserve"> agreement</w:t>
      </w:r>
      <w:r w:rsidR="00E6517F">
        <w:t>.</w:t>
      </w:r>
    </w:p>
    <w:p w14:paraId="2D281EA8" w14:textId="110E1DD6" w:rsidR="001B69ED" w:rsidRDefault="00494AE7" w:rsidP="001B69ED">
      <w:pPr>
        <w:pStyle w:val="Heading2"/>
      </w:pPr>
      <w:r w:rsidRPr="00494AE7">
        <w:t>Benefits of making the low SE MCS table the default MCS table</w:t>
      </w:r>
    </w:p>
    <w:p w14:paraId="0769AC11" w14:textId="35471219" w:rsidR="003B1CED" w:rsidRDefault="000E3CEC" w:rsidP="007B774F">
      <w:r>
        <w:t>T</w:t>
      </w:r>
      <w:r w:rsidR="003B1CED">
        <w:t xml:space="preserve">he summary in the technical report </w:t>
      </w:r>
      <w:r w:rsidR="003B1CED">
        <w:fldChar w:fldCharType="begin"/>
      </w:r>
      <w:r w:rsidR="003B1CED">
        <w:instrText xml:space="preserve"> REF _Ref67920550 \r \h </w:instrText>
      </w:r>
      <w:r w:rsidR="003B1CED">
        <w:fldChar w:fldCharType="separate"/>
      </w:r>
      <w:r w:rsidR="000106BF">
        <w:t>[3]</w:t>
      </w:r>
      <w:r w:rsidR="003B1CED">
        <w:fldChar w:fldCharType="end"/>
      </w:r>
      <w:r w:rsidR="003B1CED">
        <w:t xml:space="preserve"> stated that </w:t>
      </w:r>
      <w:r w:rsidR="003C7195">
        <w:t xml:space="preserve">RedCap UEs with </w:t>
      </w:r>
      <w:r w:rsidR="003B1CED">
        <w:t>reduced number of Rx branches and legacy UEs can co-exist</w:t>
      </w:r>
      <w:r w:rsidR="003C7195">
        <w:t>.</w:t>
      </w:r>
      <w:r w:rsidR="003B1CED">
        <w:t xml:space="preserve"> </w:t>
      </w:r>
      <w:r w:rsidR="003C7195">
        <w:t>But</w:t>
      </w:r>
      <w:r w:rsidR="003B1CED">
        <w:t xml:space="preserve"> observations from the simulation results in the study indicated there may be potentially significant performance loss for certain downlink channels</w:t>
      </w:r>
      <w:r>
        <w:t xml:space="preserve"> (both for </w:t>
      </w:r>
      <w:r w:rsidR="003C7195">
        <w:t xml:space="preserve">the </w:t>
      </w:r>
      <w:r>
        <w:t>connected state and</w:t>
      </w:r>
      <w:r w:rsidR="003B1CED">
        <w:t xml:space="preserve"> during initial access</w:t>
      </w:r>
      <w:r>
        <w:t>)</w:t>
      </w:r>
      <w:r w:rsidR="003B1CED">
        <w:t xml:space="preserve">. For example, the </w:t>
      </w:r>
      <w:r>
        <w:t xml:space="preserve">Urban scenario </w:t>
      </w:r>
      <w:r w:rsidR="003B1CED">
        <w:t xml:space="preserve">results in Appendix C of </w:t>
      </w:r>
      <w:r w:rsidR="003B1CED">
        <w:fldChar w:fldCharType="begin"/>
      </w:r>
      <w:r w:rsidR="003B1CED">
        <w:instrText xml:space="preserve"> REF _Ref67920550 \r \h </w:instrText>
      </w:r>
      <w:r w:rsidR="003B1CED">
        <w:fldChar w:fldCharType="separate"/>
      </w:r>
      <w:r w:rsidR="000106BF">
        <w:t>[3]</w:t>
      </w:r>
      <w:r w:rsidR="003B1CED">
        <w:fldChar w:fldCharType="end"/>
      </w:r>
      <w:r w:rsidR="003B1CED">
        <w:t xml:space="preserve"> show that using 2 receive </w:t>
      </w:r>
      <w:r w:rsidR="003C7195">
        <w:t>branches</w:t>
      </w:r>
      <w:r w:rsidR="003B1CED">
        <w:t xml:space="preserve"> instead of 4 </w:t>
      </w:r>
      <w:r w:rsidR="003C7195">
        <w:t>branches</w:t>
      </w:r>
      <w:r w:rsidR="003B1CED">
        <w:t xml:space="preserve"> for FR1 </w:t>
      </w:r>
      <w:r w:rsidR="003C7195">
        <w:t>has</w:t>
      </w:r>
      <w:r w:rsidR="003B1CED">
        <w:t xml:space="preserve"> about </w:t>
      </w:r>
      <w:r w:rsidR="003C7195">
        <w:t xml:space="preserve">a </w:t>
      </w:r>
      <w:r w:rsidR="00DE577E">
        <w:t>~</w:t>
      </w:r>
      <w:r w:rsidR="003B1CED">
        <w:t>6 dB degradation for PD</w:t>
      </w:r>
      <w:r>
        <w:t>S</w:t>
      </w:r>
      <w:r w:rsidR="003B1CED">
        <w:t xml:space="preserve">CH (based on averaging the </w:t>
      </w:r>
      <w:r>
        <w:t xml:space="preserve">MIL </w:t>
      </w:r>
      <w:r w:rsidR="003B1CED">
        <w:t>margins in the tables). Th</w:t>
      </w:r>
      <w:r>
        <w:t xml:space="preserve">is degradation increases to </w:t>
      </w:r>
      <w:r w:rsidR="00DE577E">
        <w:t>~10</w:t>
      </w:r>
      <w:r>
        <w:t xml:space="preserve"> dB when comparing 1 receive </w:t>
      </w:r>
      <w:r w:rsidR="003C7195">
        <w:t>branch</w:t>
      </w:r>
      <w:r>
        <w:t xml:space="preserve"> vs. 4 </w:t>
      </w:r>
      <w:r w:rsidR="003C7195">
        <w:t>branches</w:t>
      </w:r>
      <w:r>
        <w:t xml:space="preserve">. </w:t>
      </w:r>
      <w:r w:rsidR="003B1CED">
        <w:t xml:space="preserve">This degradation is present for RedCap UEs </w:t>
      </w:r>
      <w:r w:rsidR="00DE577E">
        <w:t xml:space="preserve">even when </w:t>
      </w:r>
      <w:r w:rsidR="003B1CED">
        <w:t>in coverage.</w:t>
      </w:r>
    </w:p>
    <w:p w14:paraId="4F134516" w14:textId="2BF90003" w:rsidR="000E3CEC" w:rsidRDefault="000E3CEC" w:rsidP="007B774F">
      <w:r>
        <w:t>The</w:t>
      </w:r>
      <w:r w:rsidR="003C7195">
        <w:t>se</w:t>
      </w:r>
      <w:r>
        <w:t xml:space="preserve"> results are </w:t>
      </w:r>
      <w:r w:rsidR="003C7195">
        <w:t>expected</w:t>
      </w:r>
      <w:r>
        <w:t xml:space="preserve">: for a </w:t>
      </w:r>
      <w:r w:rsidR="003C7195">
        <w:t xml:space="preserve">AWGN channel, reducing the number of branches causes the link performance curves to shift by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sSub>
              <m:sSubPr>
                <m:ctrlPr>
                  <w:rPr>
                    <w:rFonts w:ascii="Cambria Math" w:hAnsi="Cambria Math"/>
                    <w:i/>
                  </w:rPr>
                </m:ctrlPr>
              </m:sSubPr>
              <m:e>
                <m:r>
                  <w:rPr>
                    <w:rFonts w:ascii="Cambria Math" w:hAnsi="Cambria Math"/>
                  </w:rPr>
                  <m:t>N</m:t>
                </m:r>
              </m:e>
              <m:sub>
                <m:r>
                  <w:rPr>
                    <w:rFonts w:ascii="Cambria Math" w:hAnsi="Cambria Math"/>
                  </w:rPr>
                  <m:t>Rx</m:t>
                </m:r>
              </m:sub>
            </m:sSub>
          </m:e>
        </m:func>
      </m:oMath>
      <w:r w:rsidR="003C7195">
        <w:t xml:space="preserve"> dB. For fading / multipath channels, the amount of the shift increases. </w:t>
      </w:r>
    </w:p>
    <w:p w14:paraId="14DFD5F9" w14:textId="1040BFBF" w:rsidR="00871756" w:rsidRDefault="003C7195" w:rsidP="002B1D68">
      <w:r>
        <w:t xml:space="preserve">The default MCS table for non-RedCap UEs is designed according to the link performance using multiple receive branches. The design considered the switch points between modulation orders and the lowest </w:t>
      </w:r>
      <w:r w:rsidR="002B1D68">
        <w:t xml:space="preserve">necessary </w:t>
      </w:r>
      <w:r>
        <w:t>code rates. This can be seen when examining</w:t>
      </w:r>
      <w:r w:rsidR="00305421">
        <w:t xml:space="preserve"> the MCS tables in</w:t>
      </w:r>
      <w:r w:rsidR="00871756">
        <w:t xml:space="preserve"> clause 5.1.3.1</w:t>
      </w:r>
      <w:r w:rsidR="00305421">
        <w:t xml:space="preserve"> of</w:t>
      </w:r>
      <w:r w:rsidR="00871756">
        <w:t xml:space="preserve"> </w:t>
      </w:r>
      <w:r>
        <w:fldChar w:fldCharType="begin"/>
      </w:r>
      <w:r>
        <w:instrText xml:space="preserve"> REF _Ref71211787 \r \h </w:instrText>
      </w:r>
      <w:r>
        <w:fldChar w:fldCharType="separate"/>
      </w:r>
      <w:r w:rsidR="000106BF">
        <w:t>[7]</w:t>
      </w:r>
      <w:r>
        <w:fldChar w:fldCharType="end"/>
      </w:r>
      <w:r>
        <w:t xml:space="preserve">. A </w:t>
      </w:r>
      <w:r w:rsidR="00871756">
        <w:t>comparison of the indices and code rates for normal</w:t>
      </w:r>
      <w:r w:rsidR="00BA03E1">
        <w:t xml:space="preserve"> and</w:t>
      </w:r>
      <w:r w:rsidR="00871756">
        <w:t xml:space="preserve"> lower spectral efficiency (SE)</w:t>
      </w:r>
      <w:r w:rsidR="003E1F48">
        <w:t xml:space="preserve"> tables</w:t>
      </w:r>
      <w:r w:rsidR="00871756">
        <w:t xml:space="preserve"> is shown in </w:t>
      </w:r>
      <w:r w:rsidR="00871756">
        <w:fldChar w:fldCharType="begin"/>
      </w:r>
      <w:r w:rsidR="00871756">
        <w:instrText xml:space="preserve"> REF _Ref67912729 \h </w:instrText>
      </w:r>
      <w:r w:rsidR="00871756">
        <w:fldChar w:fldCharType="separate"/>
      </w:r>
      <w:r w:rsidR="000106BF">
        <w:t xml:space="preserve">Fig. </w:t>
      </w:r>
      <w:r w:rsidR="000106BF">
        <w:rPr>
          <w:noProof/>
        </w:rPr>
        <w:t>1</w:t>
      </w:r>
      <w:r w:rsidR="00871756">
        <w:fldChar w:fldCharType="end"/>
      </w:r>
      <w:r w:rsidR="00871756">
        <w:t xml:space="preserve">. This figure is updated from </w:t>
      </w:r>
      <w:r w:rsidR="00871756">
        <w:fldChar w:fldCharType="begin"/>
      </w:r>
      <w:r w:rsidR="00871756">
        <w:instrText xml:space="preserve"> REF _Ref70408467 \r \h </w:instrText>
      </w:r>
      <w:r w:rsidR="00871756">
        <w:fldChar w:fldCharType="separate"/>
      </w:r>
      <w:r w:rsidR="000106BF">
        <w:t>[6]</w:t>
      </w:r>
      <w:r w:rsidR="00871756">
        <w:fldChar w:fldCharType="end"/>
      </w:r>
      <w:r w:rsidR="00871756">
        <w:t xml:space="preserve"> to include </w:t>
      </w:r>
      <w:r>
        <w:t xml:space="preserve">three </w:t>
      </w:r>
      <w:r w:rsidR="00871756">
        <w:t>modulation orders.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BA03E1" w14:paraId="38663637" w14:textId="77777777" w:rsidTr="005935FD">
        <w:tc>
          <w:tcPr>
            <w:tcW w:w="9095" w:type="dxa"/>
          </w:tcPr>
          <w:p w14:paraId="6A2065D4" w14:textId="08661941" w:rsidR="00871756" w:rsidRDefault="00BA03E1" w:rsidP="005935FD">
            <w:pPr>
              <w:pStyle w:val="TableCell0"/>
            </w:pPr>
            <w:r>
              <w:rPr>
                <w:noProof/>
              </w:rPr>
              <w:lastRenderedPageBreak/>
              <w:drawing>
                <wp:inline distT="0" distB="0" distL="0" distR="0" wp14:anchorId="72363EE8" wp14:editId="1707CFCF">
                  <wp:extent cx="2926080" cy="2119408"/>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6080" cy="2119408"/>
                          </a:xfrm>
                          <a:prstGeom prst="rect">
                            <a:avLst/>
                          </a:prstGeom>
                          <a:noFill/>
                        </pic:spPr>
                      </pic:pic>
                    </a:graphicData>
                  </a:graphic>
                </wp:inline>
              </w:drawing>
            </w:r>
          </w:p>
        </w:tc>
        <w:tc>
          <w:tcPr>
            <w:tcW w:w="222" w:type="dxa"/>
          </w:tcPr>
          <w:p w14:paraId="77EF74F1" w14:textId="4DFE954D" w:rsidR="00871756" w:rsidRDefault="00BA03E1" w:rsidP="005935FD">
            <w:pPr>
              <w:pStyle w:val="TableCell0"/>
            </w:pPr>
            <w:r>
              <w:rPr>
                <w:noProof/>
              </w:rPr>
              <w:drawing>
                <wp:inline distT="0" distB="0" distL="0" distR="0" wp14:anchorId="2B50ECA5" wp14:editId="7E6F8893">
                  <wp:extent cx="2926080" cy="2119409"/>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6080" cy="2119409"/>
                          </a:xfrm>
                          <a:prstGeom prst="rect">
                            <a:avLst/>
                          </a:prstGeom>
                          <a:noFill/>
                        </pic:spPr>
                      </pic:pic>
                    </a:graphicData>
                  </a:graphic>
                </wp:inline>
              </w:drawing>
            </w:r>
          </w:p>
        </w:tc>
      </w:tr>
      <w:tr w:rsidR="00BA03E1" w14:paraId="03FC770A" w14:textId="77777777" w:rsidTr="005935FD">
        <w:tc>
          <w:tcPr>
            <w:tcW w:w="9095" w:type="dxa"/>
          </w:tcPr>
          <w:p w14:paraId="443AAEC7" w14:textId="77777777" w:rsidR="00871756" w:rsidRDefault="00871756" w:rsidP="005935FD">
            <w:pPr>
              <w:pStyle w:val="Caption"/>
            </w:pPr>
            <w:r>
              <w:t>(a) QPSK</w:t>
            </w:r>
          </w:p>
        </w:tc>
        <w:tc>
          <w:tcPr>
            <w:tcW w:w="222" w:type="dxa"/>
          </w:tcPr>
          <w:p w14:paraId="1A4FD71F" w14:textId="44E68FAF" w:rsidR="00871756" w:rsidRDefault="00871756" w:rsidP="005935FD">
            <w:pPr>
              <w:pStyle w:val="Caption"/>
            </w:pPr>
            <w:r>
              <w:t>(b) 16QAM</w:t>
            </w:r>
          </w:p>
        </w:tc>
      </w:tr>
      <w:tr w:rsidR="00BA03E1" w14:paraId="766BEF36" w14:textId="77777777" w:rsidTr="005935FD">
        <w:tc>
          <w:tcPr>
            <w:tcW w:w="9095" w:type="dxa"/>
          </w:tcPr>
          <w:p w14:paraId="076F65A5" w14:textId="593CDFB2" w:rsidR="00871756" w:rsidRDefault="00BA03E1" w:rsidP="005935FD">
            <w:pPr>
              <w:pStyle w:val="TableCell0"/>
            </w:pPr>
            <w:r>
              <w:rPr>
                <w:noProof/>
              </w:rPr>
              <w:drawing>
                <wp:inline distT="0" distB="0" distL="0" distR="0" wp14:anchorId="0A7287EA" wp14:editId="003221E8">
                  <wp:extent cx="2926080" cy="2119408"/>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6080" cy="2119408"/>
                          </a:xfrm>
                          <a:prstGeom prst="rect">
                            <a:avLst/>
                          </a:prstGeom>
                          <a:noFill/>
                        </pic:spPr>
                      </pic:pic>
                    </a:graphicData>
                  </a:graphic>
                </wp:inline>
              </w:drawing>
            </w:r>
          </w:p>
        </w:tc>
        <w:tc>
          <w:tcPr>
            <w:tcW w:w="222" w:type="dxa"/>
          </w:tcPr>
          <w:p w14:paraId="579B2875" w14:textId="77777777" w:rsidR="00871756" w:rsidRDefault="00871756" w:rsidP="005935FD">
            <w:pPr>
              <w:pStyle w:val="TableCell0"/>
            </w:pPr>
          </w:p>
        </w:tc>
      </w:tr>
      <w:tr w:rsidR="00BA03E1" w14:paraId="1248CC5F" w14:textId="77777777" w:rsidTr="005935FD">
        <w:tc>
          <w:tcPr>
            <w:tcW w:w="9095" w:type="dxa"/>
          </w:tcPr>
          <w:p w14:paraId="25C4DB3D" w14:textId="46AB82D4" w:rsidR="00871756" w:rsidRDefault="00871756" w:rsidP="005935FD">
            <w:pPr>
              <w:pStyle w:val="Caption"/>
            </w:pPr>
            <w:r>
              <w:t>(c) 64QAM</w:t>
            </w:r>
          </w:p>
        </w:tc>
        <w:tc>
          <w:tcPr>
            <w:tcW w:w="222" w:type="dxa"/>
          </w:tcPr>
          <w:p w14:paraId="0C1B66F0" w14:textId="77777777" w:rsidR="00871756" w:rsidRDefault="00871756" w:rsidP="005935FD">
            <w:pPr>
              <w:pStyle w:val="TableCell0"/>
            </w:pPr>
          </w:p>
        </w:tc>
      </w:tr>
    </w:tbl>
    <w:p w14:paraId="0DD5216C" w14:textId="24FD7677" w:rsidR="00871756" w:rsidRDefault="00871756" w:rsidP="00871756">
      <w:pPr>
        <w:pStyle w:val="Caption"/>
      </w:pPr>
      <w:bookmarkStart w:id="2" w:name="_Ref67912729"/>
      <w:r>
        <w:t xml:space="preserve">Fig. </w:t>
      </w:r>
      <w:r w:rsidR="00952B80">
        <w:fldChar w:fldCharType="begin"/>
      </w:r>
      <w:r w:rsidR="00952B80">
        <w:instrText xml:space="preserve"> SEQ Fig. \* ARABIC </w:instrText>
      </w:r>
      <w:r w:rsidR="00952B80">
        <w:fldChar w:fldCharType="separate"/>
      </w:r>
      <w:r w:rsidR="000106BF">
        <w:rPr>
          <w:noProof/>
        </w:rPr>
        <w:t>1</w:t>
      </w:r>
      <w:r w:rsidR="00952B80">
        <w:rPr>
          <w:noProof/>
        </w:rPr>
        <w:fldChar w:fldCharType="end"/>
      </w:r>
      <w:bookmarkEnd w:id="2"/>
      <w:r>
        <w:t>. Comparison of normal and lower SE MCS tables for (a) QPSK, (b) 16QAM, and (c) 64QAM</w:t>
      </w:r>
    </w:p>
    <w:p w14:paraId="3F7A7684" w14:textId="6774CC9E" w:rsidR="00FF2EF7" w:rsidRDefault="00FF2EF7" w:rsidP="003606FC">
      <w:r>
        <w:t>From the figures, it is clear that</w:t>
      </w:r>
      <w:r w:rsidR="00E774F7">
        <w:t>:</w:t>
      </w:r>
    </w:p>
    <w:p w14:paraId="0CF79546" w14:textId="2EA7F67A" w:rsidR="00FF2EF7" w:rsidRDefault="00FF2EF7" w:rsidP="00FF2EF7">
      <w:pPr>
        <w:pStyle w:val="ListParagraph"/>
        <w:numPr>
          <w:ilvl w:val="0"/>
          <w:numId w:val="37"/>
        </w:numPr>
      </w:pPr>
      <w:r>
        <w:t>The l</w:t>
      </w:r>
      <w:r w:rsidR="00BA03E1" w:rsidRPr="00BA03E1">
        <w:t>ow</w:t>
      </w:r>
      <w:r>
        <w:t xml:space="preserve"> SE</w:t>
      </w:r>
      <w:r w:rsidR="00BA03E1" w:rsidRPr="00BA03E1">
        <w:t xml:space="preserve"> table </w:t>
      </w:r>
      <w:r>
        <w:t>has</w:t>
      </w:r>
      <w:r w:rsidR="00BA03E1" w:rsidRPr="00BA03E1">
        <w:t xml:space="preserve"> more </w:t>
      </w:r>
      <w:r>
        <w:t xml:space="preserve">6 more </w:t>
      </w:r>
      <w:r w:rsidR="00BA03E1" w:rsidRPr="00BA03E1">
        <w:t>QPSK entries</w:t>
      </w:r>
      <w:r>
        <w:t xml:space="preserve"> corresponding to 1/4, 1/3, 5/12, 8/15, 13/20, and 33/40 of code rate 0.12.</w:t>
      </w:r>
    </w:p>
    <w:p w14:paraId="630055B4" w14:textId="2F604C7D" w:rsidR="00FF2EF7" w:rsidRDefault="00FF2EF7" w:rsidP="00FF2EF7">
      <w:pPr>
        <w:pStyle w:val="ListParagraph"/>
        <w:numPr>
          <w:ilvl w:val="0"/>
          <w:numId w:val="37"/>
        </w:numPr>
      </w:pPr>
      <w:r>
        <w:t>T</w:t>
      </w:r>
      <w:r w:rsidR="00BA03E1" w:rsidRPr="00BA03E1">
        <w:t xml:space="preserve">he transition between modulations is a </w:t>
      </w:r>
      <w:r w:rsidR="002B1D68">
        <w:t>slightly</w:t>
      </w:r>
      <w:r w:rsidR="002B1D68" w:rsidRPr="00BA03E1">
        <w:t xml:space="preserve"> </w:t>
      </w:r>
      <w:r w:rsidR="00BA03E1" w:rsidRPr="00BA03E1">
        <w:t>different</w:t>
      </w:r>
      <w:r w:rsidR="009E158D">
        <w:t xml:space="preserve"> between each </w:t>
      </w:r>
      <w:r w:rsidR="00E774F7">
        <w:t>table.</w:t>
      </w:r>
    </w:p>
    <w:p w14:paraId="491D726F" w14:textId="4F243908" w:rsidR="00FF2EF7" w:rsidRDefault="00FF2EF7" w:rsidP="00FF2EF7">
      <w:pPr>
        <w:pStyle w:val="ListParagraph"/>
        <w:numPr>
          <w:ilvl w:val="0"/>
          <w:numId w:val="37"/>
        </w:numPr>
      </w:pPr>
      <w:r>
        <w:t>T</w:t>
      </w:r>
      <w:r w:rsidR="00BA03E1" w:rsidRPr="00BA03E1">
        <w:t>he highest code rate</w:t>
      </w:r>
      <w:r>
        <w:t xml:space="preserve"> </w:t>
      </w:r>
      <w:r w:rsidR="003E1F48">
        <w:t>supported by</w:t>
      </w:r>
      <w:r>
        <w:t xml:space="preserve"> each table </w:t>
      </w:r>
      <w:r w:rsidR="00BA03E1" w:rsidRPr="00BA03E1">
        <w:t>is a bit different</w:t>
      </w:r>
    </w:p>
    <w:p w14:paraId="06D9C76F" w14:textId="0C18CB01" w:rsidR="00FF2EF7" w:rsidRDefault="00FF2EF7" w:rsidP="00FF2EF7">
      <w:pPr>
        <w:pStyle w:val="ListParagraph"/>
        <w:numPr>
          <w:ilvl w:val="1"/>
          <w:numId w:val="37"/>
        </w:numPr>
      </w:pPr>
      <w:r>
        <w:t xml:space="preserve">The normal table provides one </w:t>
      </w:r>
      <w:r w:rsidR="00D10554">
        <w:t>more</w:t>
      </w:r>
      <w:r>
        <w:t xml:space="preserve"> code rate of 0.66 for QPSK; one </w:t>
      </w:r>
      <w:r w:rsidR="00D10554">
        <w:t>more</w:t>
      </w:r>
      <w:r>
        <w:t xml:space="preserve"> </w:t>
      </w:r>
      <w:r w:rsidRPr="00FF2EF7">
        <w:t>rate 0.64</w:t>
      </w:r>
      <w:r>
        <w:t xml:space="preserve"> for 16-QAM, and </w:t>
      </w:r>
      <w:r w:rsidRPr="00FF2EF7">
        <w:t>4 more rates above 0.754</w:t>
      </w:r>
      <w:r>
        <w:t xml:space="preserve"> for 64-QAM.</w:t>
      </w:r>
    </w:p>
    <w:p w14:paraId="7F10663F" w14:textId="12CF1B68" w:rsidR="00773E55" w:rsidRDefault="003C7195" w:rsidP="003606FC">
      <w:r>
        <w:t>As stated before, t</w:t>
      </w:r>
      <w:r w:rsidR="002D4DA2">
        <w:t xml:space="preserve">he </w:t>
      </w:r>
      <w:r w:rsidR="002D4DA2" w:rsidRPr="002D4DA2">
        <w:t xml:space="preserve">entries in the normal </w:t>
      </w:r>
      <w:r>
        <w:t xml:space="preserve">MCS </w:t>
      </w:r>
      <w:r w:rsidR="002D4DA2" w:rsidRPr="002D4DA2">
        <w:t>table are designed to provide good granularity for the gNB to match the MCS used to the channel conditions th</w:t>
      </w:r>
      <w:r w:rsidR="002D4DA2">
        <w:t xml:space="preserve">at a </w:t>
      </w:r>
      <w:r w:rsidR="009E158D">
        <w:t>non-RedCap</w:t>
      </w:r>
      <w:r w:rsidR="002D4DA2" w:rsidRPr="002D4DA2">
        <w:t xml:space="preserve"> UE experiences. </w:t>
      </w:r>
      <w:r w:rsidR="00EB1D9F">
        <w:t>However,</w:t>
      </w:r>
      <w:r w:rsidR="002D4DA2" w:rsidRPr="002D4DA2">
        <w:t xml:space="preserve"> </w:t>
      </w:r>
      <w:r w:rsidR="00EB1D9F">
        <w:t xml:space="preserve">for </w:t>
      </w:r>
      <w:r w:rsidR="002D4DA2" w:rsidRPr="002D4DA2">
        <w:t>a RedCap UE, particularly a 1</w:t>
      </w:r>
      <w:r w:rsidR="00EB1D9F">
        <w:t xml:space="preserve"> </w:t>
      </w:r>
      <w:r w:rsidR="002D4DA2" w:rsidRPr="002D4DA2">
        <w:t>R</w:t>
      </w:r>
      <w:r w:rsidR="00EB1D9F">
        <w:t>x</w:t>
      </w:r>
      <w:r w:rsidR="002D4DA2" w:rsidRPr="002D4DA2">
        <w:t xml:space="preserve"> RedCap UE, the SNR region that needs to be supported is shifted lower. An MCS table that has more entries for the lower rate QPSK is</w:t>
      </w:r>
      <w:r w:rsidR="00EB1D9F">
        <w:t>,</w:t>
      </w:r>
      <w:r w:rsidR="002D4DA2" w:rsidRPr="002D4DA2">
        <w:t xml:space="preserve"> therefore</w:t>
      </w:r>
      <w:r w:rsidR="00EB1D9F">
        <w:t>,</w:t>
      </w:r>
      <w:r w:rsidR="002D4DA2" w:rsidRPr="002D4DA2">
        <w:t xml:space="preserve"> </w:t>
      </w:r>
      <w:r w:rsidR="00EB1D9F">
        <w:t>appropriate</w:t>
      </w:r>
      <w:r w:rsidR="002D4DA2" w:rsidRPr="002D4DA2">
        <w:t xml:space="preserve"> for </w:t>
      </w:r>
      <w:r>
        <w:t xml:space="preserve">a </w:t>
      </w:r>
      <w:r w:rsidR="00773E55">
        <w:t>RedCap UE</w:t>
      </w:r>
      <w:r w:rsidR="002D4DA2" w:rsidRPr="002D4DA2">
        <w:t>.</w:t>
      </w:r>
      <w:r w:rsidR="00857B6B">
        <w:t xml:space="preserve"> Another benefit a low SE table can improve performance with </w:t>
      </w:r>
      <w:r w:rsidR="002B1D68">
        <w:t xml:space="preserve">its </w:t>
      </w:r>
      <w:r w:rsidR="00857B6B">
        <w:t>increased frequency diversity for low code rates.</w:t>
      </w:r>
    </w:p>
    <w:p w14:paraId="669E8E03" w14:textId="7FD5CB2C" w:rsidR="009E158D" w:rsidRDefault="009E158D" w:rsidP="009E158D">
      <w:pPr>
        <w:rPr>
          <w:b/>
          <w:bCs/>
        </w:rPr>
      </w:pPr>
      <w:r w:rsidRPr="007B774F">
        <w:rPr>
          <w:b/>
          <w:bCs/>
          <w:i/>
          <w:iCs/>
        </w:rPr>
        <w:t xml:space="preserve">Observation 1: The low SE table </w:t>
      </w:r>
      <w:r w:rsidR="00EB1D9F">
        <w:rPr>
          <w:b/>
          <w:bCs/>
          <w:i/>
          <w:iCs/>
        </w:rPr>
        <w:t>is tailored to the SNR region where a reduced Rx branch RedCap UE operates</w:t>
      </w:r>
      <w:r w:rsidRPr="007B774F">
        <w:rPr>
          <w:b/>
          <w:bCs/>
          <w:i/>
          <w:iCs/>
        </w:rPr>
        <w:t>.</w:t>
      </w:r>
    </w:p>
    <w:p w14:paraId="5C6B7EB3" w14:textId="028E25B3" w:rsidR="002B1D68" w:rsidRDefault="003C7195" w:rsidP="003C7195">
      <w:r>
        <w:t xml:space="preserve">There are </w:t>
      </w:r>
      <w:r w:rsidR="002B1D68">
        <w:t>three</w:t>
      </w:r>
      <w:r>
        <w:t xml:space="preserve"> main reasons to make the low SE table the default MCS table for RedCap</w:t>
      </w:r>
      <w:r w:rsidR="002B1D68">
        <w:t xml:space="preserve"> UEs</w:t>
      </w:r>
      <w:r>
        <w:t xml:space="preserve">. </w:t>
      </w:r>
      <w:r w:rsidR="00DE577E">
        <w:t xml:space="preserve">The first reason is, due </w:t>
      </w:r>
      <w:r>
        <w:t>to</w:t>
      </w:r>
      <w:r w:rsidRPr="003B1CED">
        <w:t xml:space="preserve"> </w:t>
      </w:r>
      <w:r w:rsidR="002B1D68">
        <w:t xml:space="preserve">the </w:t>
      </w:r>
      <w:r>
        <w:t>approximately</w:t>
      </w:r>
      <w:r w:rsidRPr="003B1CED">
        <w:t xml:space="preserve"> 10</w:t>
      </w:r>
      <w:r>
        <w:t xml:space="preserve"> </w:t>
      </w:r>
      <w:r w:rsidRPr="003B1CED">
        <w:t>dB shift</w:t>
      </w:r>
      <w:r>
        <w:t xml:space="preserve"> in performance for a reduce</w:t>
      </w:r>
      <w:r w:rsidR="002B1D68">
        <w:t>d</w:t>
      </w:r>
      <w:r>
        <w:t xml:space="preserve"> number of branches</w:t>
      </w:r>
      <w:r w:rsidRPr="003B1CED">
        <w:t xml:space="preserve">, </w:t>
      </w:r>
      <w:r>
        <w:t>a RedCap</w:t>
      </w:r>
      <w:r w:rsidRPr="003B1CED">
        <w:t xml:space="preserve"> UE should almost always be using </w:t>
      </w:r>
      <w:r>
        <w:t>the low SE MCS</w:t>
      </w:r>
      <w:r w:rsidRPr="003B1CED">
        <w:t xml:space="preserve"> table</w:t>
      </w:r>
      <w:r>
        <w:t>.</w:t>
      </w:r>
    </w:p>
    <w:p w14:paraId="61F4D8CC" w14:textId="0B720AAF" w:rsidR="002B1D68" w:rsidRPr="00EC2660" w:rsidRDefault="002B1D68" w:rsidP="003C7195">
      <w:pPr>
        <w:rPr>
          <w:b/>
          <w:bCs/>
          <w:u w:val="single"/>
        </w:rPr>
      </w:pPr>
      <w:r w:rsidRPr="00EC2660">
        <w:rPr>
          <w:b/>
          <w:bCs/>
          <w:u w:val="single"/>
        </w:rPr>
        <w:t xml:space="preserve">No </w:t>
      </w:r>
      <w:r w:rsidR="00DE577E">
        <w:rPr>
          <w:b/>
          <w:bCs/>
          <w:u w:val="single"/>
        </w:rPr>
        <w:t xml:space="preserve">extra </w:t>
      </w:r>
      <w:r w:rsidRPr="00EC2660">
        <w:rPr>
          <w:b/>
          <w:bCs/>
          <w:u w:val="single"/>
        </w:rPr>
        <w:t>delay</w:t>
      </w:r>
      <w:r w:rsidR="00DE577E">
        <w:rPr>
          <w:b/>
          <w:bCs/>
          <w:u w:val="single"/>
        </w:rPr>
        <w:t xml:space="preserve"> or signaling</w:t>
      </w:r>
    </w:p>
    <w:p w14:paraId="47458D4C" w14:textId="74BB97B7" w:rsidR="003C7195" w:rsidRDefault="002B1D68" w:rsidP="003C7195">
      <w:r>
        <w:lastRenderedPageBreak/>
        <w:t>Secondly, when it</w:t>
      </w:r>
      <w:r w:rsidR="003C7195" w:rsidRPr="003B1CED">
        <w:t xml:space="preserve"> </w:t>
      </w:r>
      <w:r>
        <w:t xml:space="preserve">is </w:t>
      </w:r>
      <w:r w:rsidR="003C7195">
        <w:t xml:space="preserve">the </w:t>
      </w:r>
      <w:r w:rsidR="003C7195" w:rsidRPr="003B1CED">
        <w:t xml:space="preserve">default </w:t>
      </w:r>
      <w:r w:rsidR="003C7195">
        <w:t xml:space="preserve">table, </w:t>
      </w:r>
      <w:r>
        <w:t>the gNB</w:t>
      </w:r>
      <w:r w:rsidR="003C7195" w:rsidRPr="003B1CED">
        <w:t xml:space="preserve"> </w:t>
      </w:r>
      <w:r w:rsidR="003C7195">
        <w:t xml:space="preserve">can </w:t>
      </w:r>
      <w:r w:rsidR="003C7195" w:rsidRPr="003B1CED">
        <w:t xml:space="preserve">avoid the extra signaling and delay </w:t>
      </w:r>
      <w:r>
        <w:t xml:space="preserve">needed </w:t>
      </w:r>
      <w:r w:rsidR="003C7195" w:rsidRPr="003B1CED">
        <w:t xml:space="preserve">to configure </w:t>
      </w:r>
      <w:r w:rsidR="003C7195">
        <w:t>the table in the UE</w:t>
      </w:r>
      <w:r w:rsidR="003C7195" w:rsidRPr="003B1CED">
        <w:t xml:space="preserve">. </w:t>
      </w:r>
      <w:r>
        <w:t xml:space="preserve">In current operations, the gNB can switch the MCS table the RedCap UE uses in the connected state. However, the </w:t>
      </w:r>
      <w:r w:rsidRPr="00861C3E">
        <w:t xml:space="preserve">delay </w:t>
      </w:r>
      <w:r>
        <w:t>when</w:t>
      </w:r>
      <w:r w:rsidRPr="00861C3E">
        <w:t xml:space="preserve"> the </w:t>
      </w:r>
      <w:r>
        <w:t>correct</w:t>
      </w:r>
      <w:r w:rsidRPr="00861C3E">
        <w:t xml:space="preserve"> table</w:t>
      </w:r>
      <w:r>
        <w:t xml:space="preserve"> is</w:t>
      </w:r>
      <w:r w:rsidRPr="00861C3E">
        <w:t xml:space="preserve"> used </w:t>
      </w:r>
      <w:r>
        <w:t>at least is based on exchanging several RRC messages including (</w:t>
      </w:r>
      <w:r w:rsidRPr="00981615">
        <w:rPr>
          <w:i/>
          <w:iCs/>
        </w:rPr>
        <w:t>RRCSetupRequest</w:t>
      </w:r>
      <w:r>
        <w:t xml:space="preserve">, </w:t>
      </w:r>
      <w:r w:rsidRPr="00981615">
        <w:rPr>
          <w:i/>
          <w:iCs/>
        </w:rPr>
        <w:t>RRCSetup</w:t>
      </w:r>
      <w:r>
        <w:t xml:space="preserve">, </w:t>
      </w:r>
      <w:r w:rsidRPr="00981615">
        <w:rPr>
          <w:i/>
          <w:iCs/>
        </w:rPr>
        <w:t>RRCSetupComplete</w:t>
      </w:r>
      <w:r>
        <w:t xml:space="preserve">, </w:t>
      </w:r>
      <w:r w:rsidRPr="00981615">
        <w:rPr>
          <w:i/>
          <w:iCs/>
        </w:rPr>
        <w:t>RRCReconfiguration</w:t>
      </w:r>
      <w:r>
        <w:t>)</w:t>
      </w:r>
      <w:r w:rsidRPr="00861C3E">
        <w:t xml:space="preserve">. </w:t>
      </w:r>
      <w:r w:rsidR="003C7195">
        <w:t xml:space="preserve">In the </w:t>
      </w:r>
      <w:r>
        <w:t>in</w:t>
      </w:r>
      <w:r w:rsidR="003C7195">
        <w:t>frequen</w:t>
      </w:r>
      <w:r>
        <w:t>t</w:t>
      </w:r>
      <w:r w:rsidR="003C7195">
        <w:t xml:space="preserve"> </w:t>
      </w:r>
      <w:r w:rsidR="003C7195" w:rsidRPr="003B1CED">
        <w:t xml:space="preserve">case </w:t>
      </w:r>
      <w:r w:rsidR="003C7195">
        <w:t>when</w:t>
      </w:r>
      <w:r w:rsidR="003C7195" w:rsidRPr="003B1CED">
        <w:t xml:space="preserve"> </w:t>
      </w:r>
      <w:r w:rsidR="003C7195">
        <w:t xml:space="preserve">a RedCap </w:t>
      </w:r>
      <w:r w:rsidR="003C7195" w:rsidRPr="003B1CED">
        <w:t xml:space="preserve">UE </w:t>
      </w:r>
      <w:r w:rsidR="003C7195">
        <w:t>experiences</w:t>
      </w:r>
      <w:r w:rsidR="003C7195" w:rsidRPr="003B1CED">
        <w:t xml:space="preserve"> very good channel conditions, </w:t>
      </w:r>
      <w:r w:rsidR="003C7195">
        <w:t xml:space="preserve">the </w:t>
      </w:r>
      <w:r>
        <w:t>gNB</w:t>
      </w:r>
      <w:r w:rsidR="003C7195" w:rsidRPr="003B1CED">
        <w:t xml:space="preserve"> can always configure the normal </w:t>
      </w:r>
      <w:r>
        <w:t>MCS table,</w:t>
      </w:r>
      <w:r w:rsidR="003C7195" w:rsidRPr="003B1CED">
        <w:t xml:space="preserve"> which is still supported.</w:t>
      </w:r>
    </w:p>
    <w:p w14:paraId="6BB727A3" w14:textId="494163CE" w:rsidR="00B37039" w:rsidRPr="00EC2660" w:rsidRDefault="00A2346B" w:rsidP="00EC2660">
      <w:pPr>
        <w:rPr>
          <w:b/>
          <w:bCs/>
          <w:u w:val="single"/>
        </w:rPr>
      </w:pPr>
      <w:r w:rsidRPr="00EC2660">
        <w:rPr>
          <w:b/>
          <w:bCs/>
          <w:u w:val="single"/>
        </w:rPr>
        <w:t>Improving performance during</w:t>
      </w:r>
      <w:r w:rsidR="00E72CD1" w:rsidRPr="00EC2660">
        <w:rPr>
          <w:b/>
          <w:bCs/>
          <w:u w:val="single"/>
        </w:rPr>
        <w:t xml:space="preserve"> initial access</w:t>
      </w:r>
    </w:p>
    <w:p w14:paraId="6255817B" w14:textId="7AD4005D" w:rsidR="00014B9E" w:rsidRDefault="002B1D68" w:rsidP="000106BF">
      <w:r>
        <w:t xml:space="preserve">The third reason is that </w:t>
      </w:r>
      <w:r w:rsidR="002D4DA2">
        <w:t>the low SE table can mitigate the</w:t>
      </w:r>
      <w:r w:rsidR="002D4DA2" w:rsidRPr="002D4DA2">
        <w:t xml:space="preserve"> </w:t>
      </w:r>
      <w:r w:rsidR="002D4DA2">
        <w:t xml:space="preserve">performance degradation due to </w:t>
      </w:r>
      <w:r w:rsidR="003E1F48">
        <w:t xml:space="preserve">the reduced number of receive </w:t>
      </w:r>
      <w:r w:rsidR="003C7195">
        <w:t>branches</w:t>
      </w:r>
      <w:r w:rsidR="00A2346B">
        <w:t xml:space="preserve"> during initial access</w:t>
      </w:r>
      <w:r w:rsidR="003E1F48">
        <w:t>.</w:t>
      </w:r>
      <w:r>
        <w:t xml:space="preserve"> NR provides some </w:t>
      </w:r>
      <w:r w:rsidR="00014B9E">
        <w:t>techniques</w:t>
      </w:r>
      <w:r w:rsidR="00A2346B">
        <w:t xml:space="preserve"> to improve performance</w:t>
      </w:r>
      <w:r w:rsidR="00E03520">
        <w:t xml:space="preserve"> for the downlink</w:t>
      </w:r>
      <w:r>
        <w:t xml:space="preserve"> during initial access</w:t>
      </w:r>
      <w:r w:rsidR="00E6517F">
        <w:t xml:space="preserve"> as captured in the following table</w:t>
      </w:r>
      <w:r w:rsidR="00014B9E">
        <w:t>.</w:t>
      </w:r>
      <w:r>
        <w:t xml:space="preserve"> </w:t>
      </w:r>
    </w:p>
    <w:p w14:paraId="7A43207B" w14:textId="321EFC94" w:rsidR="005935FD" w:rsidRDefault="005935FD" w:rsidP="005935FD">
      <w:pPr>
        <w:pStyle w:val="Caption"/>
        <w:keepNext/>
      </w:pPr>
      <w:r>
        <w:t xml:space="preserve">Table </w:t>
      </w:r>
      <w:r w:rsidR="00952B80">
        <w:fldChar w:fldCharType="begin"/>
      </w:r>
      <w:r w:rsidR="00952B80">
        <w:instrText xml:space="preserve"> SEQ Table \* ARABIC </w:instrText>
      </w:r>
      <w:r w:rsidR="00952B80">
        <w:fldChar w:fldCharType="separate"/>
      </w:r>
      <w:r w:rsidR="000106BF">
        <w:rPr>
          <w:noProof/>
        </w:rPr>
        <w:t>1</w:t>
      </w:r>
      <w:r w:rsidR="00952B80">
        <w:rPr>
          <w:noProof/>
        </w:rPr>
        <w:fldChar w:fldCharType="end"/>
      </w:r>
    </w:p>
    <w:tbl>
      <w:tblPr>
        <w:tblStyle w:val="TableGrid"/>
        <w:tblW w:w="0" w:type="auto"/>
        <w:jc w:val="center"/>
        <w:tblLook w:val="04A0" w:firstRow="1" w:lastRow="0" w:firstColumn="1" w:lastColumn="0" w:noHBand="0" w:noVBand="1"/>
      </w:tblPr>
      <w:tblGrid>
        <w:gridCol w:w="2245"/>
        <w:gridCol w:w="4608"/>
      </w:tblGrid>
      <w:tr w:rsidR="00A2346B" w14:paraId="0C1F244A" w14:textId="77777777" w:rsidTr="00CF5AAD">
        <w:trPr>
          <w:jc w:val="center"/>
        </w:trPr>
        <w:tc>
          <w:tcPr>
            <w:tcW w:w="2245" w:type="dxa"/>
          </w:tcPr>
          <w:p w14:paraId="51D31AD2" w14:textId="682FCD32" w:rsidR="00A2346B" w:rsidRDefault="00A2346B" w:rsidP="008D12FE">
            <w:pPr>
              <w:pStyle w:val="TableCell0"/>
            </w:pPr>
            <w:r>
              <w:t>Technique</w:t>
            </w:r>
          </w:p>
        </w:tc>
        <w:tc>
          <w:tcPr>
            <w:tcW w:w="4608" w:type="dxa"/>
          </w:tcPr>
          <w:p w14:paraId="2AB8C687" w14:textId="5370412A" w:rsidR="00A2346B" w:rsidRDefault="00A2346B" w:rsidP="008D12FE">
            <w:pPr>
              <w:pStyle w:val="TableCell0"/>
            </w:pPr>
            <w:r>
              <w:t>Idle/inactive state</w:t>
            </w:r>
          </w:p>
        </w:tc>
      </w:tr>
      <w:tr w:rsidR="00A2346B" w14:paraId="0AF6046A" w14:textId="77777777" w:rsidTr="00CF5AAD">
        <w:trPr>
          <w:jc w:val="center"/>
        </w:trPr>
        <w:tc>
          <w:tcPr>
            <w:tcW w:w="2245" w:type="dxa"/>
          </w:tcPr>
          <w:p w14:paraId="21BFDEBC" w14:textId="40ECE967" w:rsidR="00A2346B" w:rsidRDefault="00A2346B" w:rsidP="008D12FE">
            <w:pPr>
              <w:pStyle w:val="TableCell0"/>
            </w:pPr>
            <w:r>
              <w:t>TBS scaling</w:t>
            </w:r>
          </w:p>
        </w:tc>
        <w:tc>
          <w:tcPr>
            <w:tcW w:w="4608" w:type="dxa"/>
          </w:tcPr>
          <w:p w14:paraId="58D0A072" w14:textId="45490448" w:rsidR="00A2346B" w:rsidRDefault="00A2346B" w:rsidP="008D12FE">
            <w:pPr>
              <w:pStyle w:val="TableCell0"/>
            </w:pPr>
            <w:r>
              <w:t>When CRC of DCI is scrambled with P-RNTI, MsgB, and RA-RNTI. Factor is 1, 2, and 4</w:t>
            </w:r>
          </w:p>
        </w:tc>
      </w:tr>
      <w:tr w:rsidR="00A2346B" w14:paraId="483D9047" w14:textId="77777777" w:rsidTr="00CF5AAD">
        <w:trPr>
          <w:jc w:val="center"/>
        </w:trPr>
        <w:tc>
          <w:tcPr>
            <w:tcW w:w="2245" w:type="dxa"/>
          </w:tcPr>
          <w:p w14:paraId="32C83BDC" w14:textId="22AB36A0" w:rsidR="00A2346B" w:rsidRDefault="00A2346B" w:rsidP="008D12FE">
            <w:pPr>
              <w:pStyle w:val="TableCell0"/>
            </w:pPr>
            <w:r>
              <w:t>HARQ retransmission</w:t>
            </w:r>
          </w:p>
        </w:tc>
        <w:tc>
          <w:tcPr>
            <w:tcW w:w="4608" w:type="dxa"/>
          </w:tcPr>
          <w:p w14:paraId="46AD2317" w14:textId="35E625D3" w:rsidR="00A2346B" w:rsidRDefault="00A2346B" w:rsidP="008D12FE">
            <w:pPr>
              <w:pStyle w:val="TableCell0"/>
            </w:pPr>
            <w:r>
              <w:t xml:space="preserve">Supported for CRC of DCI scrambled by SI-RNTI and TC-RNTI. </w:t>
            </w:r>
          </w:p>
        </w:tc>
      </w:tr>
    </w:tbl>
    <w:p w14:paraId="777D6DA2" w14:textId="060177C1" w:rsidR="008D12FE" w:rsidRDefault="008D12FE" w:rsidP="006D75A1"/>
    <w:p w14:paraId="473BBE43" w14:textId="667EDC09" w:rsidR="00857B6B" w:rsidRDefault="00857B6B" w:rsidP="00857B6B">
      <w:r>
        <w:t>During initial access, the network can use TB scaling for Msg2. It can provide 0, 3 or 6 dB of performance improvement for all UEs. Always using conservative treatment comes at a cost for the downlink: increased number of resources used regardless of whether a RedCap UE is present.</w:t>
      </w:r>
    </w:p>
    <w:p w14:paraId="539955E7" w14:textId="77777777" w:rsidR="002B1D68" w:rsidRDefault="000E0D7C" w:rsidP="007D26F2">
      <w:r>
        <w:t xml:space="preserve">Msg4 </w:t>
      </w:r>
      <w:r w:rsidR="00D61B79">
        <w:t xml:space="preserve">can </w:t>
      </w:r>
      <w:r>
        <w:t xml:space="preserve">use HARQ re-transmissions available </w:t>
      </w:r>
      <w:r w:rsidR="00857B6B">
        <w:t>to mitigate the performance degradation</w:t>
      </w:r>
      <w:r>
        <w:t xml:space="preserve">. </w:t>
      </w:r>
      <w:r w:rsidR="00466184">
        <w:t>The impact is increased delay when 1 or more re-transmissions are needed for 1 Rx branch RedCap UEs</w:t>
      </w:r>
      <w:r w:rsidR="00857B6B">
        <w:t>. For 15 kHz SCS, the delay between reception of the PDSCH and transmission of PUSCH is about 1.5 ms</w:t>
      </w:r>
      <w:r w:rsidR="00466184">
        <w:t>.</w:t>
      </w:r>
      <w:r w:rsidR="005C500B">
        <w:t xml:space="preserve"> </w:t>
      </w:r>
    </w:p>
    <w:p w14:paraId="7408721A" w14:textId="5F483039" w:rsidR="00B4221A" w:rsidRDefault="002B1D68" w:rsidP="007D26F2">
      <w:r>
        <w:t>These techniques may not be sufficient for the performance degradation a RedCap UE would experience. By making the low SE table the default table,</w:t>
      </w:r>
      <w:r w:rsidR="005C500B">
        <w:t xml:space="preserve"> </w:t>
      </w:r>
      <w:r>
        <w:t xml:space="preserve">it can minimize </w:t>
      </w:r>
      <w:r w:rsidR="00D61B79">
        <w:t>changes to the existing RACH process</w:t>
      </w:r>
      <w:r w:rsidR="005C500B">
        <w:t>, including</w:t>
      </w:r>
      <w:r w:rsidR="00D61B79">
        <w:t xml:space="preserve"> the DCI signaling </w:t>
      </w:r>
      <w:r w:rsidR="005C500B">
        <w:t>and</w:t>
      </w:r>
      <w:r w:rsidR="00D61B79">
        <w:t xml:space="preserve"> </w:t>
      </w:r>
      <w:r w:rsidR="005C500B">
        <w:t xml:space="preserve">also </w:t>
      </w:r>
      <w:r>
        <w:t xml:space="preserve">address </w:t>
      </w:r>
      <w:r w:rsidR="00D61B79">
        <w:t xml:space="preserve">co-existence with </w:t>
      </w:r>
      <w:r w:rsidR="00466184">
        <w:t>non-RedCap UEs.</w:t>
      </w:r>
      <w:r>
        <w:t xml:space="preserve"> </w:t>
      </w:r>
      <w:r w:rsidR="00D22DD1">
        <w:t xml:space="preserve">Note that there is a fixed offset between the </w:t>
      </w:r>
      <w:r w:rsidR="00CE2F49">
        <w:t>low SE table and normal table for QPSK. A value between 0 and 8</w:t>
      </w:r>
      <w:r w:rsidR="00E6517F">
        <w:t xml:space="preserve"> in the normal table</w:t>
      </w:r>
      <w:r w:rsidR="00CE2F49">
        <w:t xml:space="preserve">, inclusively, maps to 6 and 14 for the low SE table. </w:t>
      </w:r>
      <w:r w:rsidR="00B4221A">
        <w:t>The following examples show how a RedCap UE using low SE MCS table can operate.</w:t>
      </w:r>
    </w:p>
    <w:p w14:paraId="11F1CF89" w14:textId="77777777" w:rsidR="00B4221A" w:rsidRDefault="00B4221A" w:rsidP="00B4221A">
      <w:pPr>
        <w:pStyle w:val="ListParagraph"/>
        <w:numPr>
          <w:ilvl w:val="0"/>
          <w:numId w:val="37"/>
        </w:numPr>
      </w:pPr>
      <w:r>
        <w:t>Receiving SIBs. Since SIBs are broadcast, they tend to use low rate QPSK modulation. A RedCap UE with low SE MCS table receives the scheduling PDCCH and translates the received MCS value (from the normal table) to a low SE MCS value by adding 6.</w:t>
      </w:r>
    </w:p>
    <w:p w14:paraId="595B504F" w14:textId="77777777" w:rsidR="00B4221A" w:rsidRDefault="00B4221A" w:rsidP="00B4221A">
      <w:pPr>
        <w:pStyle w:val="ListParagraph"/>
        <w:numPr>
          <w:ilvl w:val="0"/>
          <w:numId w:val="37"/>
        </w:numPr>
      </w:pPr>
      <w:r>
        <w:t>When receiving PDCCH for Msg2 and Msg4, without early identification, the same translation of the MCS value occurs.</w:t>
      </w:r>
    </w:p>
    <w:p w14:paraId="38B5D2A2" w14:textId="0C4F7457" w:rsidR="00840E7D" w:rsidRDefault="00840E7D" w:rsidP="00840E7D">
      <w:pPr>
        <w:pStyle w:val="ListParagraph"/>
        <w:numPr>
          <w:ilvl w:val="0"/>
          <w:numId w:val="37"/>
        </w:numPr>
      </w:pPr>
      <w:r>
        <w:t xml:space="preserve">When receiving PDCCH for Msg2 and beyond, with early identification, the gNB uses the low SE table when scheduling the PDSCH. The lowest value of the low </w:t>
      </w:r>
      <w:r w:rsidR="003B1CED">
        <w:t xml:space="preserve">SE </w:t>
      </w:r>
      <w:r>
        <w:t>table provides 6 dB of improvement. When combined with TB scaling, 12 dB of improvement is possible.</w:t>
      </w:r>
    </w:p>
    <w:p w14:paraId="1A317078" w14:textId="236A1BB6" w:rsidR="00840E7D" w:rsidRDefault="00F23CED" w:rsidP="00840E7D">
      <w:pPr>
        <w:pStyle w:val="ListParagraph"/>
        <w:numPr>
          <w:ilvl w:val="0"/>
          <w:numId w:val="37"/>
        </w:numPr>
      </w:pPr>
      <w:r>
        <w:t xml:space="preserve">When receiving PDCCH for Msg4 and beyond, with early identification, the </w:t>
      </w:r>
      <w:r w:rsidR="00840E7D">
        <w:t>gNB uses the low SE table when scheduling the PDSCH. The low SE table provides additional granularity for resource allocation as well as minimizing potential latency due to HARQ retransmissions.</w:t>
      </w:r>
    </w:p>
    <w:p w14:paraId="4EEEC111" w14:textId="4F09083A" w:rsidR="00D22DD1" w:rsidRDefault="002B1D68" w:rsidP="007D26F2">
      <w:r>
        <w:t>As described, t</w:t>
      </w:r>
      <w:r w:rsidR="00840E7D">
        <w:t>he low SE table can be used seamlessly with initial access.</w:t>
      </w:r>
    </w:p>
    <w:p w14:paraId="67FA6B76" w14:textId="6A7ECAE0" w:rsidR="00C33C76" w:rsidRPr="00EC2660" w:rsidRDefault="00C33C76" w:rsidP="00C33C76">
      <w:pPr>
        <w:rPr>
          <w:b/>
          <w:bCs/>
          <w:u w:val="single"/>
        </w:rPr>
      </w:pPr>
      <w:r>
        <w:rPr>
          <w:b/>
          <w:bCs/>
          <w:u w:val="single"/>
        </w:rPr>
        <w:t>Summary</w:t>
      </w:r>
    </w:p>
    <w:p w14:paraId="3B613EC2" w14:textId="60F66595" w:rsidR="00E6517F" w:rsidRDefault="00C33C76" w:rsidP="007D26F2">
      <w:r>
        <w:t>Due to the benefits low SE MCS tables provide, it is proposed:</w:t>
      </w:r>
    </w:p>
    <w:p w14:paraId="06FBBF90" w14:textId="2A5F0088" w:rsidR="00861C3E" w:rsidRDefault="00861C3E" w:rsidP="00861C3E">
      <w:pPr>
        <w:rPr>
          <w:b/>
          <w:bCs/>
          <w:i/>
          <w:iCs/>
        </w:rPr>
      </w:pPr>
      <w:bookmarkStart w:id="3" w:name="_Ref129681832"/>
      <w:r>
        <w:rPr>
          <w:b/>
          <w:bCs/>
          <w:i/>
          <w:iCs/>
        </w:rPr>
        <w:t xml:space="preserve">Proposal </w:t>
      </w:r>
      <w:r w:rsidR="002B1D68">
        <w:rPr>
          <w:b/>
          <w:bCs/>
          <w:i/>
          <w:iCs/>
        </w:rPr>
        <w:t>1</w:t>
      </w:r>
      <w:r w:rsidRPr="007B774F">
        <w:rPr>
          <w:b/>
          <w:bCs/>
          <w:i/>
          <w:iCs/>
        </w:rPr>
        <w:t>: The low SE</w:t>
      </w:r>
      <w:r>
        <w:rPr>
          <w:b/>
          <w:bCs/>
          <w:i/>
          <w:iCs/>
        </w:rPr>
        <w:t xml:space="preserve"> </w:t>
      </w:r>
      <w:r w:rsidRPr="007B774F">
        <w:rPr>
          <w:b/>
          <w:bCs/>
          <w:i/>
          <w:iCs/>
        </w:rPr>
        <w:t xml:space="preserve">table </w:t>
      </w:r>
      <w:r>
        <w:rPr>
          <w:b/>
          <w:bCs/>
          <w:i/>
          <w:iCs/>
        </w:rPr>
        <w:t>should be</w:t>
      </w:r>
      <w:r w:rsidR="00E6517F">
        <w:rPr>
          <w:b/>
          <w:bCs/>
          <w:i/>
          <w:iCs/>
        </w:rPr>
        <w:t xml:space="preserve"> the default MCS table</w:t>
      </w:r>
      <w:r>
        <w:rPr>
          <w:b/>
          <w:bCs/>
          <w:i/>
          <w:iCs/>
        </w:rPr>
        <w:t xml:space="preserve"> </w:t>
      </w:r>
      <w:r w:rsidRPr="00840E7D">
        <w:rPr>
          <w:b/>
          <w:bCs/>
          <w:i/>
          <w:iCs/>
        </w:rPr>
        <w:t xml:space="preserve">for at least 1 Rx branch </w:t>
      </w:r>
      <w:r>
        <w:rPr>
          <w:b/>
          <w:bCs/>
          <w:i/>
          <w:iCs/>
        </w:rPr>
        <w:t>RedCap UEs.</w:t>
      </w:r>
    </w:p>
    <w:p w14:paraId="42A4B214" w14:textId="486FB4CF" w:rsidR="002B1D68" w:rsidRDefault="00C33C76" w:rsidP="002B1D68">
      <w:r>
        <w:t>Addressing the other FFS</w:t>
      </w:r>
      <w:r w:rsidR="00E6517F">
        <w:t xml:space="preserve"> </w:t>
      </w:r>
    </w:p>
    <w:p w14:paraId="435087E6" w14:textId="19A422F9" w:rsidR="002B1D68" w:rsidRDefault="002B1D68" w:rsidP="002B1D68">
      <w:pPr>
        <w:rPr>
          <w:b/>
          <w:bCs/>
          <w:i/>
          <w:iCs/>
        </w:rPr>
      </w:pPr>
      <w:r w:rsidRPr="00081BF5">
        <w:rPr>
          <w:b/>
          <w:bCs/>
          <w:i/>
          <w:iCs/>
        </w:rPr>
        <w:t xml:space="preserve">Proposal </w:t>
      </w:r>
      <w:r w:rsidR="00E6517F">
        <w:rPr>
          <w:b/>
          <w:bCs/>
          <w:i/>
          <w:iCs/>
        </w:rPr>
        <w:t>2</w:t>
      </w:r>
      <w:r w:rsidRPr="00081BF5">
        <w:rPr>
          <w:b/>
          <w:bCs/>
          <w:i/>
          <w:iCs/>
        </w:rPr>
        <w:t xml:space="preserve">: </w:t>
      </w:r>
      <w:r>
        <w:rPr>
          <w:b/>
          <w:bCs/>
          <w:i/>
          <w:iCs/>
        </w:rPr>
        <w:t xml:space="preserve">The low SE MCS table for PDSCH is considered as a mandatory feature </w:t>
      </w:r>
      <w:r w:rsidRPr="00840E7D">
        <w:rPr>
          <w:b/>
          <w:bCs/>
          <w:i/>
          <w:iCs/>
        </w:rPr>
        <w:t xml:space="preserve">for at least 1 Rx branch </w:t>
      </w:r>
      <w:r>
        <w:rPr>
          <w:b/>
          <w:bCs/>
          <w:i/>
          <w:iCs/>
        </w:rPr>
        <w:t>RedCap UEs during feature discussions.</w:t>
      </w:r>
      <w:r w:rsidRPr="00840E7D">
        <w:t xml:space="preserve"> </w:t>
      </w:r>
    </w:p>
    <w:p w14:paraId="037A6C35" w14:textId="2248E4A0" w:rsidR="002B1D68" w:rsidRPr="00E72CD1" w:rsidRDefault="00DE577E" w:rsidP="002B1D68">
      <w:r>
        <w:lastRenderedPageBreak/>
        <w:t xml:space="preserve">A final </w:t>
      </w:r>
      <w:r w:rsidR="002B1D68">
        <w:t>point to consider is from an operator perspective. It was a big deal for the operators to agree to 1RX UE in RAN#91. It is reasonable to ask UE manufacturers to make a bit more effort to ensure good performance for RedCap UEs.</w:t>
      </w:r>
    </w:p>
    <w:p w14:paraId="6214D67A" w14:textId="77777777" w:rsidR="00861C3E" w:rsidRDefault="00861C3E" w:rsidP="00861C3E">
      <w:pPr>
        <w:rPr>
          <w:b/>
          <w:bCs/>
        </w:rPr>
      </w:pPr>
    </w:p>
    <w:p w14:paraId="1A801C54" w14:textId="5BBF2CFF" w:rsidR="004B3422" w:rsidRPr="00E27CC0" w:rsidRDefault="004B3422" w:rsidP="004B3422">
      <w:pPr>
        <w:pStyle w:val="Heading1"/>
        <w:tabs>
          <w:tab w:val="clear" w:pos="432"/>
        </w:tabs>
      </w:pPr>
      <w:r>
        <w:t>Conclusion</w:t>
      </w:r>
    </w:p>
    <w:p w14:paraId="02055668" w14:textId="76A75A52" w:rsidR="00EB1D9F" w:rsidRDefault="00861C3E" w:rsidP="00C90627">
      <w:r>
        <w:t xml:space="preserve">This contribution examined the applicability of low SE MCS tables to address performance issues due to other complexity reduction features of RedCap UEs, particularly reduction in Rx branches. </w:t>
      </w:r>
    </w:p>
    <w:p w14:paraId="1058B356" w14:textId="77777777" w:rsidR="00861C3E" w:rsidRDefault="00861C3E" w:rsidP="00861C3E">
      <w:pPr>
        <w:rPr>
          <w:b/>
          <w:bCs/>
        </w:rPr>
      </w:pPr>
      <w:r w:rsidRPr="007B774F">
        <w:rPr>
          <w:b/>
          <w:bCs/>
          <w:i/>
          <w:iCs/>
        </w:rPr>
        <w:t xml:space="preserve">Observation 1: The low SE table </w:t>
      </w:r>
      <w:r>
        <w:rPr>
          <w:b/>
          <w:bCs/>
          <w:i/>
          <w:iCs/>
        </w:rPr>
        <w:t>is tailored to the SNR region where a reduced Rx branch RedCap UE operates</w:t>
      </w:r>
      <w:r w:rsidRPr="007B774F">
        <w:rPr>
          <w:b/>
          <w:bCs/>
          <w:i/>
          <w:iCs/>
        </w:rPr>
        <w:t>.</w:t>
      </w:r>
    </w:p>
    <w:p w14:paraId="51D4C2D2" w14:textId="77777777" w:rsidR="00E6517F" w:rsidRDefault="00E6517F" w:rsidP="00E6517F">
      <w:pPr>
        <w:rPr>
          <w:b/>
          <w:bCs/>
          <w:i/>
          <w:iCs/>
        </w:rPr>
      </w:pPr>
      <w:r>
        <w:rPr>
          <w:b/>
          <w:bCs/>
          <w:i/>
          <w:iCs/>
        </w:rPr>
        <w:t>Proposal 1</w:t>
      </w:r>
      <w:r w:rsidRPr="007B774F">
        <w:rPr>
          <w:b/>
          <w:bCs/>
          <w:i/>
          <w:iCs/>
        </w:rPr>
        <w:t>: The low SE</w:t>
      </w:r>
      <w:r>
        <w:rPr>
          <w:b/>
          <w:bCs/>
          <w:i/>
          <w:iCs/>
        </w:rPr>
        <w:t xml:space="preserve"> </w:t>
      </w:r>
      <w:r w:rsidRPr="007B774F">
        <w:rPr>
          <w:b/>
          <w:bCs/>
          <w:i/>
          <w:iCs/>
        </w:rPr>
        <w:t xml:space="preserve">table </w:t>
      </w:r>
      <w:r>
        <w:rPr>
          <w:b/>
          <w:bCs/>
          <w:i/>
          <w:iCs/>
        </w:rPr>
        <w:t xml:space="preserve">should be the default MCS table </w:t>
      </w:r>
      <w:r w:rsidRPr="00840E7D">
        <w:rPr>
          <w:b/>
          <w:bCs/>
          <w:i/>
          <w:iCs/>
        </w:rPr>
        <w:t xml:space="preserve">for at least 1 Rx branch </w:t>
      </w:r>
      <w:r>
        <w:rPr>
          <w:b/>
          <w:bCs/>
          <w:i/>
          <w:iCs/>
        </w:rPr>
        <w:t>RedCap UEs.</w:t>
      </w:r>
    </w:p>
    <w:p w14:paraId="625909D3" w14:textId="77777777" w:rsidR="00E6517F" w:rsidRDefault="00E6517F" w:rsidP="00E6517F">
      <w:pPr>
        <w:rPr>
          <w:b/>
          <w:bCs/>
          <w:i/>
          <w:iCs/>
        </w:rPr>
      </w:pPr>
      <w:r w:rsidRPr="00081BF5">
        <w:rPr>
          <w:b/>
          <w:bCs/>
          <w:i/>
          <w:iCs/>
        </w:rPr>
        <w:t xml:space="preserve">Proposal </w:t>
      </w:r>
      <w:r>
        <w:rPr>
          <w:b/>
          <w:bCs/>
          <w:i/>
          <w:iCs/>
        </w:rPr>
        <w:t>2</w:t>
      </w:r>
      <w:r w:rsidRPr="00081BF5">
        <w:rPr>
          <w:b/>
          <w:bCs/>
          <w:i/>
          <w:iCs/>
        </w:rPr>
        <w:t xml:space="preserve">: </w:t>
      </w:r>
      <w:r>
        <w:rPr>
          <w:b/>
          <w:bCs/>
          <w:i/>
          <w:iCs/>
        </w:rPr>
        <w:t xml:space="preserve">The low SE MCS table for PDSCH is considered as a mandatory feature </w:t>
      </w:r>
      <w:r w:rsidRPr="00840E7D">
        <w:rPr>
          <w:b/>
          <w:bCs/>
          <w:i/>
          <w:iCs/>
        </w:rPr>
        <w:t xml:space="preserve">for at least 1 Rx branch </w:t>
      </w:r>
      <w:r>
        <w:rPr>
          <w:b/>
          <w:bCs/>
          <w:i/>
          <w:iCs/>
        </w:rPr>
        <w:t>RedCap UEs during feature discussions.</w:t>
      </w:r>
      <w:r w:rsidRPr="00840E7D">
        <w:t xml:space="preserve"> </w:t>
      </w:r>
    </w:p>
    <w:p w14:paraId="0D40F208" w14:textId="77777777" w:rsidR="00861C3E" w:rsidRPr="004047A8" w:rsidRDefault="00861C3E" w:rsidP="00C90627"/>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0C91BF73" w14:textId="380F48D8" w:rsidR="002A16D5" w:rsidRPr="00F16977" w:rsidRDefault="00CA7C89" w:rsidP="002A16D5">
      <w:pPr>
        <w:pStyle w:val="References"/>
        <w:rPr>
          <w:lang w:val="en-GB" w:eastAsia="zh-CN"/>
        </w:rPr>
      </w:pPr>
      <w:bookmarkStart w:id="7" w:name="_Ref60902124"/>
      <w:bookmarkEnd w:id="3"/>
      <w:bookmarkEnd w:id="4"/>
      <w:bookmarkEnd w:id="5"/>
      <w:bookmarkEnd w:id="6"/>
      <w:r w:rsidRPr="00CA7C89">
        <w:rPr>
          <w:lang w:val="en-GB"/>
        </w:rPr>
        <w:t>RP-210918</w:t>
      </w:r>
      <w:r w:rsidR="002A16D5">
        <w:rPr>
          <w:lang w:eastAsia="zh-CN"/>
        </w:rPr>
        <w:t xml:space="preserve">, </w:t>
      </w:r>
      <w:r w:rsidR="00C90627">
        <w:rPr>
          <w:lang w:eastAsia="zh-CN"/>
        </w:rPr>
        <w:t>“</w:t>
      </w:r>
      <w:r w:rsidR="000526D4" w:rsidRPr="000526D4">
        <w:rPr>
          <w:lang w:eastAsia="zh-CN"/>
        </w:rPr>
        <w:t>New WID on support of reduced capability NR devices</w:t>
      </w:r>
      <w:r w:rsidR="00C90627">
        <w:rPr>
          <w:lang w:eastAsia="zh-CN"/>
        </w:rPr>
        <w:t>”</w:t>
      </w:r>
      <w:r w:rsidR="002A16D5">
        <w:rPr>
          <w:lang w:eastAsia="zh-CN"/>
        </w:rPr>
        <w:t xml:space="preserve">, </w:t>
      </w:r>
      <w:r w:rsidR="000526D4" w:rsidRPr="000526D4">
        <w:rPr>
          <w:lang w:eastAsia="zh-CN"/>
        </w:rPr>
        <w:t>Ericsson, Nokia</w:t>
      </w:r>
      <w:r w:rsidR="002A16D5">
        <w:rPr>
          <w:lang w:eastAsia="zh-CN"/>
        </w:rPr>
        <w:t>, RAN#</w:t>
      </w:r>
      <w:r w:rsidR="00276D8B">
        <w:rPr>
          <w:lang w:eastAsia="zh-CN"/>
        </w:rPr>
        <w:t>9</w:t>
      </w:r>
      <w:r w:rsidR="00CC671D">
        <w:rPr>
          <w:lang w:eastAsia="zh-CN"/>
        </w:rPr>
        <w:t>1</w:t>
      </w:r>
      <w:r w:rsidR="002A16D5">
        <w:rPr>
          <w:lang w:eastAsia="zh-CN"/>
        </w:rPr>
        <w:t xml:space="preserve">e, </w:t>
      </w:r>
      <w:r>
        <w:rPr>
          <w:lang w:eastAsia="zh-CN"/>
        </w:rPr>
        <w:t>Mar</w:t>
      </w:r>
      <w:r w:rsidR="00276D8B">
        <w:rPr>
          <w:lang w:eastAsia="zh-CN"/>
        </w:rPr>
        <w:t xml:space="preserve">. </w:t>
      </w:r>
      <w:r>
        <w:rPr>
          <w:lang w:eastAsia="zh-CN"/>
        </w:rPr>
        <w:t>22</w:t>
      </w:r>
      <w:r w:rsidR="00276D8B">
        <w:rPr>
          <w:lang w:eastAsia="zh-CN"/>
        </w:rPr>
        <w:t>-</w:t>
      </w:r>
      <w:r>
        <w:rPr>
          <w:lang w:eastAsia="zh-CN"/>
        </w:rPr>
        <w:t>26</w:t>
      </w:r>
      <w:r w:rsidR="0021634C">
        <w:rPr>
          <w:lang w:eastAsia="zh-CN"/>
        </w:rPr>
        <w:t>,</w:t>
      </w:r>
      <w:r w:rsidR="002A16D5">
        <w:rPr>
          <w:lang w:eastAsia="zh-CN"/>
        </w:rPr>
        <w:t xml:space="preserve"> 202</w:t>
      </w:r>
      <w:r>
        <w:rPr>
          <w:lang w:eastAsia="zh-CN"/>
        </w:rPr>
        <w:t>1</w:t>
      </w:r>
      <w:r w:rsidR="002A16D5">
        <w:rPr>
          <w:lang w:eastAsia="zh-CN"/>
        </w:rPr>
        <w:t>.</w:t>
      </w:r>
      <w:bookmarkEnd w:id="7"/>
    </w:p>
    <w:p w14:paraId="508A5491" w14:textId="77777777" w:rsidR="003F1345" w:rsidRDefault="003F1345" w:rsidP="003F1345">
      <w:pPr>
        <w:pStyle w:val="References"/>
        <w:rPr>
          <w:lang w:val="en-GB" w:eastAsia="zh-CN"/>
        </w:rPr>
      </w:pPr>
      <w:bookmarkStart w:id="8" w:name="_Ref65593867"/>
      <w:bookmarkStart w:id="9" w:name="_Ref60993381"/>
      <w:bookmarkStart w:id="10" w:name="_Ref60994040"/>
      <w:r>
        <w:rPr>
          <w:lang w:val="en-GB" w:eastAsia="zh-CN"/>
        </w:rPr>
        <w:t>Chairman Note, RAN1, RAN1#104, Jan. 25 - Feb. 5. 2021.</w:t>
      </w:r>
      <w:bookmarkEnd w:id="8"/>
    </w:p>
    <w:p w14:paraId="252F2239" w14:textId="7CAD74C0" w:rsidR="003F1345" w:rsidRDefault="003F1345" w:rsidP="003F1345">
      <w:pPr>
        <w:pStyle w:val="References"/>
        <w:rPr>
          <w:lang w:val="en-GB" w:eastAsia="zh-CN"/>
        </w:rPr>
      </w:pPr>
      <w:bookmarkStart w:id="11" w:name="_Ref67920550"/>
      <w:bookmarkEnd w:id="9"/>
      <w:bookmarkEnd w:id="10"/>
      <w:r>
        <w:rPr>
          <w:lang w:val="en-GB" w:eastAsia="zh-CN"/>
        </w:rPr>
        <w:t>38.875, “</w:t>
      </w:r>
      <w:r w:rsidRPr="000073C9">
        <w:rPr>
          <w:lang w:val="en-GB" w:eastAsia="zh-CN"/>
        </w:rPr>
        <w:t>Study on support of reduced capability NR devices</w:t>
      </w:r>
      <w:r>
        <w:rPr>
          <w:lang w:val="en-GB" w:eastAsia="zh-CN"/>
        </w:rPr>
        <w:t>”, Rel-1, Nov. 2020.</w:t>
      </w:r>
      <w:bookmarkEnd w:id="11"/>
    </w:p>
    <w:p w14:paraId="3C1CAE2E" w14:textId="377693B6" w:rsidR="00B319C7" w:rsidRDefault="00B319C7" w:rsidP="00B319C7">
      <w:pPr>
        <w:pStyle w:val="References"/>
        <w:rPr>
          <w:lang w:val="en-GB" w:eastAsia="zh-CN"/>
        </w:rPr>
      </w:pPr>
      <w:r>
        <w:rPr>
          <w:lang w:val="en-GB" w:eastAsia="zh-CN"/>
        </w:rPr>
        <w:t xml:space="preserve">Chairman Note, RAN1, RAN1#104b, Apr. 12 </w:t>
      </w:r>
      <w:r w:rsidR="00525CCD">
        <w:rPr>
          <w:lang w:val="en-GB" w:eastAsia="zh-CN"/>
        </w:rPr>
        <w:t>–</w:t>
      </w:r>
      <w:r>
        <w:rPr>
          <w:lang w:val="en-GB" w:eastAsia="zh-CN"/>
        </w:rPr>
        <w:t xml:space="preserve"> 20</w:t>
      </w:r>
      <w:r w:rsidR="00525CCD">
        <w:rPr>
          <w:lang w:val="en-GB" w:eastAsia="zh-CN"/>
        </w:rPr>
        <w:t>,</w:t>
      </w:r>
      <w:r>
        <w:rPr>
          <w:lang w:val="en-GB" w:eastAsia="zh-CN"/>
        </w:rPr>
        <w:t xml:space="preserve"> 2021.</w:t>
      </w:r>
    </w:p>
    <w:p w14:paraId="43AFA030" w14:textId="3E217CE0" w:rsidR="00525CCD" w:rsidRDefault="00525CCD" w:rsidP="00B319C7">
      <w:pPr>
        <w:pStyle w:val="References"/>
        <w:rPr>
          <w:lang w:val="en-GB" w:eastAsia="zh-CN"/>
        </w:rPr>
      </w:pPr>
      <w:r w:rsidRPr="00525CCD">
        <w:rPr>
          <w:lang w:val="en-GB" w:eastAsia="zh-CN"/>
        </w:rPr>
        <w:t>R1-2103899</w:t>
      </w:r>
      <w:r>
        <w:rPr>
          <w:lang w:val="en-GB" w:eastAsia="zh-CN"/>
        </w:rPr>
        <w:t>, “</w:t>
      </w:r>
      <w:r w:rsidRPr="00525CCD">
        <w:rPr>
          <w:lang w:val="en-GB" w:eastAsia="zh-CN"/>
        </w:rPr>
        <w:t>FL summary #3 for reduced number of Rx branches for RedCap</w:t>
      </w:r>
      <w:r>
        <w:rPr>
          <w:lang w:val="en-GB" w:eastAsia="zh-CN"/>
        </w:rPr>
        <w:t>”, Apple, RAN1#104b, Apr. 12 – 20, 2021.</w:t>
      </w:r>
    </w:p>
    <w:p w14:paraId="25C0732B" w14:textId="0F428DD3" w:rsidR="00C91233" w:rsidRDefault="00C91233" w:rsidP="00B319C7">
      <w:pPr>
        <w:pStyle w:val="References"/>
        <w:rPr>
          <w:lang w:val="en-GB" w:eastAsia="zh-CN"/>
        </w:rPr>
      </w:pPr>
      <w:bookmarkStart w:id="12" w:name="_Ref70408467"/>
      <w:r w:rsidRPr="00C91233">
        <w:rPr>
          <w:lang w:val="en-GB" w:eastAsia="zh-CN"/>
        </w:rPr>
        <w:t>R1-2102779</w:t>
      </w:r>
      <w:r>
        <w:rPr>
          <w:lang w:val="en-GB" w:eastAsia="zh-CN"/>
        </w:rPr>
        <w:t>, “</w:t>
      </w:r>
      <w:r w:rsidRPr="00C91233">
        <w:rPr>
          <w:lang w:val="en-GB" w:eastAsia="zh-CN"/>
        </w:rPr>
        <w:t>RX branch reduction for RedCap UEs</w:t>
      </w:r>
      <w:r>
        <w:rPr>
          <w:lang w:val="en-GB" w:eastAsia="zh-CN"/>
        </w:rPr>
        <w:t>”, FUTUREWEI, RAN1#104b, Apr. 12 – 20, 2021.</w:t>
      </w:r>
      <w:bookmarkEnd w:id="12"/>
    </w:p>
    <w:p w14:paraId="074796BF" w14:textId="7D253ED7" w:rsidR="00861C3E" w:rsidRDefault="00861C3E" w:rsidP="00B319C7">
      <w:pPr>
        <w:pStyle w:val="References"/>
        <w:rPr>
          <w:lang w:val="en-GB" w:eastAsia="zh-CN"/>
        </w:rPr>
      </w:pPr>
      <w:bookmarkStart w:id="13" w:name="_Ref71211787"/>
      <w:r>
        <w:rPr>
          <w:lang w:val="en-GB" w:eastAsia="zh-CN"/>
        </w:rPr>
        <w:t>38.214</w:t>
      </w:r>
      <w:bookmarkEnd w:id="13"/>
    </w:p>
    <w:p w14:paraId="1F2885D6" w14:textId="77777777" w:rsidR="00276D8B" w:rsidRPr="00F16977" w:rsidRDefault="00276D8B" w:rsidP="002F718C">
      <w:pPr>
        <w:rPr>
          <w:lang w:val="en-GB" w:eastAsia="zh-CN"/>
        </w:rPr>
      </w:pPr>
    </w:p>
    <w:sectPr w:rsidR="00276D8B"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B7B6C" w14:textId="77777777" w:rsidR="00952B80" w:rsidRDefault="00952B80">
      <w:r>
        <w:separator/>
      </w:r>
    </w:p>
  </w:endnote>
  <w:endnote w:type="continuationSeparator" w:id="0">
    <w:p w14:paraId="6C5F4FC3" w14:textId="77777777" w:rsidR="00952B80" w:rsidRDefault="0095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3B2BD" w14:textId="77777777" w:rsidR="00952B80" w:rsidRDefault="00952B80">
      <w:r>
        <w:separator/>
      </w:r>
    </w:p>
  </w:footnote>
  <w:footnote w:type="continuationSeparator" w:id="0">
    <w:p w14:paraId="287419A7" w14:textId="77777777" w:rsidR="00952B80" w:rsidRDefault="00952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13C2C"/>
    <w:multiLevelType w:val="hybridMultilevel"/>
    <w:tmpl w:val="746CB63C"/>
    <w:lvl w:ilvl="0" w:tplc="762AC9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C69EE"/>
    <w:multiLevelType w:val="hybridMultilevel"/>
    <w:tmpl w:val="2FE81F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92035A"/>
    <w:multiLevelType w:val="hybridMultilevel"/>
    <w:tmpl w:val="B5C608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DA5D83"/>
    <w:multiLevelType w:val="hybridMultilevel"/>
    <w:tmpl w:val="8D9AB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8"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0235B9"/>
    <w:multiLevelType w:val="hybridMultilevel"/>
    <w:tmpl w:val="63EA6EE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06B6A7E"/>
    <w:multiLevelType w:val="multilevel"/>
    <w:tmpl w:val="4650B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A24DFC"/>
    <w:multiLevelType w:val="hybridMultilevel"/>
    <w:tmpl w:val="2A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9F123F"/>
    <w:multiLevelType w:val="hybridMultilevel"/>
    <w:tmpl w:val="3B8CB8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164C91"/>
    <w:multiLevelType w:val="hybridMultilevel"/>
    <w:tmpl w:val="5508AB8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F01392D"/>
    <w:multiLevelType w:val="hybridMultilevel"/>
    <w:tmpl w:val="8A544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3"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890E25"/>
    <w:multiLevelType w:val="hybridMultilevel"/>
    <w:tmpl w:val="AE8EF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9B68AE"/>
    <w:multiLevelType w:val="hybridMultilevel"/>
    <w:tmpl w:val="864217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27"/>
  </w:num>
  <w:num w:numId="4">
    <w:abstractNumId w:val="32"/>
  </w:num>
  <w:num w:numId="5">
    <w:abstractNumId w:val="18"/>
  </w:num>
  <w:num w:numId="6">
    <w:abstractNumId w:val="7"/>
  </w:num>
  <w:num w:numId="7">
    <w:abstractNumId w:val="8"/>
  </w:num>
  <w:num w:numId="8">
    <w:abstractNumId w:val="24"/>
  </w:num>
  <w:num w:numId="9">
    <w:abstractNumId w:val="23"/>
  </w:num>
  <w:num w:numId="10">
    <w:abstractNumId w:val="2"/>
  </w:num>
  <w:num w:numId="11">
    <w:abstractNumId w:val="21"/>
  </w:num>
  <w:num w:numId="12">
    <w:abstractNumId w:val="3"/>
  </w:num>
  <w:num w:numId="13">
    <w:abstractNumId w:val="0"/>
  </w:num>
  <w:num w:numId="14">
    <w:abstractNumId w:val="19"/>
  </w:num>
  <w:num w:numId="15">
    <w:abstractNumId w:val="11"/>
  </w:num>
  <w:num w:numId="16">
    <w:abstractNumId w:val="25"/>
  </w:num>
  <w:num w:numId="17">
    <w:abstractNumId w:val="33"/>
  </w:num>
  <w:num w:numId="18">
    <w:abstractNumId w:val="10"/>
  </w:num>
  <w:num w:numId="19">
    <w:abstractNumId w:val="1"/>
  </w:num>
  <w:num w:numId="20">
    <w:abstractNumId w:val="29"/>
  </w:num>
  <w:num w:numId="21">
    <w:abstractNumId w:val="16"/>
  </w:num>
  <w:num w:numId="22">
    <w:abstractNumId w:val="1"/>
  </w:num>
  <w:num w:numId="23">
    <w:abstractNumId w:val="13"/>
  </w:num>
  <w:num w:numId="24">
    <w:abstractNumId w:val="15"/>
  </w:num>
  <w:num w:numId="25">
    <w:abstractNumId w:val="22"/>
  </w:num>
  <w:num w:numId="26">
    <w:abstractNumId w:val="28"/>
  </w:num>
  <w:num w:numId="27">
    <w:abstractNumId w:val="35"/>
  </w:num>
  <w:num w:numId="28">
    <w:abstractNumId w:val="20"/>
  </w:num>
  <w:num w:numId="29">
    <w:abstractNumId w:val="30"/>
  </w:num>
  <w:num w:numId="30">
    <w:abstractNumId w:val="12"/>
  </w:num>
  <w:num w:numId="31">
    <w:abstractNumId w:val="34"/>
  </w:num>
  <w:num w:numId="32">
    <w:abstractNumId w:val="5"/>
  </w:num>
  <w:num w:numId="33">
    <w:abstractNumId w:val="36"/>
  </w:num>
  <w:num w:numId="34">
    <w:abstractNumId w:val="4"/>
  </w:num>
  <w:num w:numId="35">
    <w:abstractNumId w:val="26"/>
  </w:num>
  <w:num w:numId="36">
    <w:abstractNumId w:val="6"/>
  </w:num>
  <w:num w:numId="37">
    <w:abstractNumId w:val="31"/>
  </w:num>
  <w:num w:numId="3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7E8"/>
    <w:rsid w:val="00006B4B"/>
    <w:rsid w:val="00007086"/>
    <w:rsid w:val="000072B6"/>
    <w:rsid w:val="000072DD"/>
    <w:rsid w:val="000073C9"/>
    <w:rsid w:val="00007813"/>
    <w:rsid w:val="000102D7"/>
    <w:rsid w:val="000106BF"/>
    <w:rsid w:val="000109E6"/>
    <w:rsid w:val="00010CD9"/>
    <w:rsid w:val="0001116D"/>
    <w:rsid w:val="00011278"/>
    <w:rsid w:val="00011F67"/>
    <w:rsid w:val="00012862"/>
    <w:rsid w:val="000128E6"/>
    <w:rsid w:val="00012F77"/>
    <w:rsid w:val="00013371"/>
    <w:rsid w:val="00013612"/>
    <w:rsid w:val="0001410B"/>
    <w:rsid w:val="0001411C"/>
    <w:rsid w:val="00014278"/>
    <w:rsid w:val="00014395"/>
    <w:rsid w:val="00014B9E"/>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BEE"/>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8C1"/>
    <w:rsid w:val="00041C10"/>
    <w:rsid w:val="00041C57"/>
    <w:rsid w:val="00041D96"/>
    <w:rsid w:val="00041EBE"/>
    <w:rsid w:val="0004284A"/>
    <w:rsid w:val="00042ADB"/>
    <w:rsid w:val="00042DE4"/>
    <w:rsid w:val="000433AD"/>
    <w:rsid w:val="000434B7"/>
    <w:rsid w:val="000435E4"/>
    <w:rsid w:val="000448C0"/>
    <w:rsid w:val="00045848"/>
    <w:rsid w:val="0004589B"/>
    <w:rsid w:val="00045FB1"/>
    <w:rsid w:val="00046189"/>
    <w:rsid w:val="00046796"/>
    <w:rsid w:val="000467FD"/>
    <w:rsid w:val="0004680D"/>
    <w:rsid w:val="0004682C"/>
    <w:rsid w:val="00046AAF"/>
    <w:rsid w:val="00047225"/>
    <w:rsid w:val="0004724D"/>
    <w:rsid w:val="00047B98"/>
    <w:rsid w:val="00047D21"/>
    <w:rsid w:val="00047D47"/>
    <w:rsid w:val="00047E60"/>
    <w:rsid w:val="00050A48"/>
    <w:rsid w:val="00050D8A"/>
    <w:rsid w:val="00050D8D"/>
    <w:rsid w:val="000512E3"/>
    <w:rsid w:val="000516F0"/>
    <w:rsid w:val="000517F3"/>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1C0B"/>
    <w:rsid w:val="00062839"/>
    <w:rsid w:val="0006295E"/>
    <w:rsid w:val="00063C08"/>
    <w:rsid w:val="0006422F"/>
    <w:rsid w:val="000655D0"/>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BF5"/>
    <w:rsid w:val="00081E4C"/>
    <w:rsid w:val="000823B0"/>
    <w:rsid w:val="0008335B"/>
    <w:rsid w:val="00083379"/>
    <w:rsid w:val="00083587"/>
    <w:rsid w:val="00083838"/>
    <w:rsid w:val="00083B6A"/>
    <w:rsid w:val="00084822"/>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B2A"/>
    <w:rsid w:val="000A0F14"/>
    <w:rsid w:val="000A1441"/>
    <w:rsid w:val="000A1868"/>
    <w:rsid w:val="000A1A06"/>
    <w:rsid w:val="000A1B60"/>
    <w:rsid w:val="000A21B4"/>
    <w:rsid w:val="000A2507"/>
    <w:rsid w:val="000A2634"/>
    <w:rsid w:val="000A2CC7"/>
    <w:rsid w:val="000A2ED6"/>
    <w:rsid w:val="000A41D1"/>
    <w:rsid w:val="000A4205"/>
    <w:rsid w:val="000A4226"/>
    <w:rsid w:val="000A4A19"/>
    <w:rsid w:val="000A4DEA"/>
    <w:rsid w:val="000A54B7"/>
    <w:rsid w:val="000A56AE"/>
    <w:rsid w:val="000A6351"/>
    <w:rsid w:val="000A63D6"/>
    <w:rsid w:val="000A66B4"/>
    <w:rsid w:val="000A7A64"/>
    <w:rsid w:val="000A7ABF"/>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0D7C"/>
    <w:rsid w:val="000E1380"/>
    <w:rsid w:val="000E18DF"/>
    <w:rsid w:val="000E1A27"/>
    <w:rsid w:val="000E1CC7"/>
    <w:rsid w:val="000E2BD7"/>
    <w:rsid w:val="000E3123"/>
    <w:rsid w:val="000E3CEC"/>
    <w:rsid w:val="000E3DB1"/>
    <w:rsid w:val="000E4761"/>
    <w:rsid w:val="000E48AF"/>
    <w:rsid w:val="000E59A0"/>
    <w:rsid w:val="000E5F05"/>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129"/>
    <w:rsid w:val="00133599"/>
    <w:rsid w:val="00133815"/>
    <w:rsid w:val="00133BF7"/>
    <w:rsid w:val="00133FED"/>
    <w:rsid w:val="00134184"/>
    <w:rsid w:val="00134B88"/>
    <w:rsid w:val="00135A01"/>
    <w:rsid w:val="00136A23"/>
    <w:rsid w:val="00136B99"/>
    <w:rsid w:val="0014063E"/>
    <w:rsid w:val="0014087D"/>
    <w:rsid w:val="00140F74"/>
    <w:rsid w:val="00141191"/>
    <w:rsid w:val="0014159C"/>
    <w:rsid w:val="00141C30"/>
    <w:rsid w:val="001421AF"/>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4E5"/>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3C05"/>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64"/>
    <w:rsid w:val="001A1BAC"/>
    <w:rsid w:val="001A23CE"/>
    <w:rsid w:val="001A2C89"/>
    <w:rsid w:val="001A3BB2"/>
    <w:rsid w:val="001A488C"/>
    <w:rsid w:val="001A4965"/>
    <w:rsid w:val="001A4D5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56E"/>
    <w:rsid w:val="001B463A"/>
    <w:rsid w:val="001B466C"/>
    <w:rsid w:val="001B4E6D"/>
    <w:rsid w:val="001B4F34"/>
    <w:rsid w:val="001B52EC"/>
    <w:rsid w:val="001B554A"/>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2D8"/>
    <w:rsid w:val="001C04E3"/>
    <w:rsid w:val="001C063A"/>
    <w:rsid w:val="001C1777"/>
    <w:rsid w:val="001C18AA"/>
    <w:rsid w:val="001C1D40"/>
    <w:rsid w:val="001C2378"/>
    <w:rsid w:val="001C269D"/>
    <w:rsid w:val="001C3946"/>
    <w:rsid w:val="001C3EE9"/>
    <w:rsid w:val="001C3FA4"/>
    <w:rsid w:val="001C3FAF"/>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468"/>
    <w:rsid w:val="001D5C88"/>
    <w:rsid w:val="001D6567"/>
    <w:rsid w:val="001D695C"/>
    <w:rsid w:val="001D6FD9"/>
    <w:rsid w:val="001D780E"/>
    <w:rsid w:val="001D7A29"/>
    <w:rsid w:val="001E05C3"/>
    <w:rsid w:val="001E0AB0"/>
    <w:rsid w:val="001E0AD3"/>
    <w:rsid w:val="001E1046"/>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E7D04"/>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BF1"/>
    <w:rsid w:val="00213F68"/>
    <w:rsid w:val="002140FF"/>
    <w:rsid w:val="00215E90"/>
    <w:rsid w:val="0021634C"/>
    <w:rsid w:val="002164D8"/>
    <w:rsid w:val="00216C4B"/>
    <w:rsid w:val="00216C8D"/>
    <w:rsid w:val="00220894"/>
    <w:rsid w:val="0022095C"/>
    <w:rsid w:val="002211CB"/>
    <w:rsid w:val="00221772"/>
    <w:rsid w:val="0022337E"/>
    <w:rsid w:val="00224952"/>
    <w:rsid w:val="00224C9F"/>
    <w:rsid w:val="00224DD2"/>
    <w:rsid w:val="002252C6"/>
    <w:rsid w:val="0022565B"/>
    <w:rsid w:val="00225905"/>
    <w:rsid w:val="00225A6A"/>
    <w:rsid w:val="00225AC7"/>
    <w:rsid w:val="00225ACC"/>
    <w:rsid w:val="00225DE1"/>
    <w:rsid w:val="0022780F"/>
    <w:rsid w:val="00227DBD"/>
    <w:rsid w:val="002319F7"/>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2AD"/>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77A83"/>
    <w:rsid w:val="00280AB1"/>
    <w:rsid w:val="002811A6"/>
    <w:rsid w:val="00281274"/>
    <w:rsid w:val="00281730"/>
    <w:rsid w:val="002822B5"/>
    <w:rsid w:val="0028344F"/>
    <w:rsid w:val="00283571"/>
    <w:rsid w:val="00283A3A"/>
    <w:rsid w:val="00283AD1"/>
    <w:rsid w:val="00283B24"/>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4"/>
    <w:rsid w:val="002A2ED9"/>
    <w:rsid w:val="002A2F52"/>
    <w:rsid w:val="002A335E"/>
    <w:rsid w:val="002A368A"/>
    <w:rsid w:val="002A3A5F"/>
    <w:rsid w:val="002A4065"/>
    <w:rsid w:val="002A4235"/>
    <w:rsid w:val="002A4B4D"/>
    <w:rsid w:val="002A4E11"/>
    <w:rsid w:val="002A51A0"/>
    <w:rsid w:val="002A5619"/>
    <w:rsid w:val="002A59F0"/>
    <w:rsid w:val="002A6432"/>
    <w:rsid w:val="002A6F25"/>
    <w:rsid w:val="002A6FD3"/>
    <w:rsid w:val="002A7651"/>
    <w:rsid w:val="002B0A7D"/>
    <w:rsid w:val="002B0BC8"/>
    <w:rsid w:val="002B1A69"/>
    <w:rsid w:val="002B1BD3"/>
    <w:rsid w:val="002B1D68"/>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44C1"/>
    <w:rsid w:val="002D4DA2"/>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7187"/>
    <w:rsid w:val="002E739D"/>
    <w:rsid w:val="002E76D0"/>
    <w:rsid w:val="002F0C28"/>
    <w:rsid w:val="002F0EEF"/>
    <w:rsid w:val="002F281C"/>
    <w:rsid w:val="002F289A"/>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421"/>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3E5"/>
    <w:rsid w:val="00314A18"/>
    <w:rsid w:val="00316DFF"/>
    <w:rsid w:val="003178DA"/>
    <w:rsid w:val="00317DB8"/>
    <w:rsid w:val="00317E6F"/>
    <w:rsid w:val="00320085"/>
    <w:rsid w:val="003203AC"/>
    <w:rsid w:val="00320618"/>
    <w:rsid w:val="00320F61"/>
    <w:rsid w:val="0032100B"/>
    <w:rsid w:val="003210C4"/>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473F"/>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7AB"/>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6A6B"/>
    <w:rsid w:val="00356C12"/>
    <w:rsid w:val="0035717F"/>
    <w:rsid w:val="0035767D"/>
    <w:rsid w:val="00357680"/>
    <w:rsid w:val="00357988"/>
    <w:rsid w:val="0036016A"/>
    <w:rsid w:val="00360232"/>
    <w:rsid w:val="003602E0"/>
    <w:rsid w:val="003606FC"/>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780"/>
    <w:rsid w:val="003748F7"/>
    <w:rsid w:val="00374F16"/>
    <w:rsid w:val="0037535B"/>
    <w:rsid w:val="00375394"/>
    <w:rsid w:val="0037552D"/>
    <w:rsid w:val="003756DB"/>
    <w:rsid w:val="00375AD7"/>
    <w:rsid w:val="00376991"/>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C14"/>
    <w:rsid w:val="00386DE5"/>
    <w:rsid w:val="0038776D"/>
    <w:rsid w:val="00390017"/>
    <w:rsid w:val="003901A3"/>
    <w:rsid w:val="0039072F"/>
    <w:rsid w:val="00390EC7"/>
    <w:rsid w:val="003919F6"/>
    <w:rsid w:val="00391D79"/>
    <w:rsid w:val="0039218D"/>
    <w:rsid w:val="00392B93"/>
    <w:rsid w:val="00393FF4"/>
    <w:rsid w:val="003940CE"/>
    <w:rsid w:val="00394739"/>
    <w:rsid w:val="00394A93"/>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1CED"/>
    <w:rsid w:val="003B31B1"/>
    <w:rsid w:val="003B3575"/>
    <w:rsid w:val="003B38D1"/>
    <w:rsid w:val="003B4EE5"/>
    <w:rsid w:val="003B501A"/>
    <w:rsid w:val="003B50BC"/>
    <w:rsid w:val="003B5B02"/>
    <w:rsid w:val="003B5D97"/>
    <w:rsid w:val="003B5EB8"/>
    <w:rsid w:val="003B5FD7"/>
    <w:rsid w:val="003B63A4"/>
    <w:rsid w:val="003B68FE"/>
    <w:rsid w:val="003B6D7D"/>
    <w:rsid w:val="003B7D7E"/>
    <w:rsid w:val="003C04B9"/>
    <w:rsid w:val="003C1012"/>
    <w:rsid w:val="003C11C9"/>
    <w:rsid w:val="003C1229"/>
    <w:rsid w:val="003C149B"/>
    <w:rsid w:val="003C1FD4"/>
    <w:rsid w:val="003C213D"/>
    <w:rsid w:val="003C243C"/>
    <w:rsid w:val="003C25AD"/>
    <w:rsid w:val="003C291D"/>
    <w:rsid w:val="003C298B"/>
    <w:rsid w:val="003C2B3A"/>
    <w:rsid w:val="003C2D21"/>
    <w:rsid w:val="003C3559"/>
    <w:rsid w:val="003C4135"/>
    <w:rsid w:val="003C4503"/>
    <w:rsid w:val="003C52AA"/>
    <w:rsid w:val="003C56F7"/>
    <w:rsid w:val="003C5E6B"/>
    <w:rsid w:val="003C5ED6"/>
    <w:rsid w:val="003C645E"/>
    <w:rsid w:val="003C652F"/>
    <w:rsid w:val="003C6B63"/>
    <w:rsid w:val="003C6B81"/>
    <w:rsid w:val="003C7195"/>
    <w:rsid w:val="003C7AD7"/>
    <w:rsid w:val="003D0936"/>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1F48"/>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345"/>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3F796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407"/>
    <w:rsid w:val="00481684"/>
    <w:rsid w:val="004816BE"/>
    <w:rsid w:val="00482438"/>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AE7"/>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14"/>
    <w:rsid w:val="004E2DE0"/>
    <w:rsid w:val="004E4060"/>
    <w:rsid w:val="004E409A"/>
    <w:rsid w:val="004E41A7"/>
    <w:rsid w:val="004E4456"/>
    <w:rsid w:val="004E62CC"/>
    <w:rsid w:val="004E67BC"/>
    <w:rsid w:val="004E691C"/>
    <w:rsid w:val="004E7128"/>
    <w:rsid w:val="004E7A42"/>
    <w:rsid w:val="004E7B01"/>
    <w:rsid w:val="004E7C7A"/>
    <w:rsid w:val="004E7F04"/>
    <w:rsid w:val="004F016D"/>
    <w:rsid w:val="004F0632"/>
    <w:rsid w:val="004F0965"/>
    <w:rsid w:val="004F0E25"/>
    <w:rsid w:val="004F0FB9"/>
    <w:rsid w:val="004F1C3B"/>
    <w:rsid w:val="004F1C8E"/>
    <w:rsid w:val="004F2910"/>
    <w:rsid w:val="004F2F7E"/>
    <w:rsid w:val="004F2F8F"/>
    <w:rsid w:val="004F32B5"/>
    <w:rsid w:val="004F3967"/>
    <w:rsid w:val="004F407E"/>
    <w:rsid w:val="004F41E5"/>
    <w:rsid w:val="004F517A"/>
    <w:rsid w:val="004F52B6"/>
    <w:rsid w:val="004F5479"/>
    <w:rsid w:val="004F5EEE"/>
    <w:rsid w:val="004F6C73"/>
    <w:rsid w:val="004F7289"/>
    <w:rsid w:val="004F7528"/>
    <w:rsid w:val="004F7BCA"/>
    <w:rsid w:val="004F7D89"/>
    <w:rsid w:val="00501981"/>
    <w:rsid w:val="00501A85"/>
    <w:rsid w:val="00501BB3"/>
    <w:rsid w:val="005021DD"/>
    <w:rsid w:val="005026CA"/>
    <w:rsid w:val="00502ACF"/>
    <w:rsid w:val="00502B72"/>
    <w:rsid w:val="00502D50"/>
    <w:rsid w:val="00502FB1"/>
    <w:rsid w:val="0050376D"/>
    <w:rsid w:val="005037CB"/>
    <w:rsid w:val="00504009"/>
    <w:rsid w:val="00504BC1"/>
    <w:rsid w:val="00504D67"/>
    <w:rsid w:val="00505134"/>
    <w:rsid w:val="0050544D"/>
    <w:rsid w:val="005056C9"/>
    <w:rsid w:val="00505C04"/>
    <w:rsid w:val="005062B1"/>
    <w:rsid w:val="00506853"/>
    <w:rsid w:val="00506CF3"/>
    <w:rsid w:val="005076EC"/>
    <w:rsid w:val="005109C3"/>
    <w:rsid w:val="00511277"/>
    <w:rsid w:val="005114B7"/>
    <w:rsid w:val="005118E5"/>
    <w:rsid w:val="00511F15"/>
    <w:rsid w:val="0051318C"/>
    <w:rsid w:val="0051344E"/>
    <w:rsid w:val="005140F5"/>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5CCD"/>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3F4"/>
    <w:rsid w:val="005556F9"/>
    <w:rsid w:val="00556368"/>
    <w:rsid w:val="00556BAC"/>
    <w:rsid w:val="00556D54"/>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156"/>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5FD"/>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442"/>
    <w:rsid w:val="005979A9"/>
    <w:rsid w:val="005A033B"/>
    <w:rsid w:val="005A04BA"/>
    <w:rsid w:val="005A054D"/>
    <w:rsid w:val="005A0A46"/>
    <w:rsid w:val="005A10B9"/>
    <w:rsid w:val="005A11EA"/>
    <w:rsid w:val="005A1BF0"/>
    <w:rsid w:val="005A1DB7"/>
    <w:rsid w:val="005A269F"/>
    <w:rsid w:val="005A305E"/>
    <w:rsid w:val="005A30BB"/>
    <w:rsid w:val="005A3887"/>
    <w:rsid w:val="005A3E23"/>
    <w:rsid w:val="005A57EA"/>
    <w:rsid w:val="005A58CD"/>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09D"/>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00B"/>
    <w:rsid w:val="005C5967"/>
    <w:rsid w:val="005C5CCE"/>
    <w:rsid w:val="005C658D"/>
    <w:rsid w:val="005C67E4"/>
    <w:rsid w:val="005C6C52"/>
    <w:rsid w:val="005C6E4A"/>
    <w:rsid w:val="005C712D"/>
    <w:rsid w:val="005C7C75"/>
    <w:rsid w:val="005D0784"/>
    <w:rsid w:val="005D09F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706C"/>
    <w:rsid w:val="005D7E0D"/>
    <w:rsid w:val="005D7FF5"/>
    <w:rsid w:val="005E0355"/>
    <w:rsid w:val="005E0623"/>
    <w:rsid w:val="005E0B3F"/>
    <w:rsid w:val="005E1FBC"/>
    <w:rsid w:val="005E234A"/>
    <w:rsid w:val="005E2867"/>
    <w:rsid w:val="005E35CC"/>
    <w:rsid w:val="005E371E"/>
    <w:rsid w:val="005E3A43"/>
    <w:rsid w:val="005E4140"/>
    <w:rsid w:val="005E53F9"/>
    <w:rsid w:val="005E5BB6"/>
    <w:rsid w:val="005E5E9E"/>
    <w:rsid w:val="005E705C"/>
    <w:rsid w:val="005E7614"/>
    <w:rsid w:val="005E775D"/>
    <w:rsid w:val="005F0551"/>
    <w:rsid w:val="005F0A43"/>
    <w:rsid w:val="005F0E91"/>
    <w:rsid w:val="005F1498"/>
    <w:rsid w:val="005F18FC"/>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717"/>
    <w:rsid w:val="00610D72"/>
    <w:rsid w:val="006130F7"/>
    <w:rsid w:val="00613AF8"/>
    <w:rsid w:val="00613D8E"/>
    <w:rsid w:val="00614197"/>
    <w:rsid w:val="006142E0"/>
    <w:rsid w:val="0061444B"/>
    <w:rsid w:val="00614454"/>
    <w:rsid w:val="00616112"/>
    <w:rsid w:val="00616375"/>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1457"/>
    <w:rsid w:val="006425F7"/>
    <w:rsid w:val="00643607"/>
    <w:rsid w:val="00643660"/>
    <w:rsid w:val="00643F37"/>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0C69"/>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4FA"/>
    <w:rsid w:val="00697733"/>
    <w:rsid w:val="006A112B"/>
    <w:rsid w:val="006A126B"/>
    <w:rsid w:val="006A139F"/>
    <w:rsid w:val="006A254E"/>
    <w:rsid w:val="006A285F"/>
    <w:rsid w:val="006A2B68"/>
    <w:rsid w:val="006A2C30"/>
    <w:rsid w:val="006A301C"/>
    <w:rsid w:val="006A307F"/>
    <w:rsid w:val="006A3E2B"/>
    <w:rsid w:val="006A3FF2"/>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BF1"/>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D1A"/>
    <w:rsid w:val="006C2E78"/>
    <w:rsid w:val="006C3104"/>
    <w:rsid w:val="006C3AD8"/>
    <w:rsid w:val="006C40F0"/>
    <w:rsid w:val="006C4516"/>
    <w:rsid w:val="006C455E"/>
    <w:rsid w:val="006C4D45"/>
    <w:rsid w:val="006C5393"/>
    <w:rsid w:val="006C5958"/>
    <w:rsid w:val="006C5B4F"/>
    <w:rsid w:val="006C5F03"/>
    <w:rsid w:val="006C643C"/>
    <w:rsid w:val="006C6E3A"/>
    <w:rsid w:val="006C6E72"/>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2C1"/>
    <w:rsid w:val="006D6450"/>
    <w:rsid w:val="006D6939"/>
    <w:rsid w:val="006D6B77"/>
    <w:rsid w:val="006D6F42"/>
    <w:rsid w:val="006D75A1"/>
    <w:rsid w:val="006D7EB0"/>
    <w:rsid w:val="006E0138"/>
    <w:rsid w:val="006E06E9"/>
    <w:rsid w:val="006E0BB0"/>
    <w:rsid w:val="006E12C3"/>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B98"/>
    <w:rsid w:val="006F1EB7"/>
    <w:rsid w:val="006F1FFC"/>
    <w:rsid w:val="006F21CC"/>
    <w:rsid w:val="006F2C89"/>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BE2"/>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530"/>
    <w:rsid w:val="0072757A"/>
    <w:rsid w:val="007275F1"/>
    <w:rsid w:val="007311C4"/>
    <w:rsid w:val="007314DD"/>
    <w:rsid w:val="007314F0"/>
    <w:rsid w:val="00731E7C"/>
    <w:rsid w:val="00732852"/>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6C6"/>
    <w:rsid w:val="00761A5B"/>
    <w:rsid w:val="00761FDA"/>
    <w:rsid w:val="007620E8"/>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9FA"/>
    <w:rsid w:val="00771BF9"/>
    <w:rsid w:val="00772190"/>
    <w:rsid w:val="00772F8A"/>
    <w:rsid w:val="0077305E"/>
    <w:rsid w:val="00773641"/>
    <w:rsid w:val="007739C6"/>
    <w:rsid w:val="00773DB7"/>
    <w:rsid w:val="00773E55"/>
    <w:rsid w:val="00774889"/>
    <w:rsid w:val="00774FF5"/>
    <w:rsid w:val="007750B3"/>
    <w:rsid w:val="00775B07"/>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BC2"/>
    <w:rsid w:val="007A1023"/>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4D9"/>
    <w:rsid w:val="007B5018"/>
    <w:rsid w:val="007B52CD"/>
    <w:rsid w:val="007B74F9"/>
    <w:rsid w:val="007B774F"/>
    <w:rsid w:val="007B7DC1"/>
    <w:rsid w:val="007B7EDB"/>
    <w:rsid w:val="007C015D"/>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6CE"/>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6F2"/>
    <w:rsid w:val="007D2A8D"/>
    <w:rsid w:val="007D2F44"/>
    <w:rsid w:val="007D2F4D"/>
    <w:rsid w:val="007D3C97"/>
    <w:rsid w:val="007D4178"/>
    <w:rsid w:val="007D4D33"/>
    <w:rsid w:val="007D5403"/>
    <w:rsid w:val="007D5C21"/>
    <w:rsid w:val="007D6B47"/>
    <w:rsid w:val="007D6B4A"/>
    <w:rsid w:val="007D7175"/>
    <w:rsid w:val="007D7ADE"/>
    <w:rsid w:val="007E02A5"/>
    <w:rsid w:val="007E1369"/>
    <w:rsid w:val="007E17A2"/>
    <w:rsid w:val="007E1A1B"/>
    <w:rsid w:val="007E1A88"/>
    <w:rsid w:val="007E27EB"/>
    <w:rsid w:val="007E2F3D"/>
    <w:rsid w:val="007E39CE"/>
    <w:rsid w:val="007E3B71"/>
    <w:rsid w:val="007E4450"/>
    <w:rsid w:val="007E4782"/>
    <w:rsid w:val="007E494C"/>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9E0"/>
    <w:rsid w:val="008365B1"/>
    <w:rsid w:val="0083689A"/>
    <w:rsid w:val="008376F6"/>
    <w:rsid w:val="00837D5B"/>
    <w:rsid w:val="00837E96"/>
    <w:rsid w:val="008401DE"/>
    <w:rsid w:val="00840607"/>
    <w:rsid w:val="00840A16"/>
    <w:rsid w:val="00840E7D"/>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C0"/>
    <w:rsid w:val="008474A7"/>
    <w:rsid w:val="008506B6"/>
    <w:rsid w:val="00850AE0"/>
    <w:rsid w:val="00850EB2"/>
    <w:rsid w:val="008524D2"/>
    <w:rsid w:val="00852E19"/>
    <w:rsid w:val="0085428A"/>
    <w:rsid w:val="008544D7"/>
    <w:rsid w:val="008551A3"/>
    <w:rsid w:val="00855B38"/>
    <w:rsid w:val="008560CC"/>
    <w:rsid w:val="00856441"/>
    <w:rsid w:val="00856833"/>
    <w:rsid w:val="00856840"/>
    <w:rsid w:val="00857A2F"/>
    <w:rsid w:val="00857B6B"/>
    <w:rsid w:val="00857EAD"/>
    <w:rsid w:val="0086087C"/>
    <w:rsid w:val="0086099F"/>
    <w:rsid w:val="00860D8E"/>
    <w:rsid w:val="00861562"/>
    <w:rsid w:val="00861C3E"/>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1756"/>
    <w:rsid w:val="00872081"/>
    <w:rsid w:val="00872AA7"/>
    <w:rsid w:val="00872D3F"/>
    <w:rsid w:val="008733AA"/>
    <w:rsid w:val="008733E4"/>
    <w:rsid w:val="00873F15"/>
    <w:rsid w:val="00874096"/>
    <w:rsid w:val="008756A4"/>
    <w:rsid w:val="00875793"/>
    <w:rsid w:val="008758B2"/>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64F"/>
    <w:rsid w:val="008A0831"/>
    <w:rsid w:val="008A0AB2"/>
    <w:rsid w:val="008A0CFC"/>
    <w:rsid w:val="008A0E2D"/>
    <w:rsid w:val="008A12FE"/>
    <w:rsid w:val="008A2282"/>
    <w:rsid w:val="008A28B6"/>
    <w:rsid w:val="008A2B2E"/>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2FE"/>
    <w:rsid w:val="008D1511"/>
    <w:rsid w:val="008D17D9"/>
    <w:rsid w:val="008D27E2"/>
    <w:rsid w:val="008D32DF"/>
    <w:rsid w:val="008D35E9"/>
    <w:rsid w:val="008D37EF"/>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18C"/>
    <w:rsid w:val="008E3359"/>
    <w:rsid w:val="008E38AD"/>
    <w:rsid w:val="008E3EEC"/>
    <w:rsid w:val="008E4504"/>
    <w:rsid w:val="008E46AE"/>
    <w:rsid w:val="008E4BB8"/>
    <w:rsid w:val="008E50AB"/>
    <w:rsid w:val="008E5BF2"/>
    <w:rsid w:val="008E5C81"/>
    <w:rsid w:val="008E61F9"/>
    <w:rsid w:val="008E6A9D"/>
    <w:rsid w:val="008E6B99"/>
    <w:rsid w:val="008E6E2B"/>
    <w:rsid w:val="008F0A38"/>
    <w:rsid w:val="008F0F84"/>
    <w:rsid w:val="008F1014"/>
    <w:rsid w:val="008F11C9"/>
    <w:rsid w:val="008F1282"/>
    <w:rsid w:val="008F14BD"/>
    <w:rsid w:val="008F1B7D"/>
    <w:rsid w:val="008F23D8"/>
    <w:rsid w:val="008F288F"/>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1A2C"/>
    <w:rsid w:val="0094265B"/>
    <w:rsid w:val="00942C80"/>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2B80"/>
    <w:rsid w:val="0095380C"/>
    <w:rsid w:val="009540C0"/>
    <w:rsid w:val="00954353"/>
    <w:rsid w:val="00955C0A"/>
    <w:rsid w:val="00955C4F"/>
    <w:rsid w:val="00956109"/>
    <w:rsid w:val="00956861"/>
    <w:rsid w:val="009575AA"/>
    <w:rsid w:val="00957945"/>
    <w:rsid w:val="00960980"/>
    <w:rsid w:val="00960CE7"/>
    <w:rsid w:val="009610FE"/>
    <w:rsid w:val="00961A13"/>
    <w:rsid w:val="0096229D"/>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615"/>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2F"/>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B7E8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58D"/>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26F"/>
    <w:rsid w:val="00A217F2"/>
    <w:rsid w:val="00A21A36"/>
    <w:rsid w:val="00A21DF7"/>
    <w:rsid w:val="00A22401"/>
    <w:rsid w:val="00A2275C"/>
    <w:rsid w:val="00A22A44"/>
    <w:rsid w:val="00A22E60"/>
    <w:rsid w:val="00A2346B"/>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2A6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1B09"/>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D26"/>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5FB5"/>
    <w:rsid w:val="00A7611B"/>
    <w:rsid w:val="00A775B8"/>
    <w:rsid w:val="00A8056E"/>
    <w:rsid w:val="00A80F34"/>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85B"/>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3B7F"/>
    <w:rsid w:val="00AD4860"/>
    <w:rsid w:val="00AD4D2A"/>
    <w:rsid w:val="00AD542F"/>
    <w:rsid w:val="00AD5FBE"/>
    <w:rsid w:val="00AD6141"/>
    <w:rsid w:val="00AD6598"/>
    <w:rsid w:val="00AD6795"/>
    <w:rsid w:val="00AD7305"/>
    <w:rsid w:val="00AD75B2"/>
    <w:rsid w:val="00AD7D6C"/>
    <w:rsid w:val="00AD7E09"/>
    <w:rsid w:val="00AD7E64"/>
    <w:rsid w:val="00AE0206"/>
    <w:rsid w:val="00AE0A8C"/>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0F0D"/>
    <w:rsid w:val="00AF1528"/>
    <w:rsid w:val="00AF1C6C"/>
    <w:rsid w:val="00AF25D5"/>
    <w:rsid w:val="00AF26F1"/>
    <w:rsid w:val="00AF2AFC"/>
    <w:rsid w:val="00AF3457"/>
    <w:rsid w:val="00AF3563"/>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D7"/>
    <w:rsid w:val="00B160FF"/>
    <w:rsid w:val="00B16322"/>
    <w:rsid w:val="00B16596"/>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181"/>
    <w:rsid w:val="00B30B44"/>
    <w:rsid w:val="00B30B4E"/>
    <w:rsid w:val="00B31246"/>
    <w:rsid w:val="00B315E3"/>
    <w:rsid w:val="00B319C7"/>
    <w:rsid w:val="00B31D6D"/>
    <w:rsid w:val="00B32347"/>
    <w:rsid w:val="00B326FF"/>
    <w:rsid w:val="00B32864"/>
    <w:rsid w:val="00B32EAB"/>
    <w:rsid w:val="00B3378D"/>
    <w:rsid w:val="00B33CEE"/>
    <w:rsid w:val="00B340AA"/>
    <w:rsid w:val="00B3455B"/>
    <w:rsid w:val="00B34A9F"/>
    <w:rsid w:val="00B34B80"/>
    <w:rsid w:val="00B3501B"/>
    <w:rsid w:val="00B351DF"/>
    <w:rsid w:val="00B35CDA"/>
    <w:rsid w:val="00B3690B"/>
    <w:rsid w:val="00B37039"/>
    <w:rsid w:val="00B372F2"/>
    <w:rsid w:val="00B37D97"/>
    <w:rsid w:val="00B4050D"/>
    <w:rsid w:val="00B40BC3"/>
    <w:rsid w:val="00B411BD"/>
    <w:rsid w:val="00B41559"/>
    <w:rsid w:val="00B418E8"/>
    <w:rsid w:val="00B4221A"/>
    <w:rsid w:val="00B42285"/>
    <w:rsid w:val="00B4229B"/>
    <w:rsid w:val="00B4274B"/>
    <w:rsid w:val="00B42D2A"/>
    <w:rsid w:val="00B42E38"/>
    <w:rsid w:val="00B4344A"/>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E08"/>
    <w:rsid w:val="00B70F4B"/>
    <w:rsid w:val="00B711CE"/>
    <w:rsid w:val="00B714F0"/>
    <w:rsid w:val="00B71CA8"/>
    <w:rsid w:val="00B71DC8"/>
    <w:rsid w:val="00B722A4"/>
    <w:rsid w:val="00B727A2"/>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3E1"/>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0C8"/>
    <w:rsid w:val="00BD16CA"/>
    <w:rsid w:val="00BD28AA"/>
    <w:rsid w:val="00BD2F3B"/>
    <w:rsid w:val="00BD3038"/>
    <w:rsid w:val="00BD3372"/>
    <w:rsid w:val="00BD4708"/>
    <w:rsid w:val="00BD50AA"/>
    <w:rsid w:val="00BD5135"/>
    <w:rsid w:val="00BD596B"/>
    <w:rsid w:val="00BD5F76"/>
    <w:rsid w:val="00BD7291"/>
    <w:rsid w:val="00BD76A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139"/>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9B0"/>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3C76"/>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76F"/>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6B51"/>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233"/>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A7C89"/>
    <w:rsid w:val="00CB008E"/>
    <w:rsid w:val="00CB01ED"/>
    <w:rsid w:val="00CB01FA"/>
    <w:rsid w:val="00CB0737"/>
    <w:rsid w:val="00CB095A"/>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6CF"/>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671D"/>
    <w:rsid w:val="00CC70D9"/>
    <w:rsid w:val="00CC737C"/>
    <w:rsid w:val="00CC737E"/>
    <w:rsid w:val="00CD0643"/>
    <w:rsid w:val="00CD087D"/>
    <w:rsid w:val="00CD0F5D"/>
    <w:rsid w:val="00CD1C0B"/>
    <w:rsid w:val="00CD239A"/>
    <w:rsid w:val="00CD2C65"/>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2F49"/>
    <w:rsid w:val="00CE4365"/>
    <w:rsid w:val="00CE46E5"/>
    <w:rsid w:val="00CE485A"/>
    <w:rsid w:val="00CE4F47"/>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AAD"/>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4CD"/>
    <w:rsid w:val="00D03727"/>
    <w:rsid w:val="00D0378A"/>
    <w:rsid w:val="00D03D32"/>
    <w:rsid w:val="00D04289"/>
    <w:rsid w:val="00D047FB"/>
    <w:rsid w:val="00D04E17"/>
    <w:rsid w:val="00D04E98"/>
    <w:rsid w:val="00D05132"/>
    <w:rsid w:val="00D0545E"/>
    <w:rsid w:val="00D05479"/>
    <w:rsid w:val="00D05EA9"/>
    <w:rsid w:val="00D05F0A"/>
    <w:rsid w:val="00D071F8"/>
    <w:rsid w:val="00D07252"/>
    <w:rsid w:val="00D074F4"/>
    <w:rsid w:val="00D07A3B"/>
    <w:rsid w:val="00D07CE1"/>
    <w:rsid w:val="00D1026A"/>
    <w:rsid w:val="00D103E6"/>
    <w:rsid w:val="00D10554"/>
    <w:rsid w:val="00D107CF"/>
    <w:rsid w:val="00D10883"/>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2DD1"/>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99E"/>
    <w:rsid w:val="00D32A09"/>
    <w:rsid w:val="00D3323C"/>
    <w:rsid w:val="00D33456"/>
    <w:rsid w:val="00D336CF"/>
    <w:rsid w:val="00D3396F"/>
    <w:rsid w:val="00D33D4D"/>
    <w:rsid w:val="00D34988"/>
    <w:rsid w:val="00D34A0B"/>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9D4"/>
    <w:rsid w:val="00D61B79"/>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58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0AD"/>
    <w:rsid w:val="00D751FB"/>
    <w:rsid w:val="00D754D6"/>
    <w:rsid w:val="00D75895"/>
    <w:rsid w:val="00D75B44"/>
    <w:rsid w:val="00D761AA"/>
    <w:rsid w:val="00D76CC6"/>
    <w:rsid w:val="00D76FAE"/>
    <w:rsid w:val="00D77040"/>
    <w:rsid w:val="00D777D7"/>
    <w:rsid w:val="00D77948"/>
    <w:rsid w:val="00D807ED"/>
    <w:rsid w:val="00D80AB8"/>
    <w:rsid w:val="00D80E06"/>
    <w:rsid w:val="00D80FEC"/>
    <w:rsid w:val="00D81792"/>
    <w:rsid w:val="00D819B1"/>
    <w:rsid w:val="00D81B37"/>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3C3"/>
    <w:rsid w:val="00D92B24"/>
    <w:rsid w:val="00D92C29"/>
    <w:rsid w:val="00D93252"/>
    <w:rsid w:val="00D936E2"/>
    <w:rsid w:val="00D93D35"/>
    <w:rsid w:val="00D945B3"/>
    <w:rsid w:val="00D94F5D"/>
    <w:rsid w:val="00D9503C"/>
    <w:rsid w:val="00D95104"/>
    <w:rsid w:val="00D95600"/>
    <w:rsid w:val="00D957DB"/>
    <w:rsid w:val="00D95900"/>
    <w:rsid w:val="00D964C9"/>
    <w:rsid w:val="00D9683C"/>
    <w:rsid w:val="00D977A0"/>
    <w:rsid w:val="00D97884"/>
    <w:rsid w:val="00D97A30"/>
    <w:rsid w:val="00D97C79"/>
    <w:rsid w:val="00D97F43"/>
    <w:rsid w:val="00DA0101"/>
    <w:rsid w:val="00DA0712"/>
    <w:rsid w:val="00DA0A7F"/>
    <w:rsid w:val="00DA1A53"/>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B7DA5"/>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4B10"/>
    <w:rsid w:val="00DD53FA"/>
    <w:rsid w:val="00DD58C2"/>
    <w:rsid w:val="00DD5F42"/>
    <w:rsid w:val="00DD617B"/>
    <w:rsid w:val="00DD64C0"/>
    <w:rsid w:val="00DD66B2"/>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577E"/>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677"/>
    <w:rsid w:val="00DF6C8B"/>
    <w:rsid w:val="00DF6F17"/>
    <w:rsid w:val="00DF6F28"/>
    <w:rsid w:val="00DF6F88"/>
    <w:rsid w:val="00DF78FA"/>
    <w:rsid w:val="00DF7960"/>
    <w:rsid w:val="00DF7AE1"/>
    <w:rsid w:val="00E002F1"/>
    <w:rsid w:val="00E0055A"/>
    <w:rsid w:val="00E0082C"/>
    <w:rsid w:val="00E00B0D"/>
    <w:rsid w:val="00E00F45"/>
    <w:rsid w:val="00E00F55"/>
    <w:rsid w:val="00E013F3"/>
    <w:rsid w:val="00E01DAA"/>
    <w:rsid w:val="00E023E5"/>
    <w:rsid w:val="00E02432"/>
    <w:rsid w:val="00E03140"/>
    <w:rsid w:val="00E03520"/>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454"/>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D62"/>
    <w:rsid w:val="00E339DC"/>
    <w:rsid w:val="00E33E15"/>
    <w:rsid w:val="00E33F04"/>
    <w:rsid w:val="00E352B0"/>
    <w:rsid w:val="00E353A4"/>
    <w:rsid w:val="00E35923"/>
    <w:rsid w:val="00E361B8"/>
    <w:rsid w:val="00E36A1B"/>
    <w:rsid w:val="00E37653"/>
    <w:rsid w:val="00E37DDE"/>
    <w:rsid w:val="00E40876"/>
    <w:rsid w:val="00E40949"/>
    <w:rsid w:val="00E40C38"/>
    <w:rsid w:val="00E40CCD"/>
    <w:rsid w:val="00E418F2"/>
    <w:rsid w:val="00E42428"/>
    <w:rsid w:val="00E429ED"/>
    <w:rsid w:val="00E43F37"/>
    <w:rsid w:val="00E441E6"/>
    <w:rsid w:val="00E4481D"/>
    <w:rsid w:val="00E450ED"/>
    <w:rsid w:val="00E467B6"/>
    <w:rsid w:val="00E46C47"/>
    <w:rsid w:val="00E46E56"/>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E62"/>
    <w:rsid w:val="00E53FA9"/>
    <w:rsid w:val="00E5414C"/>
    <w:rsid w:val="00E547B3"/>
    <w:rsid w:val="00E55307"/>
    <w:rsid w:val="00E55FDE"/>
    <w:rsid w:val="00E57050"/>
    <w:rsid w:val="00E5733D"/>
    <w:rsid w:val="00E57613"/>
    <w:rsid w:val="00E576AB"/>
    <w:rsid w:val="00E57EAC"/>
    <w:rsid w:val="00E604EF"/>
    <w:rsid w:val="00E60A9F"/>
    <w:rsid w:val="00E61CA6"/>
    <w:rsid w:val="00E61CC0"/>
    <w:rsid w:val="00E6277B"/>
    <w:rsid w:val="00E62EA7"/>
    <w:rsid w:val="00E63278"/>
    <w:rsid w:val="00E64424"/>
    <w:rsid w:val="00E64C99"/>
    <w:rsid w:val="00E64CD3"/>
    <w:rsid w:val="00E64E8F"/>
    <w:rsid w:val="00E6517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2CD1"/>
    <w:rsid w:val="00E7401B"/>
    <w:rsid w:val="00E741AC"/>
    <w:rsid w:val="00E747AA"/>
    <w:rsid w:val="00E74F75"/>
    <w:rsid w:val="00E75174"/>
    <w:rsid w:val="00E753B5"/>
    <w:rsid w:val="00E75531"/>
    <w:rsid w:val="00E75EBA"/>
    <w:rsid w:val="00E763B4"/>
    <w:rsid w:val="00E77433"/>
    <w:rsid w:val="00E774F7"/>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5524"/>
    <w:rsid w:val="00E95BA6"/>
    <w:rsid w:val="00E95DD9"/>
    <w:rsid w:val="00E96728"/>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9F"/>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660"/>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D7931"/>
    <w:rsid w:val="00ED7CED"/>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CED"/>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0EE3"/>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DC2"/>
    <w:rsid w:val="00F71E53"/>
    <w:rsid w:val="00F7222B"/>
    <w:rsid w:val="00F72584"/>
    <w:rsid w:val="00F7260C"/>
    <w:rsid w:val="00F7264F"/>
    <w:rsid w:val="00F7290D"/>
    <w:rsid w:val="00F7302F"/>
    <w:rsid w:val="00F732EC"/>
    <w:rsid w:val="00F73D08"/>
    <w:rsid w:val="00F74727"/>
    <w:rsid w:val="00F74794"/>
    <w:rsid w:val="00F748BB"/>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6F7D"/>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4FC"/>
    <w:rsid w:val="00FB1527"/>
    <w:rsid w:val="00FB17DB"/>
    <w:rsid w:val="00FB1E67"/>
    <w:rsid w:val="00FB2537"/>
    <w:rsid w:val="00FB31BD"/>
    <w:rsid w:val="00FB338E"/>
    <w:rsid w:val="00FB33DC"/>
    <w:rsid w:val="00FB4338"/>
    <w:rsid w:val="00FB46D2"/>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3004"/>
    <w:rsid w:val="00FE3465"/>
    <w:rsid w:val="00FE35A6"/>
    <w:rsid w:val="00FE3CC4"/>
    <w:rsid w:val="00FE4C50"/>
    <w:rsid w:val="00FE4F34"/>
    <w:rsid w:val="00FE5E83"/>
    <w:rsid w:val="00FE67CF"/>
    <w:rsid w:val="00FE6BF8"/>
    <w:rsid w:val="00FE6D20"/>
    <w:rsid w:val="00FE6FB9"/>
    <w:rsid w:val="00FE7549"/>
    <w:rsid w:val="00FE7BCC"/>
    <w:rsid w:val="00FE7CA0"/>
    <w:rsid w:val="00FF0832"/>
    <w:rsid w:val="00FF1153"/>
    <w:rsid w:val="00FF126D"/>
    <w:rsid w:val="00FF2310"/>
    <w:rsid w:val="00FF2319"/>
    <w:rsid w:val="00FF26BC"/>
    <w:rsid w:val="00FF2701"/>
    <w:rsid w:val="00FF293B"/>
    <w:rsid w:val="00FF2DE9"/>
    <w:rsid w:val="00FF2E73"/>
    <w:rsid w:val="00FF2EF7"/>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C8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80C69"/>
    <w:pPr>
      <w:autoSpaceDE/>
      <w:autoSpaceDN/>
      <w:adjustRightInd/>
      <w:snapToGrid/>
      <w:spacing w:line="259" w:lineRule="auto"/>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80C69"/>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8D12FE"/>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56925041">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4701447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1430</Words>
  <Characters>8154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2</cp:revision>
  <cp:lastPrinted>2007-06-18T23:08:00Z</cp:lastPrinted>
  <dcterms:created xsi:type="dcterms:W3CDTF">2021-05-11T21:44:00Z</dcterms:created>
  <dcterms:modified xsi:type="dcterms:W3CDTF">2021-05-11T21:44:00Z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(3)h82RK2J2edSY5mI1ga+LQL/VGAfoBS/zNyMknrrz1iDPk1xc+F1NEGWkCnQlTHrDA5ps1tjI
EHowMbb+D/8qT2sQFOPC/LpJtChIkvr/u3Coi23Mi8/P2AT6rKBAGevLzTbqY9RjxSwnINil
VUd/HkbIJwbgFGvL6iVH0SGKWT3gK06fYQZjiNHn82JSnwnXZ+KQKDoyivM2ErFdJeM2plY6
jtknRAmZN5tv0j7e9W</vt:lpwstr>
  </property>
  <property fmtid="{D5CDD505-2E9C-101B-9397-08002B2CF9AE}" pid="13" name="_2015_ms_pID_725343_00">
    <vt:lpwstr>_2015_ms_pID_725343</vt:lpwstr>
  </property>
  <property fmtid="{D5CDD505-2E9C-101B-9397-08002B2CF9AE}" pid="14" name="_2015_ms_pID_7253431">
    <vt:lpwstr>JqxiC1PH9EmK/X5x6Bx3e+A1h+d4pBm1oYFws9jqjAWPwNDHzdU2Pk
T63/Wb28vl7Nj1LwfOAb40eQogDTC3lHf1Wsq6GeW+1RuLeUniFsp4oFn4qEYRVAouqHQvHt
Mvn6ey0hdU3KXcmOYN0nGlU7BGjATTRwpAstUkvyGBBn0mUoJU482jLYZhVC/4DDfpnTBJ4A
t7WeY2ZCCnz0Ips+VVsukjn556YMMvZIRfPR</vt:lpwstr>
  </property>
  <property fmtid="{D5CDD505-2E9C-101B-9397-08002B2CF9AE}" pid="15" name="_2015_ms_pID_7253431_00">
    <vt:lpwstr>_2015_ms_pID_7253431</vt:lpwstr>
  </property>
  <property fmtid="{D5CDD505-2E9C-101B-9397-08002B2CF9AE}" pid="16" name="_2015_ms_pID_7253432">
    <vt:lpwstr>YK9zdt1pREWIGfuDupU4vUelwrBG9OOvReh/
72n7/Is4k9IAdAjpX0UH7psqX8ngwQtKu0JhBCH99yh5ZISniXw=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