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51081009"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14371E">
        <w:rPr>
          <w:rFonts w:cs="Arial" w:hint="eastAsia"/>
          <w:bCs/>
          <w:sz w:val="20"/>
          <w:lang w:eastAsia="ja-JP"/>
        </w:rPr>
        <w:t>4</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7A57C9" w:rsidRPr="007A57C9">
        <w:rPr>
          <w:sz w:val="20"/>
        </w:rPr>
        <w:t>R1-2101021</w:t>
      </w:r>
      <w:bookmarkStart w:id="0" w:name="_GoBack"/>
      <w:bookmarkEnd w:id="0"/>
    </w:p>
    <w:p w14:paraId="552A328C" w14:textId="00AC4BBD"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14371E">
        <w:rPr>
          <w:rFonts w:eastAsia="ＭＳ 明朝" w:cs="Arial"/>
          <w:bCs/>
          <w:sz w:val="20"/>
          <w:lang w:val="en-US" w:eastAsia="ja-JP"/>
        </w:rPr>
        <w:t>January</w:t>
      </w:r>
      <w:r>
        <w:rPr>
          <w:rFonts w:eastAsia="ＭＳ 明朝" w:cs="Arial"/>
          <w:bCs/>
          <w:sz w:val="20"/>
          <w:lang w:val="en-US" w:eastAsia="ja-JP"/>
        </w:rPr>
        <w:t xml:space="preserve"> </w:t>
      </w:r>
      <w:r w:rsidR="0014371E">
        <w:rPr>
          <w:rFonts w:eastAsia="ＭＳ 明朝" w:cs="Arial"/>
          <w:bCs/>
          <w:sz w:val="20"/>
          <w:lang w:val="en-US" w:eastAsia="ja-JP"/>
        </w:rPr>
        <w:t>25</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14371E">
        <w:rPr>
          <w:rFonts w:cs="Arial"/>
          <w:bCs/>
          <w:sz w:val="20"/>
          <w:lang w:val="en-US" w:eastAsia="ja-JP"/>
        </w:rPr>
        <w:t>February</w:t>
      </w:r>
      <w:r w:rsidR="00601B59">
        <w:rPr>
          <w:rFonts w:cs="Arial"/>
          <w:bCs/>
          <w:sz w:val="20"/>
          <w:lang w:val="en-US" w:eastAsia="ja-JP"/>
        </w:rPr>
        <w:t xml:space="preserve"> </w:t>
      </w:r>
      <w:r w:rsidR="0014371E">
        <w:rPr>
          <w:rFonts w:eastAsiaTheme="minorEastAsia" w:cs="Arial"/>
          <w:bCs/>
          <w:sz w:val="20"/>
          <w:lang w:val="en-US" w:eastAsia="ja-JP"/>
        </w:rPr>
        <w:t>5</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DF01343"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990ADE">
        <w:rPr>
          <w:b w:val="0"/>
          <w:sz w:val="20"/>
        </w:rPr>
        <w:t>PUCCH enhancement for NR coverage enhancement</w:t>
      </w:r>
    </w:p>
    <w:p w14:paraId="3BEF152C" w14:textId="63CDCE2B"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437967">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51F48F3D"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A work items on NR coverage enhancement was approved [1]. One of objectives of this work item is PU</w:t>
      </w:r>
      <w:r w:rsidR="00437967">
        <w:rPr>
          <w:rFonts w:eastAsiaTheme="minorEastAsia"/>
          <w:lang w:eastAsia="ja-JP"/>
        </w:rPr>
        <w:t>C</w:t>
      </w:r>
      <w:r>
        <w:rPr>
          <w:rFonts w:eastAsiaTheme="minorEastAsia"/>
          <w:lang w:eastAsia="ja-JP"/>
        </w:rPr>
        <w:t>CH enhancements such as</w:t>
      </w:r>
    </w:p>
    <w:p w14:paraId="4BCE1D44" w14:textId="09056AFB" w:rsidR="0014371E" w:rsidRDefault="00437967" w:rsidP="0014371E">
      <w:pPr>
        <w:pStyle w:val="aff1"/>
        <w:numPr>
          <w:ilvl w:val="0"/>
          <w:numId w:val="18"/>
        </w:numPr>
        <w:spacing w:after="0"/>
        <w:ind w:leftChars="0"/>
        <w:rPr>
          <w:lang w:eastAsia="ja-JP"/>
        </w:rPr>
      </w:pPr>
      <w:r>
        <w:rPr>
          <w:lang w:eastAsia="ja-JP"/>
        </w:rPr>
        <w:t>Specify signalling mechanism to support dynamic PUCCH repetition factor indication</w:t>
      </w:r>
    </w:p>
    <w:p w14:paraId="2FE5C89F" w14:textId="65A7D447" w:rsidR="00437967" w:rsidRDefault="00437967" w:rsidP="0014371E">
      <w:pPr>
        <w:pStyle w:val="aff1"/>
        <w:numPr>
          <w:ilvl w:val="0"/>
          <w:numId w:val="18"/>
        </w:numPr>
        <w:spacing w:after="0"/>
        <w:ind w:leftChars="0"/>
        <w:rPr>
          <w:lang w:eastAsia="ja-JP"/>
        </w:rPr>
      </w:pPr>
      <w:r>
        <w:rPr>
          <w:rFonts w:hint="eastAsia"/>
          <w:lang w:eastAsia="ja-JP"/>
        </w:rPr>
        <w:t>S</w:t>
      </w:r>
      <w:r>
        <w:rPr>
          <w:lang w:eastAsia="ja-JP"/>
        </w:rPr>
        <w:t>pecify mechanism to support DMRS bundling across PUCCH repetitions</w:t>
      </w:r>
    </w:p>
    <w:p w14:paraId="14DC12D4" w14:textId="05FF69A3"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437967">
        <w:rPr>
          <w:rFonts w:eastAsiaTheme="minorEastAsia"/>
          <w:lang w:eastAsia="ja-JP"/>
        </w:rPr>
        <w:t>PUCCH enhancement</w:t>
      </w:r>
      <w:r>
        <w:rPr>
          <w:rFonts w:eastAsiaTheme="minorEastAsia"/>
          <w:lang w:eastAsia="ja-JP"/>
        </w:rPr>
        <w:t>.</w:t>
      </w:r>
    </w:p>
    <w:p w14:paraId="598BA3CA" w14:textId="39D3BB40" w:rsidR="001464F9" w:rsidRDefault="00DC50EB" w:rsidP="001464F9">
      <w:pPr>
        <w:pStyle w:val="1"/>
        <w:tabs>
          <w:tab w:val="num" w:pos="426"/>
        </w:tabs>
        <w:ind w:left="426" w:hanging="426"/>
        <w:rPr>
          <w:lang w:val="en-US" w:eastAsia="ja-JP"/>
        </w:rPr>
      </w:pPr>
      <w:r>
        <w:rPr>
          <w:lang w:val="en-US" w:eastAsia="ja-JP"/>
        </w:rPr>
        <w:t>Discussion</w:t>
      </w:r>
    </w:p>
    <w:p w14:paraId="18585EA1" w14:textId="3734A02C" w:rsidR="00437967" w:rsidRPr="00437967" w:rsidRDefault="00437967" w:rsidP="00EA5FC6">
      <w:pPr>
        <w:spacing w:after="0"/>
        <w:rPr>
          <w:b/>
          <w:u w:val="single"/>
          <w:lang w:val="en-US" w:eastAsia="ja-JP"/>
        </w:rPr>
      </w:pPr>
      <w:r w:rsidRPr="00437967">
        <w:rPr>
          <w:rFonts w:hint="eastAsia"/>
          <w:b/>
          <w:u w:val="single"/>
          <w:lang w:val="en-US" w:eastAsia="ja-JP"/>
        </w:rPr>
        <w:t>D</w:t>
      </w:r>
      <w:r w:rsidRPr="00437967">
        <w:rPr>
          <w:b/>
          <w:u w:val="single"/>
          <w:lang w:val="en-US" w:eastAsia="ja-JP"/>
        </w:rPr>
        <w:t>ynamic PUCCH repetition factor indication</w:t>
      </w:r>
    </w:p>
    <w:p w14:paraId="6DF0F047" w14:textId="01BCE029" w:rsidR="00437967" w:rsidRDefault="008A0054" w:rsidP="00EA5FC6">
      <w:pPr>
        <w:spacing w:after="0"/>
        <w:rPr>
          <w:bCs/>
          <w:lang w:val="en-US" w:eastAsia="ja-JP"/>
        </w:rPr>
      </w:pPr>
      <w:r>
        <w:rPr>
          <w:rFonts w:hint="eastAsia"/>
          <w:bCs/>
          <w:lang w:val="en-US" w:eastAsia="ja-JP"/>
        </w:rPr>
        <w:t>I</w:t>
      </w:r>
      <w:r>
        <w:rPr>
          <w:bCs/>
          <w:lang w:val="en-US" w:eastAsia="ja-JP"/>
        </w:rPr>
        <w:t>n Rel.15/16, the number of PUCCH repetitions is semi-statically configured and single number of PUCCH repetitions is configured for all PUCCH formats and all PUCCH resources. However, it was observed in study item phase that the coverage requirement for PUCCH depends on the PUCCH formats and/or the UCI payload size. The PUCCH formats and/or the UCI payload size may be changed dynamically based on the data size and/or resource availability. Therefore, in Rel.17, dynamic PUCCH repetition factor indication is supported and signaling mechanism to indicate the number of repetitions is specified. For the signaling of dynamic PUCCH repetition factor, following options can be considered</w:t>
      </w:r>
    </w:p>
    <w:p w14:paraId="0C0E84FB" w14:textId="5F5E1CF5" w:rsidR="008A0054" w:rsidRDefault="008A0054" w:rsidP="008A0054">
      <w:pPr>
        <w:pStyle w:val="aff1"/>
        <w:numPr>
          <w:ilvl w:val="0"/>
          <w:numId w:val="22"/>
        </w:numPr>
        <w:spacing w:after="0"/>
        <w:ind w:leftChars="0"/>
        <w:rPr>
          <w:bCs/>
          <w:lang w:val="en-US" w:eastAsia="ja-JP"/>
        </w:rPr>
      </w:pPr>
      <w:r>
        <w:rPr>
          <w:rFonts w:hint="eastAsia"/>
          <w:bCs/>
          <w:lang w:val="en-US" w:eastAsia="ja-JP"/>
        </w:rPr>
        <w:t>O</w:t>
      </w:r>
      <w:r>
        <w:rPr>
          <w:bCs/>
          <w:lang w:val="en-US" w:eastAsia="ja-JP"/>
        </w:rPr>
        <w:t>ption 1: Explicit DCI indication</w:t>
      </w:r>
      <w:r w:rsidR="008E6386">
        <w:rPr>
          <w:bCs/>
          <w:lang w:val="en-US" w:eastAsia="ja-JP"/>
        </w:rPr>
        <w:t>,</w:t>
      </w:r>
    </w:p>
    <w:p w14:paraId="58048A3E" w14:textId="3889CF33" w:rsidR="008A0054" w:rsidRPr="008A0054" w:rsidRDefault="008A0054" w:rsidP="008A0054">
      <w:pPr>
        <w:pStyle w:val="aff1"/>
        <w:numPr>
          <w:ilvl w:val="0"/>
          <w:numId w:val="22"/>
        </w:numPr>
        <w:spacing w:after="0"/>
        <w:ind w:leftChars="0"/>
        <w:rPr>
          <w:bCs/>
          <w:lang w:val="en-US" w:eastAsia="ja-JP"/>
        </w:rPr>
      </w:pPr>
      <w:r>
        <w:rPr>
          <w:rFonts w:hint="eastAsia"/>
          <w:bCs/>
          <w:lang w:val="en-US" w:eastAsia="ja-JP"/>
        </w:rPr>
        <w:t>O</w:t>
      </w:r>
      <w:r>
        <w:rPr>
          <w:bCs/>
          <w:lang w:val="en-US" w:eastAsia="ja-JP"/>
        </w:rPr>
        <w:t>ption 2: To indicate it in the PUCCH resource set</w:t>
      </w:r>
      <w:r w:rsidR="008E6386">
        <w:rPr>
          <w:bCs/>
          <w:lang w:val="en-US" w:eastAsia="ja-JP"/>
        </w:rPr>
        <w:t>.</w:t>
      </w:r>
    </w:p>
    <w:p w14:paraId="34415E76" w14:textId="45F02A35" w:rsidR="00437967" w:rsidRDefault="008A0054" w:rsidP="00EA5FC6">
      <w:pPr>
        <w:spacing w:after="0"/>
        <w:rPr>
          <w:bCs/>
          <w:lang w:val="en-US" w:eastAsia="ja-JP"/>
        </w:rPr>
      </w:pPr>
      <w:r>
        <w:rPr>
          <w:rFonts w:hint="eastAsia"/>
          <w:bCs/>
          <w:lang w:val="en-US" w:eastAsia="ja-JP"/>
        </w:rPr>
        <w:t>O</w:t>
      </w:r>
      <w:r>
        <w:rPr>
          <w:bCs/>
          <w:lang w:val="en-US" w:eastAsia="ja-JP"/>
        </w:rPr>
        <w:t xml:space="preserve">ption 1 would provide much flexibility at the cost of DCI overhead. </w:t>
      </w:r>
      <w:r w:rsidR="008E6386">
        <w:rPr>
          <w:bCs/>
          <w:lang w:val="en-US" w:eastAsia="ja-JP"/>
        </w:rPr>
        <w:t>For o</w:t>
      </w:r>
      <w:r>
        <w:rPr>
          <w:bCs/>
          <w:lang w:val="en-US" w:eastAsia="ja-JP"/>
        </w:rPr>
        <w:t xml:space="preserve">ption 2, PUCCH repetition factor can be indicated as an additional parameter in the PUCCH resource set. This does not increase the DCI overhead and provides dynamic indication with limited number of combination than Option 1. In our view, </w:t>
      </w:r>
      <w:r w:rsidR="00903D1E">
        <w:rPr>
          <w:bCs/>
          <w:lang w:val="en-US" w:eastAsia="ja-JP"/>
        </w:rPr>
        <w:t>in the consideration of trade-off between DCI overhead and flexibility, Option 2 is preferred.</w:t>
      </w:r>
    </w:p>
    <w:p w14:paraId="647E3464" w14:textId="2BEEF9E4" w:rsidR="00903D1E" w:rsidRPr="009B1F12" w:rsidRDefault="00903D1E" w:rsidP="00903D1E">
      <w:pPr>
        <w:spacing w:beforeLines="50" w:before="120" w:after="0"/>
        <w:rPr>
          <w:b/>
          <w:lang w:val="en-US" w:eastAsia="ja-JP"/>
        </w:rPr>
      </w:pPr>
      <w:r>
        <w:rPr>
          <w:b/>
          <w:lang w:val="en-US" w:eastAsia="ja-JP"/>
        </w:rPr>
        <w:t>Proposal 1</w:t>
      </w:r>
      <w:r w:rsidRPr="009B1F12">
        <w:rPr>
          <w:b/>
          <w:lang w:val="en-US" w:eastAsia="ja-JP"/>
        </w:rPr>
        <w:t xml:space="preserve">: </w:t>
      </w:r>
      <w:r>
        <w:rPr>
          <w:b/>
          <w:lang w:val="en-US" w:eastAsia="ja-JP"/>
        </w:rPr>
        <w:t>For dynamic PUCCH repetition factor indication, repetition factor is indicated in the PUCCH resource set.</w:t>
      </w:r>
    </w:p>
    <w:p w14:paraId="3EBC8633" w14:textId="169B7C82" w:rsidR="008A0054" w:rsidRPr="00903D1E" w:rsidRDefault="008A0054" w:rsidP="00EA5FC6">
      <w:pPr>
        <w:spacing w:after="0"/>
        <w:rPr>
          <w:bCs/>
          <w:lang w:val="en-US" w:eastAsia="ja-JP"/>
        </w:rPr>
      </w:pPr>
    </w:p>
    <w:p w14:paraId="7885CC03" w14:textId="11BB4ABA" w:rsidR="00EB2D3F" w:rsidRPr="00437967" w:rsidRDefault="00EB2D3F" w:rsidP="00EB2D3F">
      <w:pPr>
        <w:spacing w:after="0"/>
        <w:rPr>
          <w:b/>
          <w:u w:val="single"/>
          <w:lang w:val="en-US" w:eastAsia="ja-JP"/>
        </w:rPr>
      </w:pPr>
      <w:r>
        <w:rPr>
          <w:b/>
          <w:u w:val="single"/>
          <w:lang w:val="en-US" w:eastAsia="ja-JP"/>
        </w:rPr>
        <w:t>Support DMRS bundling across PUCCH repetitions</w:t>
      </w:r>
    </w:p>
    <w:p w14:paraId="12DAD40A" w14:textId="475248E7" w:rsidR="006D4DD5" w:rsidRPr="009B1F12" w:rsidRDefault="00146BB5" w:rsidP="00EA5FC6">
      <w:pPr>
        <w:spacing w:after="0"/>
        <w:rPr>
          <w:bCs/>
          <w:lang w:val="en-US" w:eastAsia="ja-JP"/>
        </w:rPr>
      </w:pPr>
      <w:r>
        <w:rPr>
          <w:bCs/>
          <w:lang w:val="en-US" w:eastAsia="ja-JP"/>
        </w:rPr>
        <w:t xml:space="preserve">In poor channel conditions, </w:t>
      </w:r>
      <w:r w:rsidR="001009CB">
        <w:rPr>
          <w:bCs/>
          <w:lang w:val="en-US" w:eastAsia="ja-JP"/>
        </w:rPr>
        <w:t xml:space="preserve">improving </w:t>
      </w:r>
      <w:r>
        <w:rPr>
          <w:bCs/>
          <w:lang w:val="en-US" w:eastAsia="ja-JP"/>
        </w:rPr>
        <w:t>channel estimation performance is essential</w:t>
      </w:r>
      <w:r w:rsidR="005B1D54">
        <w:rPr>
          <w:bCs/>
          <w:lang w:val="en-US" w:eastAsia="ja-JP"/>
        </w:rPr>
        <w:t xml:space="preserve"> enhancement</w:t>
      </w:r>
      <w:r>
        <w:rPr>
          <w:bCs/>
          <w:lang w:val="en-US" w:eastAsia="ja-JP"/>
        </w:rPr>
        <w:t xml:space="preserve">. Current specification allows the channel estimation </w:t>
      </w:r>
      <w:r w:rsidR="00E91E55">
        <w:rPr>
          <w:bCs/>
          <w:lang w:val="en-US" w:eastAsia="ja-JP"/>
        </w:rPr>
        <w:t xml:space="preserve">only </w:t>
      </w:r>
      <w:r>
        <w:rPr>
          <w:bCs/>
          <w:lang w:val="en-US" w:eastAsia="ja-JP"/>
        </w:rPr>
        <w:t xml:space="preserve">within a slot because phase continuity between slots at the UE transmitter is not ensured. </w:t>
      </w:r>
      <w:r w:rsidR="00A750E8">
        <w:rPr>
          <w:bCs/>
          <w:lang w:val="en-US" w:eastAsia="ja-JP"/>
        </w:rPr>
        <w:t>In Re</w:t>
      </w:r>
      <w:r w:rsidR="00EB2D3F">
        <w:rPr>
          <w:bCs/>
          <w:lang w:val="en-US" w:eastAsia="ja-JP"/>
        </w:rPr>
        <w:t>l.</w:t>
      </w:r>
      <w:r w:rsidR="00A750E8">
        <w:rPr>
          <w:bCs/>
          <w:lang w:val="en-US" w:eastAsia="ja-JP"/>
        </w:rPr>
        <w:t>17</w:t>
      </w:r>
      <w:r>
        <w:rPr>
          <w:bCs/>
          <w:lang w:val="en-US" w:eastAsia="ja-JP"/>
        </w:rPr>
        <w:t xml:space="preserve">, in addition to </w:t>
      </w:r>
      <w:r w:rsidR="003640F7">
        <w:rPr>
          <w:bCs/>
          <w:lang w:val="en-US" w:eastAsia="ja-JP"/>
        </w:rPr>
        <w:t xml:space="preserve">utilizing </w:t>
      </w:r>
      <w:r>
        <w:rPr>
          <w:bCs/>
          <w:lang w:val="en-US" w:eastAsia="ja-JP"/>
        </w:rPr>
        <w:t xml:space="preserve">the </w:t>
      </w:r>
      <w:r w:rsidR="00EB2D3F">
        <w:rPr>
          <w:bCs/>
          <w:lang w:val="en-US" w:eastAsia="ja-JP"/>
        </w:rPr>
        <w:t xml:space="preserve">PUCCH </w:t>
      </w:r>
      <w:r>
        <w:rPr>
          <w:bCs/>
          <w:lang w:val="en-US" w:eastAsia="ja-JP"/>
        </w:rPr>
        <w:t xml:space="preserve">repetition, it </w:t>
      </w:r>
      <w:r w:rsidR="00DC4437">
        <w:rPr>
          <w:bCs/>
          <w:lang w:val="en-US" w:eastAsia="ja-JP"/>
        </w:rPr>
        <w:t xml:space="preserve">has been </w:t>
      </w:r>
      <w:r>
        <w:rPr>
          <w:bCs/>
          <w:lang w:val="en-US" w:eastAsia="ja-JP"/>
        </w:rPr>
        <w:t xml:space="preserve">recommended to support </w:t>
      </w:r>
      <w:r w:rsidR="00EB2D3F">
        <w:rPr>
          <w:bCs/>
          <w:lang w:val="en-US" w:eastAsia="ja-JP"/>
        </w:rPr>
        <w:t>DMRS bundling across PUCCH repetitions</w:t>
      </w:r>
      <w:r>
        <w:rPr>
          <w:bCs/>
          <w:lang w:val="en-US" w:eastAsia="ja-JP"/>
        </w:rPr>
        <w:t xml:space="preserve">. In order to support </w:t>
      </w:r>
      <w:r w:rsidR="00EB2D3F">
        <w:rPr>
          <w:bCs/>
          <w:lang w:val="en-US" w:eastAsia="ja-JP"/>
        </w:rPr>
        <w:t>DMRS bundling across PUCCH repetitions,</w:t>
      </w:r>
      <w:r>
        <w:rPr>
          <w:bCs/>
          <w:lang w:val="en-US" w:eastAsia="ja-JP"/>
        </w:rPr>
        <w:t xml:space="preserve"> power consistency and phase continuity between PU</w:t>
      </w:r>
      <w:r w:rsidR="00EB2D3F">
        <w:rPr>
          <w:bCs/>
          <w:lang w:val="en-US" w:eastAsia="ja-JP"/>
        </w:rPr>
        <w:t>C</w:t>
      </w:r>
      <w:r>
        <w:rPr>
          <w:bCs/>
          <w:lang w:val="en-US" w:eastAsia="ja-JP"/>
        </w:rPr>
        <w:t xml:space="preserve">CH </w:t>
      </w:r>
      <w:r w:rsidR="00EB2D3F">
        <w:rPr>
          <w:bCs/>
          <w:lang w:val="en-US" w:eastAsia="ja-JP"/>
        </w:rPr>
        <w:t xml:space="preserve">repetitions </w:t>
      </w:r>
      <w:r>
        <w:rPr>
          <w:bCs/>
          <w:lang w:val="en-US" w:eastAsia="ja-JP"/>
        </w:rPr>
        <w:t xml:space="preserve">needs to be ensured. </w:t>
      </w:r>
      <w:r w:rsidR="00A750E8">
        <w:rPr>
          <w:bCs/>
          <w:lang w:val="en-US" w:eastAsia="ja-JP"/>
        </w:rPr>
        <w:t xml:space="preserve">In RAN1#103e, it was agreed to ask RAN4 what conditions UE can keep phase continuity </w:t>
      </w:r>
      <w:r w:rsidR="001B16DF">
        <w:rPr>
          <w:bCs/>
          <w:lang w:val="en-US" w:eastAsia="ja-JP"/>
        </w:rPr>
        <w:t>a</w:t>
      </w:r>
      <w:r w:rsidR="00A750E8">
        <w:rPr>
          <w:bCs/>
          <w:lang w:val="en-US" w:eastAsia="ja-JP"/>
        </w:rPr>
        <w:t xml:space="preserve">cross PUCCH/PUSCH repetitions and power control tolerance level </w:t>
      </w:r>
      <w:r w:rsidR="001B16DF">
        <w:rPr>
          <w:bCs/>
          <w:lang w:val="en-US" w:eastAsia="ja-JP"/>
        </w:rPr>
        <w:t>a</w:t>
      </w:r>
      <w:r w:rsidR="00A750E8">
        <w:rPr>
          <w:bCs/>
          <w:lang w:val="en-US" w:eastAsia="ja-JP"/>
        </w:rPr>
        <w:t xml:space="preserve">cross PUCCH/PUSCH repetitions. </w:t>
      </w:r>
      <w:r w:rsidR="00B75EDF">
        <w:rPr>
          <w:bCs/>
          <w:lang w:val="en-US" w:eastAsia="ja-JP"/>
        </w:rPr>
        <w:t xml:space="preserve">The example condition would be slot boundary, segmentation due to DL symbols or higher priority UL symbols. Although the detailed condition is up to RAN4 discussion/reply, </w:t>
      </w:r>
      <w:r w:rsidR="009B1F12">
        <w:rPr>
          <w:bCs/>
          <w:lang w:val="en-US" w:eastAsia="ja-JP"/>
        </w:rPr>
        <w:t xml:space="preserve">our expectation is at least when the transmission power is not changed </w:t>
      </w:r>
      <w:r w:rsidR="00EB2D3F">
        <w:rPr>
          <w:bCs/>
          <w:lang w:val="en-US" w:eastAsia="ja-JP"/>
        </w:rPr>
        <w:t xml:space="preserve">across </w:t>
      </w:r>
      <w:r w:rsidR="009B1F12">
        <w:rPr>
          <w:bCs/>
          <w:lang w:val="en-US" w:eastAsia="ja-JP"/>
        </w:rPr>
        <w:t>PU</w:t>
      </w:r>
      <w:r w:rsidR="00EB2D3F">
        <w:rPr>
          <w:bCs/>
          <w:lang w:val="en-US" w:eastAsia="ja-JP"/>
        </w:rPr>
        <w:t>C</w:t>
      </w:r>
      <w:r w:rsidR="009B1F12">
        <w:rPr>
          <w:bCs/>
          <w:lang w:val="en-US" w:eastAsia="ja-JP"/>
        </w:rPr>
        <w:t xml:space="preserve">CH </w:t>
      </w:r>
      <w:r w:rsidR="00EB2D3F">
        <w:rPr>
          <w:bCs/>
          <w:lang w:val="en-US" w:eastAsia="ja-JP"/>
        </w:rPr>
        <w:t>repetitions</w:t>
      </w:r>
      <w:r w:rsidR="009B1F12">
        <w:rPr>
          <w:bCs/>
          <w:lang w:val="en-US" w:eastAsia="ja-JP"/>
        </w:rPr>
        <w:t>, phase continuity would be kept with some exception</w:t>
      </w:r>
      <w:r w:rsidR="008A07D6">
        <w:rPr>
          <w:bCs/>
          <w:lang w:val="en-US" w:eastAsia="ja-JP"/>
        </w:rPr>
        <w:t>s such</w:t>
      </w:r>
      <w:r w:rsidR="009B1F12">
        <w:rPr>
          <w:bCs/>
          <w:lang w:val="en-US" w:eastAsia="ja-JP"/>
        </w:rPr>
        <w:t xml:space="preserve"> that there is no DL reception and </w:t>
      </w:r>
      <w:r w:rsidR="001009CB">
        <w:rPr>
          <w:bCs/>
          <w:lang w:val="en-US" w:eastAsia="ja-JP"/>
        </w:rPr>
        <w:t>gap between PUCCH transmissions</w:t>
      </w:r>
      <w:r w:rsidR="009B1F12">
        <w:rPr>
          <w:bCs/>
          <w:lang w:val="en-US" w:eastAsia="ja-JP"/>
        </w:rPr>
        <w:t xml:space="preserve"> is not very long. I</w:t>
      </w:r>
      <w:r w:rsidR="00B75EDF">
        <w:rPr>
          <w:bCs/>
          <w:lang w:val="en-US" w:eastAsia="ja-JP"/>
        </w:rPr>
        <w:t xml:space="preserve">n Rel.13 eMTC/NB-IoT, just not to transmit anything in SRS symbol can be kept phase continuity </w:t>
      </w:r>
      <w:r w:rsidR="00583F73">
        <w:rPr>
          <w:bCs/>
          <w:lang w:val="en-US" w:eastAsia="ja-JP"/>
        </w:rPr>
        <w:t xml:space="preserve">based on the assumptions that </w:t>
      </w:r>
      <w:r w:rsidR="00B75EDF">
        <w:rPr>
          <w:bCs/>
          <w:lang w:val="en-US" w:eastAsia="ja-JP"/>
        </w:rPr>
        <w:t>PA is kept</w:t>
      </w:r>
      <w:r w:rsidR="00476FB0">
        <w:rPr>
          <w:bCs/>
          <w:lang w:val="en-US" w:eastAsia="ja-JP"/>
        </w:rPr>
        <w:t>,</w:t>
      </w:r>
      <w:r w:rsidR="00B75EDF">
        <w:rPr>
          <w:bCs/>
          <w:lang w:val="en-US" w:eastAsia="ja-JP"/>
        </w:rPr>
        <w:t xml:space="preserve"> </w:t>
      </w:r>
      <w:r w:rsidR="00476FB0">
        <w:rPr>
          <w:bCs/>
          <w:lang w:val="en-US" w:eastAsia="ja-JP"/>
        </w:rPr>
        <w:t xml:space="preserve">while </w:t>
      </w:r>
      <w:r w:rsidR="00B75EDF">
        <w:rPr>
          <w:bCs/>
          <w:lang w:val="en-US" w:eastAsia="ja-JP"/>
        </w:rPr>
        <w:t xml:space="preserve">only baseband is off </w:t>
      </w:r>
      <w:r w:rsidR="003C6F53">
        <w:rPr>
          <w:bCs/>
          <w:lang w:val="en-US" w:eastAsia="ja-JP"/>
        </w:rPr>
        <w:t xml:space="preserve">for the reservation of </w:t>
      </w:r>
      <w:r w:rsidR="00542BBF">
        <w:rPr>
          <w:bCs/>
          <w:lang w:val="en-US" w:eastAsia="ja-JP"/>
        </w:rPr>
        <w:t xml:space="preserve">a </w:t>
      </w:r>
      <w:r w:rsidR="00B75EDF">
        <w:rPr>
          <w:bCs/>
          <w:lang w:val="en-US" w:eastAsia="ja-JP"/>
        </w:rPr>
        <w:t>symbol</w:t>
      </w:r>
      <w:r w:rsidR="00542BBF">
        <w:rPr>
          <w:bCs/>
          <w:lang w:val="en-US" w:eastAsia="ja-JP"/>
        </w:rPr>
        <w:t xml:space="preserve"> for SRS transmission from other UEs</w:t>
      </w:r>
      <w:r w:rsidR="00B75EDF">
        <w:rPr>
          <w:bCs/>
          <w:lang w:val="en-US" w:eastAsia="ja-JP"/>
        </w:rPr>
        <w:t xml:space="preserve">. </w:t>
      </w:r>
      <w:r w:rsidR="009B1F12">
        <w:rPr>
          <w:bCs/>
          <w:lang w:val="en-US" w:eastAsia="ja-JP"/>
        </w:rPr>
        <w:t xml:space="preserve">Therefore, the </w:t>
      </w:r>
      <w:r w:rsidR="00EB2D3F">
        <w:rPr>
          <w:bCs/>
          <w:lang w:val="en-US" w:eastAsia="ja-JP"/>
        </w:rPr>
        <w:t xml:space="preserve">DMRS bundling </w:t>
      </w:r>
      <w:r w:rsidR="004C4E49">
        <w:rPr>
          <w:bCs/>
          <w:lang w:val="en-US" w:eastAsia="ja-JP"/>
        </w:rPr>
        <w:t xml:space="preserve">does not mandate </w:t>
      </w:r>
      <w:r w:rsidR="009B1F12" w:rsidRPr="009B1F12">
        <w:rPr>
          <w:bCs/>
          <w:lang w:val="en-US" w:eastAsia="ja-JP"/>
        </w:rPr>
        <w:t>back-to-back transmission</w:t>
      </w:r>
      <w:r w:rsidR="009B1F12">
        <w:rPr>
          <w:bCs/>
          <w:lang w:val="en-US" w:eastAsia="ja-JP"/>
        </w:rPr>
        <w:t xml:space="preserve"> </w:t>
      </w:r>
      <w:r w:rsidR="004C4E49">
        <w:rPr>
          <w:bCs/>
          <w:lang w:val="en-US" w:eastAsia="ja-JP"/>
        </w:rPr>
        <w:t xml:space="preserve">at least when UE transmits </w:t>
      </w:r>
      <w:r w:rsidR="00EB2D3F">
        <w:rPr>
          <w:bCs/>
          <w:lang w:val="en-US" w:eastAsia="ja-JP"/>
        </w:rPr>
        <w:t>PUCCH repetitions across</w:t>
      </w:r>
      <w:r w:rsidR="004C4E49">
        <w:rPr>
          <w:bCs/>
          <w:lang w:val="en-US" w:eastAsia="ja-JP"/>
        </w:rPr>
        <w:t xml:space="preserve"> consecutive slots.</w:t>
      </w:r>
    </w:p>
    <w:p w14:paraId="4EFC4DC7" w14:textId="6748F0D1" w:rsidR="009B1F12" w:rsidRPr="009B1F12" w:rsidRDefault="00B42F48" w:rsidP="009B1F12">
      <w:pPr>
        <w:spacing w:beforeLines="50" w:before="120" w:after="0"/>
        <w:rPr>
          <w:b/>
          <w:lang w:val="en-US" w:eastAsia="ja-JP"/>
        </w:rPr>
      </w:pPr>
      <w:r>
        <w:rPr>
          <w:b/>
          <w:lang w:val="en-US" w:eastAsia="ja-JP"/>
        </w:rPr>
        <w:t xml:space="preserve">Proposal </w:t>
      </w:r>
      <w:r w:rsidR="00A0128C">
        <w:rPr>
          <w:b/>
          <w:lang w:val="en-US" w:eastAsia="ja-JP"/>
        </w:rPr>
        <w:t>2</w:t>
      </w:r>
      <w:r w:rsidR="009B1F12" w:rsidRPr="009B1F12">
        <w:rPr>
          <w:b/>
          <w:lang w:val="en-US" w:eastAsia="ja-JP"/>
        </w:rPr>
        <w:t xml:space="preserve">: </w:t>
      </w:r>
      <w:r w:rsidR="004C4E49">
        <w:rPr>
          <w:b/>
          <w:lang w:val="en-US" w:eastAsia="ja-JP"/>
        </w:rPr>
        <w:t xml:space="preserve">For </w:t>
      </w:r>
      <w:r w:rsidR="00EB2D3F">
        <w:rPr>
          <w:b/>
          <w:lang w:val="en-US" w:eastAsia="ja-JP"/>
        </w:rPr>
        <w:t>DMRS bundling across PUCCH repetitions</w:t>
      </w:r>
      <w:r w:rsidR="004C4E49">
        <w:rPr>
          <w:b/>
          <w:lang w:val="en-US" w:eastAsia="ja-JP"/>
        </w:rPr>
        <w:t>, whether back-to-back transmission is mandated or not is decided based on RAN4 guidance.</w:t>
      </w:r>
    </w:p>
    <w:p w14:paraId="77785A06" w14:textId="7D6B7310" w:rsidR="00752262" w:rsidRPr="00EB2D3F" w:rsidRDefault="00752262" w:rsidP="008D5A1E">
      <w:pPr>
        <w:spacing w:after="0"/>
        <w:rPr>
          <w:bCs/>
          <w:lang w:val="en-US" w:eastAsia="ja-JP"/>
        </w:rPr>
      </w:pPr>
    </w:p>
    <w:p w14:paraId="1E2A2D18" w14:textId="3E65049C" w:rsidR="002B64CE" w:rsidRDefault="002B64CE" w:rsidP="008D5A1E">
      <w:pPr>
        <w:spacing w:after="0"/>
        <w:rPr>
          <w:bCs/>
          <w:lang w:val="en-US" w:eastAsia="ja-JP"/>
        </w:rPr>
      </w:pPr>
      <w:r>
        <w:rPr>
          <w:rFonts w:hint="eastAsia"/>
          <w:bCs/>
          <w:lang w:val="en-US" w:eastAsia="ja-JP"/>
        </w:rPr>
        <w:t>I</w:t>
      </w:r>
      <w:r>
        <w:rPr>
          <w:bCs/>
          <w:lang w:val="en-US" w:eastAsia="ja-JP"/>
        </w:rPr>
        <w:t xml:space="preserve">n Rel.15/16, same DMRS configuration should be used among slots or repetitions. However, same DMRS pattern in every slot/repetition may not be optimal for joint channel estimation </w:t>
      </w:r>
      <w:r w:rsidR="00EB2D3F">
        <w:rPr>
          <w:bCs/>
          <w:lang w:val="en-US" w:eastAsia="ja-JP"/>
        </w:rPr>
        <w:t xml:space="preserve">across </w:t>
      </w:r>
      <w:r>
        <w:rPr>
          <w:bCs/>
          <w:lang w:val="en-US" w:eastAsia="ja-JP"/>
        </w:rPr>
        <w:t>PU</w:t>
      </w:r>
      <w:r w:rsidR="00EB2D3F">
        <w:rPr>
          <w:bCs/>
          <w:lang w:val="en-US" w:eastAsia="ja-JP"/>
        </w:rPr>
        <w:t>C</w:t>
      </w:r>
      <w:r>
        <w:rPr>
          <w:bCs/>
          <w:lang w:val="en-US" w:eastAsia="ja-JP"/>
        </w:rPr>
        <w:t xml:space="preserve">CH </w:t>
      </w:r>
      <w:r w:rsidR="00EB2D3F">
        <w:rPr>
          <w:bCs/>
          <w:lang w:val="en-US" w:eastAsia="ja-JP"/>
        </w:rPr>
        <w:t>repetitions</w:t>
      </w:r>
      <w:r>
        <w:rPr>
          <w:bCs/>
          <w:lang w:val="en-US" w:eastAsia="ja-JP"/>
        </w:rPr>
        <w:t xml:space="preserve">. </w:t>
      </w:r>
      <w:r w:rsidR="00EB2D3F">
        <w:rPr>
          <w:bCs/>
          <w:lang w:val="en-US" w:eastAsia="ja-JP"/>
        </w:rPr>
        <w:t xml:space="preserve">In the discussion on joint channel estimation for PUSCH enhancement, </w:t>
      </w:r>
      <w:r>
        <w:rPr>
          <w:bCs/>
          <w:lang w:val="en-US" w:eastAsia="ja-JP"/>
        </w:rPr>
        <w:t xml:space="preserve">potential optimization of DMRS location/granularity in time domain is </w:t>
      </w:r>
      <w:r w:rsidR="00EB2D3F">
        <w:rPr>
          <w:bCs/>
          <w:lang w:val="en-US" w:eastAsia="ja-JP"/>
        </w:rPr>
        <w:t xml:space="preserve">not precluded. </w:t>
      </w:r>
      <w:r>
        <w:rPr>
          <w:bCs/>
          <w:lang w:val="en-US" w:eastAsia="ja-JP"/>
        </w:rPr>
        <w:t xml:space="preserve">In our previous evaluation </w:t>
      </w:r>
      <w:r w:rsidR="00EB2D3F">
        <w:rPr>
          <w:bCs/>
          <w:lang w:val="en-US" w:eastAsia="ja-JP"/>
        </w:rPr>
        <w:t xml:space="preserve">for PUSCH </w:t>
      </w:r>
      <w:r w:rsidR="00FA2240">
        <w:rPr>
          <w:bCs/>
          <w:lang w:val="en-US" w:eastAsia="ja-JP"/>
        </w:rPr>
        <w:t xml:space="preserve">[2], </w:t>
      </w:r>
      <w:r>
        <w:rPr>
          <w:bCs/>
          <w:lang w:val="en-US" w:eastAsia="ja-JP"/>
        </w:rPr>
        <w:t xml:space="preserve">it was observed that </w:t>
      </w:r>
      <w:r w:rsidR="00FA2240">
        <w:rPr>
          <w:bCs/>
          <w:lang w:val="en-US" w:eastAsia="ja-JP"/>
        </w:rPr>
        <w:t xml:space="preserve">for joint channel estimation over multiple slots, DMRS distribution over the multiple slots is important for the trackability to channel variation to provide </w:t>
      </w:r>
      <w:r w:rsidR="00FA2240">
        <w:rPr>
          <w:bCs/>
          <w:lang w:val="en-US" w:eastAsia="ja-JP"/>
        </w:rPr>
        <w:lastRenderedPageBreak/>
        <w:t xml:space="preserve">good averaging and interpolation effect. Although optimization of DMRS location/granularity is beneficial, to study the additional DMRS pattern for the </w:t>
      </w:r>
      <w:r w:rsidR="00A0128C">
        <w:rPr>
          <w:bCs/>
          <w:lang w:val="en-US" w:eastAsia="ja-JP"/>
        </w:rPr>
        <w:t xml:space="preserve">PUCCH repetitions </w:t>
      </w:r>
      <w:r w:rsidR="00FA2240">
        <w:rPr>
          <w:bCs/>
          <w:lang w:val="en-US" w:eastAsia="ja-JP"/>
        </w:rPr>
        <w:t xml:space="preserve">would need much specification effort. Therefore, optimization of DMRS location/granularity should be specified </w:t>
      </w:r>
      <w:r w:rsidR="000E0939">
        <w:rPr>
          <w:bCs/>
          <w:lang w:val="en-US" w:eastAsia="ja-JP"/>
        </w:rPr>
        <w:t xml:space="preserve">only </w:t>
      </w:r>
      <w:r w:rsidR="00FA2240">
        <w:rPr>
          <w:bCs/>
          <w:lang w:val="en-US" w:eastAsia="ja-JP"/>
        </w:rPr>
        <w:t>if the significant gain is identified</w:t>
      </w:r>
      <w:r w:rsidR="00B42F48">
        <w:rPr>
          <w:bCs/>
          <w:lang w:val="en-US" w:eastAsia="ja-JP"/>
        </w:rPr>
        <w:t>.</w:t>
      </w:r>
    </w:p>
    <w:p w14:paraId="728ECDDC" w14:textId="0DFD327C" w:rsidR="00B42F48" w:rsidRPr="009B1F12" w:rsidRDefault="00B42F48" w:rsidP="00B42F48">
      <w:pPr>
        <w:spacing w:beforeLines="50" w:before="120" w:after="0"/>
        <w:rPr>
          <w:b/>
          <w:lang w:val="en-US" w:eastAsia="ja-JP"/>
        </w:rPr>
      </w:pPr>
      <w:r>
        <w:rPr>
          <w:b/>
          <w:lang w:val="en-US" w:eastAsia="ja-JP"/>
        </w:rPr>
        <w:t xml:space="preserve">Proposal </w:t>
      </w:r>
      <w:r w:rsidR="00A0128C">
        <w:rPr>
          <w:b/>
          <w:lang w:val="en-US" w:eastAsia="ja-JP"/>
        </w:rPr>
        <w:t>3</w:t>
      </w:r>
      <w:r w:rsidRPr="009B1F12">
        <w:rPr>
          <w:b/>
          <w:lang w:val="en-US" w:eastAsia="ja-JP"/>
        </w:rPr>
        <w:t xml:space="preserve">: </w:t>
      </w:r>
      <w:r>
        <w:rPr>
          <w:b/>
          <w:lang w:val="en-US" w:eastAsia="ja-JP"/>
        </w:rPr>
        <w:t xml:space="preserve">Optimization of DMRS location/granularity should be specified </w:t>
      </w:r>
      <w:r w:rsidR="000E0939">
        <w:rPr>
          <w:b/>
          <w:lang w:val="en-US" w:eastAsia="ja-JP"/>
        </w:rPr>
        <w:t xml:space="preserve">only </w:t>
      </w:r>
      <w:r>
        <w:rPr>
          <w:b/>
          <w:lang w:val="en-US" w:eastAsia="ja-JP"/>
        </w:rPr>
        <w:t>if the significant gain is identified.</w:t>
      </w:r>
    </w:p>
    <w:p w14:paraId="1DEEB2CD" w14:textId="55DCD4CF" w:rsidR="00B42F48" w:rsidRDefault="00B42F48" w:rsidP="008D5A1E">
      <w:pPr>
        <w:spacing w:after="0"/>
        <w:rPr>
          <w:bCs/>
          <w:lang w:val="en-US" w:eastAsia="ja-JP"/>
        </w:rPr>
      </w:pPr>
    </w:p>
    <w:p w14:paraId="13DCFC5E" w14:textId="3AC39425" w:rsidR="00B42F48" w:rsidRPr="00B42F48" w:rsidRDefault="00B42F48" w:rsidP="008D5A1E">
      <w:pPr>
        <w:spacing w:after="0"/>
        <w:rPr>
          <w:bCs/>
          <w:lang w:val="en-US" w:eastAsia="ja-JP"/>
        </w:rPr>
      </w:pPr>
      <w:r>
        <w:rPr>
          <w:bCs/>
          <w:lang w:val="en-US" w:eastAsia="ja-JP"/>
        </w:rPr>
        <w:t>How to enable DMRS bundling and how to signal the length of DMRS bundling</w:t>
      </w:r>
      <w:r w:rsidR="00662E23">
        <w:rPr>
          <w:bCs/>
          <w:lang w:val="en-US" w:eastAsia="ja-JP"/>
        </w:rPr>
        <w:t>, i.e., the number of PUCCH repetitions for joint channel estimation,</w:t>
      </w:r>
      <w:r>
        <w:rPr>
          <w:bCs/>
          <w:lang w:val="en-US" w:eastAsia="ja-JP"/>
        </w:rPr>
        <w:t xml:space="preserve"> should also be specified. In addition, </w:t>
      </w:r>
      <w:r w:rsidR="00A32EFC">
        <w:rPr>
          <w:bCs/>
          <w:lang w:val="en-US" w:eastAsia="ja-JP"/>
        </w:rPr>
        <w:t xml:space="preserve">a combination of </w:t>
      </w:r>
      <w:r>
        <w:rPr>
          <w:lang w:eastAsia="ja-JP"/>
        </w:rPr>
        <w:t xml:space="preserve">inter-slot frequency hopping with inter-slot bundling </w:t>
      </w:r>
      <w:r w:rsidR="00115E26">
        <w:rPr>
          <w:lang w:eastAsia="ja-JP"/>
        </w:rPr>
        <w:t xml:space="preserve">for enabling </w:t>
      </w:r>
      <w:r>
        <w:rPr>
          <w:lang w:eastAsia="ja-JP"/>
        </w:rPr>
        <w:t>joint channel estimation is also considered</w:t>
      </w:r>
      <w:r w:rsidR="00A0128C">
        <w:rPr>
          <w:lang w:eastAsia="ja-JP"/>
        </w:rPr>
        <w:t>.</w:t>
      </w:r>
      <w:r>
        <w:rPr>
          <w:lang w:eastAsia="ja-JP"/>
        </w:rPr>
        <w:t xml:space="preserve"> In order to allow joint channel estimation, PRB position should be the same during at least the period of joint channel estimation. In eMTC. the period of joint channel estimation and the period of inter-slot frequency hopping are cell level configuration. However, in NR, it would be difficult to use cell level configuration as more flexibility would be required.</w:t>
      </w:r>
    </w:p>
    <w:p w14:paraId="000AFA6B" w14:textId="06BB3A4E" w:rsidR="00B42F48" w:rsidRDefault="00B42F48" w:rsidP="00B42F48">
      <w:pPr>
        <w:spacing w:beforeLines="50" w:before="120" w:after="0"/>
        <w:rPr>
          <w:b/>
          <w:lang w:val="en-US" w:eastAsia="ja-JP"/>
        </w:rPr>
      </w:pPr>
      <w:r>
        <w:rPr>
          <w:b/>
          <w:lang w:val="en-US" w:eastAsia="ja-JP"/>
        </w:rPr>
        <w:t xml:space="preserve">Proposal </w:t>
      </w:r>
      <w:r w:rsidR="00A0128C">
        <w:rPr>
          <w:b/>
          <w:lang w:val="en-US" w:eastAsia="ja-JP"/>
        </w:rPr>
        <w:t>4</w:t>
      </w:r>
      <w:r w:rsidRPr="009B1F12">
        <w:rPr>
          <w:b/>
          <w:lang w:val="en-US" w:eastAsia="ja-JP"/>
        </w:rPr>
        <w:t xml:space="preserve">: </w:t>
      </w:r>
      <w:r w:rsidR="00F073A8">
        <w:rPr>
          <w:b/>
          <w:lang w:val="en-US" w:eastAsia="ja-JP"/>
        </w:rPr>
        <w:t>The length of DMRS bundling</w:t>
      </w:r>
      <w:r w:rsidR="00662E23">
        <w:rPr>
          <w:b/>
          <w:lang w:val="en-US" w:eastAsia="ja-JP"/>
        </w:rPr>
        <w:t>, i.e., the number of PUCCH repetitions for joint channel estimation</w:t>
      </w:r>
      <w:r w:rsidR="00F073A8">
        <w:rPr>
          <w:b/>
          <w:lang w:val="en-US" w:eastAsia="ja-JP"/>
        </w:rPr>
        <w:t xml:space="preserve"> and the period of inter-slot frequency hopping can be the same.</w:t>
      </w:r>
    </w:p>
    <w:p w14:paraId="680B8CCA" w14:textId="57B87A75" w:rsidR="002C1C24" w:rsidRPr="00F073A8" w:rsidRDefault="00F073A8" w:rsidP="00F073A8">
      <w:pPr>
        <w:spacing w:beforeLines="50" w:before="120" w:after="0"/>
        <w:rPr>
          <w:b/>
          <w:lang w:val="en-US" w:eastAsia="ja-JP"/>
        </w:rPr>
      </w:pPr>
      <w:r>
        <w:rPr>
          <w:rFonts w:hint="eastAsia"/>
          <w:b/>
          <w:lang w:val="en-US" w:eastAsia="ja-JP"/>
        </w:rPr>
        <w:t>P</w:t>
      </w:r>
      <w:r>
        <w:rPr>
          <w:b/>
          <w:lang w:val="en-US" w:eastAsia="ja-JP"/>
        </w:rPr>
        <w:t xml:space="preserve">roposal </w:t>
      </w:r>
      <w:r w:rsidR="00A0128C">
        <w:rPr>
          <w:b/>
          <w:lang w:val="en-US" w:eastAsia="ja-JP"/>
        </w:rPr>
        <w:t>5</w:t>
      </w:r>
      <w:r>
        <w:rPr>
          <w:b/>
          <w:lang w:val="en-US" w:eastAsia="ja-JP"/>
        </w:rPr>
        <w:t xml:space="preserve">: The indication to enable DMRS bundling and the length of DMRS bundling </w:t>
      </w:r>
      <w:r w:rsidR="007461CC">
        <w:rPr>
          <w:b/>
          <w:lang w:val="en-US" w:eastAsia="ja-JP"/>
        </w:rPr>
        <w:t xml:space="preserve">are </w:t>
      </w:r>
      <w:r>
        <w:rPr>
          <w:b/>
          <w:lang w:val="en-US" w:eastAsia="ja-JP"/>
        </w:rPr>
        <w:t>UE-specific configuration.</w:t>
      </w:r>
    </w:p>
    <w:p w14:paraId="744EC606" w14:textId="6B429C4A" w:rsidR="00A41152" w:rsidRDefault="00A41152" w:rsidP="00A41152">
      <w:pPr>
        <w:pStyle w:val="1"/>
        <w:tabs>
          <w:tab w:val="num" w:pos="426"/>
        </w:tabs>
        <w:ind w:left="426" w:hanging="426"/>
        <w:rPr>
          <w:lang w:val="en-US" w:eastAsia="ja-JP"/>
        </w:rPr>
      </w:pPr>
      <w:r>
        <w:rPr>
          <w:lang w:val="en-US" w:eastAsia="ja-JP"/>
        </w:rPr>
        <w:t>Link-level simulation</w:t>
      </w:r>
    </w:p>
    <w:p w14:paraId="3277541E" w14:textId="16B7A168" w:rsidR="00F03593" w:rsidRDefault="00FA78D1" w:rsidP="00D13BC4">
      <w:pPr>
        <w:spacing w:after="0"/>
        <w:rPr>
          <w:bCs/>
          <w:lang w:eastAsia="ja-JP"/>
        </w:rPr>
      </w:pPr>
      <w:r w:rsidRPr="00FA78D1">
        <w:rPr>
          <w:rFonts w:hint="eastAsia"/>
          <w:bCs/>
          <w:lang w:eastAsia="ja-JP"/>
        </w:rPr>
        <w:t>F</w:t>
      </w:r>
      <w:r w:rsidRPr="00FA78D1">
        <w:rPr>
          <w:bCs/>
          <w:lang w:eastAsia="ja-JP"/>
        </w:rPr>
        <w:t xml:space="preserve">igure </w:t>
      </w:r>
      <w:r>
        <w:rPr>
          <w:bCs/>
          <w:lang w:eastAsia="ja-JP"/>
        </w:rPr>
        <w:t>1 shows the BLER performance of PU</w:t>
      </w:r>
      <w:r w:rsidR="00902150">
        <w:rPr>
          <w:bCs/>
          <w:lang w:eastAsia="ja-JP"/>
        </w:rPr>
        <w:t>C</w:t>
      </w:r>
      <w:r>
        <w:rPr>
          <w:bCs/>
          <w:lang w:eastAsia="ja-JP"/>
        </w:rPr>
        <w:t xml:space="preserve">CH repetition with </w:t>
      </w:r>
      <w:r w:rsidR="00DD1662">
        <w:rPr>
          <w:bCs/>
          <w:lang w:eastAsia="ja-JP"/>
        </w:rPr>
        <w:t xml:space="preserve">enabled </w:t>
      </w:r>
      <w:r w:rsidR="001E58F1">
        <w:rPr>
          <w:bCs/>
          <w:lang w:eastAsia="ja-JP"/>
        </w:rPr>
        <w:t>and</w:t>
      </w:r>
      <w:r w:rsidR="00DD1662">
        <w:rPr>
          <w:bCs/>
          <w:lang w:eastAsia="ja-JP"/>
        </w:rPr>
        <w:t xml:space="preserve"> disabled </w:t>
      </w:r>
      <w:r>
        <w:rPr>
          <w:bCs/>
          <w:lang w:eastAsia="ja-JP"/>
        </w:rPr>
        <w:t xml:space="preserve">DMRS bundling. </w:t>
      </w:r>
      <w:r w:rsidR="00902150">
        <w:rPr>
          <w:bCs/>
          <w:lang w:eastAsia="ja-JP"/>
        </w:rPr>
        <w:t>T</w:t>
      </w:r>
      <w:r>
        <w:rPr>
          <w:bCs/>
          <w:lang w:eastAsia="ja-JP"/>
        </w:rPr>
        <w:t xml:space="preserve">he length of DMRS bundling is same </w:t>
      </w:r>
      <w:r w:rsidR="00902150">
        <w:rPr>
          <w:bCs/>
          <w:lang w:eastAsia="ja-JP"/>
        </w:rPr>
        <w:t xml:space="preserve">as the number of repetitions. </w:t>
      </w:r>
      <w:r>
        <w:rPr>
          <w:bCs/>
          <w:lang w:eastAsia="ja-JP"/>
        </w:rPr>
        <w:t>The detailed parameters for link level simulation are listed in the Appendix A.</w:t>
      </w:r>
      <w:r w:rsidR="00C70425">
        <w:rPr>
          <w:bCs/>
          <w:lang w:eastAsia="ja-JP"/>
        </w:rPr>
        <w:t xml:space="preserve"> </w:t>
      </w:r>
      <w:r w:rsidR="00662E23">
        <w:rPr>
          <w:bCs/>
          <w:lang w:eastAsia="ja-JP"/>
        </w:rPr>
        <w:t xml:space="preserve">In this evaluation, DTX detection is </w:t>
      </w:r>
      <w:r w:rsidR="005B1D54">
        <w:rPr>
          <w:bCs/>
          <w:lang w:eastAsia="ja-JP"/>
        </w:rPr>
        <w:t xml:space="preserve">not </w:t>
      </w:r>
      <w:r w:rsidR="00662E23">
        <w:rPr>
          <w:bCs/>
          <w:lang w:eastAsia="ja-JP"/>
        </w:rPr>
        <w:t xml:space="preserve">taken into account. </w:t>
      </w:r>
      <w:r w:rsidR="00C70425">
        <w:rPr>
          <w:bCs/>
          <w:lang w:eastAsia="ja-JP"/>
        </w:rPr>
        <w:t>Table 1 summarizes the required SNR for achieving BLER=10</w:t>
      </w:r>
      <w:r w:rsidR="00C70425" w:rsidRPr="00C70425">
        <w:rPr>
          <w:bCs/>
          <w:vertAlign w:val="superscript"/>
          <w:lang w:eastAsia="ja-JP"/>
        </w:rPr>
        <w:t>-</w:t>
      </w:r>
      <w:r w:rsidR="00902150">
        <w:rPr>
          <w:bCs/>
          <w:vertAlign w:val="superscript"/>
          <w:lang w:eastAsia="ja-JP"/>
        </w:rPr>
        <w:t>2</w:t>
      </w:r>
      <w:r w:rsidR="00C70425">
        <w:rPr>
          <w:bCs/>
          <w:lang w:eastAsia="ja-JP"/>
        </w:rPr>
        <w:t xml:space="preserve">. It was observed that DMRS bundling can achieve </w:t>
      </w:r>
      <w:r w:rsidR="006234D7">
        <w:rPr>
          <w:bCs/>
          <w:lang w:eastAsia="ja-JP"/>
        </w:rPr>
        <w:t xml:space="preserve">an improvement of </w:t>
      </w:r>
      <w:r w:rsidR="00C70425">
        <w:rPr>
          <w:lang w:val="en-US" w:eastAsia="ja-JP"/>
        </w:rPr>
        <w:t>0.</w:t>
      </w:r>
      <w:r w:rsidR="00A65AC2">
        <w:rPr>
          <w:lang w:val="en-US" w:eastAsia="ja-JP"/>
        </w:rPr>
        <w:t>7</w:t>
      </w:r>
      <w:r w:rsidR="00C70425">
        <w:rPr>
          <w:lang w:val="en-US" w:eastAsia="ja-JP"/>
        </w:rPr>
        <w:t>~</w:t>
      </w:r>
      <w:r w:rsidR="00A65AC2">
        <w:rPr>
          <w:lang w:val="en-US" w:eastAsia="ja-JP"/>
        </w:rPr>
        <w:t>3.4</w:t>
      </w:r>
      <w:r w:rsidR="00C70425">
        <w:rPr>
          <w:lang w:val="en-US" w:eastAsia="ja-JP"/>
        </w:rPr>
        <w:t xml:space="preserve"> dB gain compared to </w:t>
      </w:r>
      <w:r w:rsidR="00A65AC2">
        <w:rPr>
          <w:lang w:val="en-US" w:eastAsia="ja-JP"/>
        </w:rPr>
        <w:t>Rel.15 PUCCH repetition (i.e., without DMRS bundling)</w:t>
      </w:r>
      <w:r w:rsidR="00C70425">
        <w:rPr>
          <w:lang w:val="en-US" w:eastAsia="ja-JP"/>
        </w:rPr>
        <w:t>.</w:t>
      </w:r>
    </w:p>
    <w:p w14:paraId="7E441BCD" w14:textId="60252AC4" w:rsidR="002A75BE" w:rsidRDefault="002A75BE" w:rsidP="002A75BE">
      <w:pPr>
        <w:spacing w:beforeLines="50" w:before="120" w:after="0"/>
        <w:jc w:val="center"/>
        <w:rPr>
          <w:vertAlign w:val="superscript"/>
          <w:lang w:val="en-US" w:eastAsia="ja-JP"/>
        </w:rPr>
      </w:pPr>
      <w:r>
        <w:rPr>
          <w:bCs/>
          <w:lang w:eastAsia="ja-JP"/>
        </w:rPr>
        <w:t xml:space="preserve">Table 1: </w:t>
      </w:r>
      <w:r>
        <w:rPr>
          <w:lang w:val="en-US" w:eastAsia="ja-JP"/>
        </w:rPr>
        <w:t>Required SNR for achieving BLER=10</w:t>
      </w:r>
      <w:r>
        <w:rPr>
          <w:vertAlign w:val="superscript"/>
          <w:lang w:val="en-US" w:eastAsia="ja-JP"/>
        </w:rPr>
        <w:t>-</w:t>
      </w:r>
      <w:r w:rsidR="00902150">
        <w:rPr>
          <w:vertAlign w:val="superscript"/>
          <w:lang w:val="en-US" w:eastAsia="ja-JP"/>
        </w:rPr>
        <w:t>2</w:t>
      </w:r>
    </w:p>
    <w:tbl>
      <w:tblPr>
        <w:tblStyle w:val="af9"/>
        <w:tblW w:w="0" w:type="auto"/>
        <w:jc w:val="center"/>
        <w:tblLook w:val="04A0" w:firstRow="1" w:lastRow="0" w:firstColumn="1" w:lastColumn="0" w:noHBand="0" w:noVBand="1"/>
      </w:tblPr>
      <w:tblGrid>
        <w:gridCol w:w="2551"/>
        <w:gridCol w:w="954"/>
        <w:gridCol w:w="953"/>
        <w:gridCol w:w="953"/>
        <w:gridCol w:w="953"/>
        <w:gridCol w:w="953"/>
        <w:gridCol w:w="953"/>
      </w:tblGrid>
      <w:tr w:rsidR="00902150" w14:paraId="50EABF73" w14:textId="79A63F03" w:rsidTr="00A94A6A">
        <w:trPr>
          <w:jc w:val="center"/>
        </w:trPr>
        <w:tc>
          <w:tcPr>
            <w:tcW w:w="2551" w:type="dxa"/>
            <w:tcBorders>
              <w:top w:val="single" w:sz="4" w:space="0" w:color="auto"/>
              <w:left w:val="single" w:sz="4" w:space="0" w:color="auto"/>
              <w:bottom w:val="single" w:sz="4" w:space="0" w:color="auto"/>
              <w:right w:val="single" w:sz="4" w:space="0" w:color="auto"/>
            </w:tcBorders>
            <w:hideMark/>
          </w:tcPr>
          <w:p w14:paraId="15EB7FBC" w14:textId="77777777" w:rsidR="00902150" w:rsidRDefault="00902150">
            <w:pPr>
              <w:spacing w:after="0"/>
              <w:jc w:val="center"/>
              <w:rPr>
                <w:bCs/>
                <w:lang w:eastAsia="ja-JP"/>
              </w:rPr>
            </w:pPr>
            <w:r>
              <w:rPr>
                <w:bCs/>
                <w:lang w:eastAsia="ja-JP"/>
              </w:rPr>
              <w:t>Number of repetitions</w:t>
            </w:r>
          </w:p>
        </w:tc>
        <w:tc>
          <w:tcPr>
            <w:tcW w:w="1907" w:type="dxa"/>
            <w:gridSpan w:val="2"/>
            <w:tcBorders>
              <w:top w:val="single" w:sz="4" w:space="0" w:color="auto"/>
              <w:left w:val="single" w:sz="4" w:space="0" w:color="auto"/>
              <w:bottom w:val="single" w:sz="4" w:space="0" w:color="auto"/>
              <w:right w:val="single" w:sz="4" w:space="0" w:color="auto"/>
            </w:tcBorders>
            <w:hideMark/>
          </w:tcPr>
          <w:p w14:paraId="60DAD42A" w14:textId="78AB1D40" w:rsidR="00902150" w:rsidRDefault="00902150" w:rsidP="002A75BE">
            <w:pPr>
              <w:spacing w:after="0"/>
              <w:jc w:val="center"/>
              <w:rPr>
                <w:bCs/>
                <w:lang w:eastAsia="ja-JP"/>
              </w:rPr>
            </w:pPr>
            <w:r>
              <w:rPr>
                <w:bCs/>
                <w:lang w:eastAsia="ja-JP"/>
              </w:rPr>
              <w:t>2</w:t>
            </w:r>
          </w:p>
        </w:tc>
        <w:tc>
          <w:tcPr>
            <w:tcW w:w="1906" w:type="dxa"/>
            <w:gridSpan w:val="2"/>
            <w:tcBorders>
              <w:top w:val="single" w:sz="4" w:space="0" w:color="auto"/>
              <w:left w:val="single" w:sz="4" w:space="0" w:color="auto"/>
              <w:bottom w:val="single" w:sz="4" w:space="0" w:color="auto"/>
              <w:right w:val="single" w:sz="4" w:space="0" w:color="auto"/>
            </w:tcBorders>
            <w:hideMark/>
          </w:tcPr>
          <w:p w14:paraId="1207D107" w14:textId="013542B0" w:rsidR="00902150" w:rsidRDefault="00902150" w:rsidP="002A75BE">
            <w:pPr>
              <w:spacing w:after="0"/>
              <w:jc w:val="center"/>
              <w:rPr>
                <w:bCs/>
                <w:lang w:eastAsia="ja-JP"/>
              </w:rPr>
            </w:pPr>
            <w:r>
              <w:rPr>
                <w:bCs/>
                <w:lang w:eastAsia="ja-JP"/>
              </w:rPr>
              <w:t>4</w:t>
            </w:r>
          </w:p>
        </w:tc>
        <w:tc>
          <w:tcPr>
            <w:tcW w:w="1906" w:type="dxa"/>
            <w:gridSpan w:val="2"/>
            <w:tcBorders>
              <w:top w:val="single" w:sz="4" w:space="0" w:color="auto"/>
              <w:left w:val="single" w:sz="4" w:space="0" w:color="auto"/>
              <w:bottom w:val="single" w:sz="4" w:space="0" w:color="auto"/>
              <w:right w:val="single" w:sz="4" w:space="0" w:color="auto"/>
            </w:tcBorders>
          </w:tcPr>
          <w:p w14:paraId="79CC43EE" w14:textId="7763AB9C" w:rsidR="00902150" w:rsidRDefault="00902150" w:rsidP="002A75BE">
            <w:pPr>
              <w:spacing w:after="0"/>
              <w:jc w:val="center"/>
              <w:rPr>
                <w:bCs/>
                <w:lang w:eastAsia="ja-JP"/>
              </w:rPr>
            </w:pPr>
            <w:r>
              <w:rPr>
                <w:rFonts w:hint="eastAsia"/>
                <w:bCs/>
                <w:lang w:eastAsia="ja-JP"/>
              </w:rPr>
              <w:t>8</w:t>
            </w:r>
          </w:p>
        </w:tc>
      </w:tr>
      <w:tr w:rsidR="00902150" w14:paraId="64D8721B" w14:textId="2C570CC1" w:rsidTr="00D8799D">
        <w:trPr>
          <w:jc w:val="center"/>
        </w:trPr>
        <w:tc>
          <w:tcPr>
            <w:tcW w:w="2551" w:type="dxa"/>
            <w:tcBorders>
              <w:top w:val="single" w:sz="4" w:space="0" w:color="auto"/>
              <w:left w:val="single" w:sz="4" w:space="0" w:color="auto"/>
              <w:bottom w:val="single" w:sz="4" w:space="0" w:color="auto"/>
              <w:right w:val="single" w:sz="4" w:space="0" w:color="auto"/>
            </w:tcBorders>
          </w:tcPr>
          <w:p w14:paraId="72AAB7C5" w14:textId="24EBC453" w:rsidR="00902150" w:rsidRDefault="00902150" w:rsidP="00902150">
            <w:pPr>
              <w:spacing w:after="0"/>
              <w:jc w:val="center"/>
              <w:rPr>
                <w:bCs/>
                <w:lang w:eastAsia="ja-JP"/>
              </w:rPr>
            </w:pPr>
            <w:r>
              <w:rPr>
                <w:bCs/>
                <w:lang w:eastAsia="ja-JP"/>
              </w:rPr>
              <w:t>DMRS bundling</w:t>
            </w:r>
          </w:p>
        </w:tc>
        <w:tc>
          <w:tcPr>
            <w:tcW w:w="954" w:type="dxa"/>
            <w:tcBorders>
              <w:top w:val="single" w:sz="4" w:space="0" w:color="auto"/>
              <w:left w:val="single" w:sz="4" w:space="0" w:color="auto"/>
              <w:bottom w:val="single" w:sz="4" w:space="0" w:color="auto"/>
              <w:right w:val="single" w:sz="4" w:space="0" w:color="auto"/>
            </w:tcBorders>
          </w:tcPr>
          <w:p w14:paraId="1A58E546" w14:textId="19F51161" w:rsidR="00902150" w:rsidRDefault="00902150" w:rsidP="00902150">
            <w:pPr>
              <w:spacing w:after="0"/>
              <w:jc w:val="center"/>
              <w:rPr>
                <w:bCs/>
                <w:lang w:eastAsia="ja-JP"/>
              </w:rPr>
            </w:pPr>
            <w:r>
              <w:rPr>
                <w:rFonts w:hint="eastAsia"/>
                <w:bCs/>
                <w:lang w:eastAsia="ja-JP"/>
              </w:rPr>
              <w:t>E</w:t>
            </w:r>
            <w:r>
              <w:rPr>
                <w:bCs/>
                <w:lang w:eastAsia="ja-JP"/>
              </w:rPr>
              <w:t>nabled</w:t>
            </w:r>
          </w:p>
        </w:tc>
        <w:tc>
          <w:tcPr>
            <w:tcW w:w="953" w:type="dxa"/>
            <w:tcBorders>
              <w:top w:val="single" w:sz="4" w:space="0" w:color="auto"/>
              <w:left w:val="single" w:sz="4" w:space="0" w:color="auto"/>
              <w:bottom w:val="single" w:sz="4" w:space="0" w:color="auto"/>
              <w:right w:val="single" w:sz="4" w:space="0" w:color="auto"/>
            </w:tcBorders>
          </w:tcPr>
          <w:p w14:paraId="5F6066B3" w14:textId="333D44DE" w:rsidR="00902150" w:rsidRDefault="00902150" w:rsidP="00902150">
            <w:pPr>
              <w:spacing w:after="0"/>
              <w:jc w:val="center"/>
              <w:rPr>
                <w:bCs/>
                <w:lang w:eastAsia="ja-JP"/>
              </w:rPr>
            </w:pPr>
            <w:r>
              <w:rPr>
                <w:rFonts w:hint="eastAsia"/>
                <w:bCs/>
                <w:lang w:eastAsia="ja-JP"/>
              </w:rPr>
              <w:t>D</w:t>
            </w:r>
            <w:r>
              <w:rPr>
                <w:bCs/>
                <w:lang w:eastAsia="ja-JP"/>
              </w:rPr>
              <w:t>isabled</w:t>
            </w:r>
          </w:p>
        </w:tc>
        <w:tc>
          <w:tcPr>
            <w:tcW w:w="953" w:type="dxa"/>
            <w:tcBorders>
              <w:top w:val="single" w:sz="4" w:space="0" w:color="auto"/>
              <w:left w:val="single" w:sz="4" w:space="0" w:color="auto"/>
              <w:bottom w:val="single" w:sz="4" w:space="0" w:color="auto"/>
              <w:right w:val="single" w:sz="4" w:space="0" w:color="auto"/>
            </w:tcBorders>
          </w:tcPr>
          <w:p w14:paraId="1050CAAE" w14:textId="2BDDFCE0" w:rsidR="00902150" w:rsidRDefault="00902150" w:rsidP="00902150">
            <w:pPr>
              <w:spacing w:after="0"/>
              <w:jc w:val="center"/>
              <w:rPr>
                <w:bCs/>
                <w:lang w:eastAsia="ja-JP"/>
              </w:rPr>
            </w:pPr>
            <w:r>
              <w:rPr>
                <w:rFonts w:hint="eastAsia"/>
                <w:bCs/>
                <w:lang w:eastAsia="ja-JP"/>
              </w:rPr>
              <w:t>E</w:t>
            </w:r>
            <w:r>
              <w:rPr>
                <w:bCs/>
                <w:lang w:eastAsia="ja-JP"/>
              </w:rPr>
              <w:t>nabled</w:t>
            </w:r>
          </w:p>
        </w:tc>
        <w:tc>
          <w:tcPr>
            <w:tcW w:w="953" w:type="dxa"/>
            <w:tcBorders>
              <w:top w:val="single" w:sz="4" w:space="0" w:color="auto"/>
              <w:left w:val="single" w:sz="4" w:space="0" w:color="auto"/>
              <w:bottom w:val="single" w:sz="4" w:space="0" w:color="auto"/>
              <w:right w:val="single" w:sz="4" w:space="0" w:color="auto"/>
            </w:tcBorders>
          </w:tcPr>
          <w:p w14:paraId="067C2D09" w14:textId="5AFF7AB1" w:rsidR="00902150" w:rsidRDefault="00902150" w:rsidP="00902150">
            <w:pPr>
              <w:spacing w:after="0"/>
              <w:jc w:val="center"/>
              <w:rPr>
                <w:bCs/>
                <w:lang w:eastAsia="ja-JP"/>
              </w:rPr>
            </w:pPr>
            <w:r>
              <w:rPr>
                <w:rFonts w:hint="eastAsia"/>
                <w:bCs/>
                <w:lang w:eastAsia="ja-JP"/>
              </w:rPr>
              <w:t>D</w:t>
            </w:r>
            <w:r>
              <w:rPr>
                <w:bCs/>
                <w:lang w:eastAsia="ja-JP"/>
              </w:rPr>
              <w:t>isabled</w:t>
            </w:r>
          </w:p>
        </w:tc>
        <w:tc>
          <w:tcPr>
            <w:tcW w:w="953" w:type="dxa"/>
            <w:tcBorders>
              <w:top w:val="single" w:sz="4" w:space="0" w:color="auto"/>
              <w:left w:val="single" w:sz="4" w:space="0" w:color="auto"/>
              <w:right w:val="single" w:sz="4" w:space="0" w:color="auto"/>
            </w:tcBorders>
          </w:tcPr>
          <w:p w14:paraId="0BA405C3" w14:textId="11D838BD" w:rsidR="00902150" w:rsidRDefault="00902150" w:rsidP="00902150">
            <w:pPr>
              <w:spacing w:after="0"/>
              <w:jc w:val="center"/>
              <w:rPr>
                <w:bCs/>
                <w:lang w:eastAsia="ja-JP"/>
              </w:rPr>
            </w:pPr>
            <w:r>
              <w:rPr>
                <w:rFonts w:hint="eastAsia"/>
                <w:bCs/>
                <w:lang w:eastAsia="ja-JP"/>
              </w:rPr>
              <w:t>E</w:t>
            </w:r>
            <w:r>
              <w:rPr>
                <w:bCs/>
                <w:lang w:eastAsia="ja-JP"/>
              </w:rPr>
              <w:t>nabled</w:t>
            </w:r>
          </w:p>
        </w:tc>
        <w:tc>
          <w:tcPr>
            <w:tcW w:w="953" w:type="dxa"/>
            <w:tcBorders>
              <w:top w:val="single" w:sz="4" w:space="0" w:color="auto"/>
              <w:left w:val="single" w:sz="4" w:space="0" w:color="auto"/>
              <w:right w:val="single" w:sz="4" w:space="0" w:color="auto"/>
            </w:tcBorders>
          </w:tcPr>
          <w:p w14:paraId="2291155E" w14:textId="2F05543F" w:rsidR="00902150" w:rsidRDefault="00902150" w:rsidP="00902150">
            <w:pPr>
              <w:spacing w:after="0"/>
              <w:jc w:val="center"/>
              <w:rPr>
                <w:bCs/>
                <w:lang w:eastAsia="ja-JP"/>
              </w:rPr>
            </w:pPr>
            <w:r>
              <w:rPr>
                <w:rFonts w:hint="eastAsia"/>
                <w:bCs/>
                <w:lang w:eastAsia="ja-JP"/>
              </w:rPr>
              <w:t>D</w:t>
            </w:r>
            <w:r>
              <w:rPr>
                <w:bCs/>
                <w:lang w:eastAsia="ja-JP"/>
              </w:rPr>
              <w:t>isabled</w:t>
            </w:r>
          </w:p>
        </w:tc>
      </w:tr>
      <w:tr w:rsidR="00902150" w14:paraId="64DBA3BA" w14:textId="32ED750A" w:rsidTr="00D8799D">
        <w:trPr>
          <w:jc w:val="center"/>
        </w:trPr>
        <w:tc>
          <w:tcPr>
            <w:tcW w:w="2551" w:type="dxa"/>
            <w:tcBorders>
              <w:top w:val="single" w:sz="4" w:space="0" w:color="auto"/>
              <w:left w:val="single" w:sz="4" w:space="0" w:color="auto"/>
              <w:bottom w:val="single" w:sz="4" w:space="0" w:color="auto"/>
              <w:right w:val="single" w:sz="4" w:space="0" w:color="auto"/>
            </w:tcBorders>
            <w:hideMark/>
          </w:tcPr>
          <w:p w14:paraId="58BF8AAC" w14:textId="19ABF74A" w:rsidR="00902150" w:rsidRDefault="00902150" w:rsidP="00902150">
            <w:pPr>
              <w:spacing w:after="0"/>
              <w:jc w:val="center"/>
              <w:rPr>
                <w:bCs/>
                <w:lang w:eastAsia="ja-JP"/>
              </w:rPr>
            </w:pPr>
            <w:r>
              <w:rPr>
                <w:bCs/>
                <w:lang w:eastAsia="ja-JP"/>
              </w:rPr>
              <w:t>11-bit UCI</w:t>
            </w:r>
          </w:p>
        </w:tc>
        <w:tc>
          <w:tcPr>
            <w:tcW w:w="954" w:type="dxa"/>
            <w:tcBorders>
              <w:top w:val="single" w:sz="4" w:space="0" w:color="auto"/>
              <w:left w:val="single" w:sz="4" w:space="0" w:color="auto"/>
              <w:bottom w:val="single" w:sz="4" w:space="0" w:color="auto"/>
              <w:right w:val="single" w:sz="4" w:space="0" w:color="auto"/>
            </w:tcBorders>
          </w:tcPr>
          <w:p w14:paraId="4737D7E7" w14:textId="44CE7A8B" w:rsidR="00902150" w:rsidRDefault="00A65AC2" w:rsidP="00902150">
            <w:pPr>
              <w:spacing w:after="0"/>
              <w:jc w:val="center"/>
              <w:rPr>
                <w:bCs/>
                <w:lang w:eastAsia="ja-JP"/>
              </w:rPr>
            </w:pPr>
            <w:r>
              <w:rPr>
                <w:rFonts w:hint="eastAsia"/>
                <w:bCs/>
                <w:lang w:eastAsia="ja-JP"/>
              </w:rPr>
              <w:t>-</w:t>
            </w:r>
            <w:r>
              <w:rPr>
                <w:bCs/>
                <w:lang w:eastAsia="ja-JP"/>
              </w:rPr>
              <w:t>8.2 dB</w:t>
            </w:r>
          </w:p>
        </w:tc>
        <w:tc>
          <w:tcPr>
            <w:tcW w:w="953" w:type="dxa"/>
            <w:tcBorders>
              <w:top w:val="single" w:sz="4" w:space="0" w:color="auto"/>
              <w:left w:val="single" w:sz="4" w:space="0" w:color="auto"/>
              <w:bottom w:val="single" w:sz="4" w:space="0" w:color="auto"/>
              <w:right w:val="single" w:sz="4" w:space="0" w:color="auto"/>
            </w:tcBorders>
          </w:tcPr>
          <w:p w14:paraId="44629694" w14:textId="0DE22CDB" w:rsidR="00902150" w:rsidRDefault="00902150" w:rsidP="00902150">
            <w:pPr>
              <w:spacing w:after="0"/>
              <w:jc w:val="center"/>
              <w:rPr>
                <w:bCs/>
                <w:lang w:eastAsia="ja-JP"/>
              </w:rPr>
            </w:pPr>
            <w:r>
              <w:rPr>
                <w:rFonts w:hint="eastAsia"/>
                <w:bCs/>
                <w:lang w:eastAsia="ja-JP"/>
              </w:rPr>
              <w:t>-</w:t>
            </w:r>
            <w:r>
              <w:rPr>
                <w:bCs/>
                <w:lang w:eastAsia="ja-JP"/>
              </w:rPr>
              <w:t>7.0 dB</w:t>
            </w:r>
          </w:p>
        </w:tc>
        <w:tc>
          <w:tcPr>
            <w:tcW w:w="953" w:type="dxa"/>
            <w:tcBorders>
              <w:top w:val="single" w:sz="4" w:space="0" w:color="auto"/>
              <w:left w:val="single" w:sz="4" w:space="0" w:color="auto"/>
              <w:bottom w:val="single" w:sz="4" w:space="0" w:color="auto"/>
              <w:right w:val="single" w:sz="4" w:space="0" w:color="auto"/>
            </w:tcBorders>
          </w:tcPr>
          <w:p w14:paraId="1537878E" w14:textId="03C27675" w:rsidR="00902150" w:rsidRDefault="00A65AC2" w:rsidP="00902150">
            <w:pPr>
              <w:spacing w:after="0"/>
              <w:jc w:val="center"/>
              <w:rPr>
                <w:bCs/>
                <w:lang w:eastAsia="ja-JP"/>
              </w:rPr>
            </w:pPr>
            <w:r>
              <w:rPr>
                <w:rFonts w:hint="eastAsia"/>
                <w:bCs/>
                <w:lang w:eastAsia="ja-JP"/>
              </w:rPr>
              <w:t>-</w:t>
            </w:r>
            <w:r>
              <w:rPr>
                <w:bCs/>
                <w:lang w:eastAsia="ja-JP"/>
              </w:rPr>
              <w:t>11.2 dB</w:t>
            </w:r>
          </w:p>
        </w:tc>
        <w:tc>
          <w:tcPr>
            <w:tcW w:w="953" w:type="dxa"/>
            <w:tcBorders>
              <w:top w:val="single" w:sz="4" w:space="0" w:color="auto"/>
              <w:left w:val="single" w:sz="4" w:space="0" w:color="auto"/>
              <w:bottom w:val="single" w:sz="4" w:space="0" w:color="auto"/>
              <w:right w:val="single" w:sz="4" w:space="0" w:color="auto"/>
            </w:tcBorders>
          </w:tcPr>
          <w:p w14:paraId="0E58199F" w14:textId="35F3568A" w:rsidR="00902150" w:rsidRDefault="00902150" w:rsidP="00902150">
            <w:pPr>
              <w:spacing w:after="0"/>
              <w:jc w:val="center"/>
              <w:rPr>
                <w:bCs/>
                <w:lang w:eastAsia="ja-JP"/>
              </w:rPr>
            </w:pPr>
            <w:r>
              <w:rPr>
                <w:rFonts w:hint="eastAsia"/>
                <w:bCs/>
                <w:lang w:eastAsia="ja-JP"/>
              </w:rPr>
              <w:t>-</w:t>
            </w:r>
            <w:r>
              <w:rPr>
                <w:bCs/>
                <w:lang w:eastAsia="ja-JP"/>
              </w:rPr>
              <w:t>8.8 dB</w:t>
            </w:r>
          </w:p>
        </w:tc>
        <w:tc>
          <w:tcPr>
            <w:tcW w:w="953" w:type="dxa"/>
            <w:tcBorders>
              <w:left w:val="single" w:sz="4" w:space="0" w:color="auto"/>
              <w:right w:val="single" w:sz="4" w:space="0" w:color="auto"/>
            </w:tcBorders>
          </w:tcPr>
          <w:p w14:paraId="1D5741D4" w14:textId="14C585DD" w:rsidR="00902150" w:rsidRDefault="00A65AC2" w:rsidP="00902150">
            <w:pPr>
              <w:spacing w:after="0"/>
              <w:jc w:val="center"/>
              <w:rPr>
                <w:bCs/>
                <w:lang w:eastAsia="ja-JP"/>
              </w:rPr>
            </w:pPr>
            <w:r>
              <w:rPr>
                <w:rFonts w:hint="eastAsia"/>
                <w:bCs/>
                <w:lang w:eastAsia="ja-JP"/>
              </w:rPr>
              <w:t>-</w:t>
            </w:r>
            <w:r>
              <w:rPr>
                <w:bCs/>
                <w:lang w:eastAsia="ja-JP"/>
              </w:rPr>
              <w:t>14.0 dB</w:t>
            </w:r>
          </w:p>
        </w:tc>
        <w:tc>
          <w:tcPr>
            <w:tcW w:w="953" w:type="dxa"/>
            <w:tcBorders>
              <w:left w:val="single" w:sz="4" w:space="0" w:color="auto"/>
              <w:right w:val="single" w:sz="4" w:space="0" w:color="auto"/>
            </w:tcBorders>
          </w:tcPr>
          <w:p w14:paraId="5AAFDBD2" w14:textId="124F3617" w:rsidR="00902150" w:rsidRDefault="00902150" w:rsidP="00902150">
            <w:pPr>
              <w:spacing w:after="0"/>
              <w:jc w:val="center"/>
              <w:rPr>
                <w:bCs/>
                <w:lang w:eastAsia="ja-JP"/>
              </w:rPr>
            </w:pPr>
            <w:r>
              <w:rPr>
                <w:rFonts w:hint="eastAsia"/>
                <w:bCs/>
                <w:lang w:eastAsia="ja-JP"/>
              </w:rPr>
              <w:t>-</w:t>
            </w:r>
            <w:r>
              <w:rPr>
                <w:bCs/>
                <w:lang w:eastAsia="ja-JP"/>
              </w:rPr>
              <w:t>10.6 dB</w:t>
            </w:r>
          </w:p>
        </w:tc>
      </w:tr>
      <w:tr w:rsidR="00902150" w14:paraId="5002E9A6" w14:textId="2790E34E" w:rsidTr="00D8799D">
        <w:trPr>
          <w:jc w:val="center"/>
        </w:trPr>
        <w:tc>
          <w:tcPr>
            <w:tcW w:w="2551" w:type="dxa"/>
            <w:tcBorders>
              <w:top w:val="single" w:sz="4" w:space="0" w:color="auto"/>
              <w:left w:val="single" w:sz="4" w:space="0" w:color="auto"/>
              <w:bottom w:val="single" w:sz="4" w:space="0" w:color="auto"/>
              <w:right w:val="single" w:sz="4" w:space="0" w:color="auto"/>
            </w:tcBorders>
            <w:hideMark/>
          </w:tcPr>
          <w:p w14:paraId="592514E6" w14:textId="37DFEF4A" w:rsidR="00902150" w:rsidRDefault="00902150" w:rsidP="00902150">
            <w:pPr>
              <w:spacing w:after="0"/>
              <w:jc w:val="center"/>
              <w:rPr>
                <w:bCs/>
                <w:lang w:eastAsia="ja-JP"/>
              </w:rPr>
            </w:pPr>
            <w:r>
              <w:rPr>
                <w:rFonts w:hint="eastAsia"/>
                <w:bCs/>
                <w:lang w:eastAsia="ja-JP"/>
              </w:rPr>
              <w:t>2</w:t>
            </w:r>
            <w:r>
              <w:rPr>
                <w:bCs/>
                <w:lang w:eastAsia="ja-JP"/>
              </w:rPr>
              <w:t>2-bit UCI</w:t>
            </w:r>
          </w:p>
        </w:tc>
        <w:tc>
          <w:tcPr>
            <w:tcW w:w="954" w:type="dxa"/>
            <w:tcBorders>
              <w:top w:val="single" w:sz="4" w:space="0" w:color="auto"/>
              <w:left w:val="single" w:sz="4" w:space="0" w:color="auto"/>
              <w:bottom w:val="single" w:sz="4" w:space="0" w:color="auto"/>
              <w:right w:val="single" w:sz="4" w:space="0" w:color="auto"/>
            </w:tcBorders>
          </w:tcPr>
          <w:p w14:paraId="7E9F9ED5" w14:textId="704B3485" w:rsidR="00902150" w:rsidRDefault="00A65AC2" w:rsidP="00902150">
            <w:pPr>
              <w:spacing w:after="0"/>
              <w:jc w:val="center"/>
              <w:rPr>
                <w:bCs/>
                <w:lang w:eastAsia="ja-JP"/>
              </w:rPr>
            </w:pPr>
            <w:r>
              <w:rPr>
                <w:rFonts w:hint="eastAsia"/>
                <w:bCs/>
                <w:lang w:eastAsia="ja-JP"/>
              </w:rPr>
              <w:t>-</w:t>
            </w:r>
            <w:r>
              <w:rPr>
                <w:bCs/>
                <w:lang w:eastAsia="ja-JP"/>
              </w:rPr>
              <w:t>4.6 dB</w:t>
            </w:r>
          </w:p>
        </w:tc>
        <w:tc>
          <w:tcPr>
            <w:tcW w:w="953" w:type="dxa"/>
            <w:tcBorders>
              <w:top w:val="single" w:sz="4" w:space="0" w:color="auto"/>
              <w:left w:val="single" w:sz="4" w:space="0" w:color="auto"/>
              <w:bottom w:val="single" w:sz="4" w:space="0" w:color="auto"/>
              <w:right w:val="single" w:sz="4" w:space="0" w:color="auto"/>
            </w:tcBorders>
          </w:tcPr>
          <w:p w14:paraId="4C9D4511" w14:textId="47D47843" w:rsidR="00902150" w:rsidRDefault="00902150" w:rsidP="00902150">
            <w:pPr>
              <w:spacing w:after="0"/>
              <w:jc w:val="center"/>
              <w:rPr>
                <w:bCs/>
                <w:lang w:eastAsia="ja-JP"/>
              </w:rPr>
            </w:pPr>
            <w:r>
              <w:rPr>
                <w:rFonts w:hint="eastAsia"/>
                <w:bCs/>
                <w:lang w:eastAsia="ja-JP"/>
              </w:rPr>
              <w:t>-</w:t>
            </w:r>
            <w:r>
              <w:rPr>
                <w:bCs/>
                <w:lang w:eastAsia="ja-JP"/>
              </w:rPr>
              <w:t>3.9 dB</w:t>
            </w:r>
          </w:p>
        </w:tc>
        <w:tc>
          <w:tcPr>
            <w:tcW w:w="953" w:type="dxa"/>
            <w:tcBorders>
              <w:top w:val="single" w:sz="4" w:space="0" w:color="auto"/>
              <w:left w:val="single" w:sz="4" w:space="0" w:color="auto"/>
              <w:bottom w:val="single" w:sz="4" w:space="0" w:color="auto"/>
              <w:right w:val="single" w:sz="4" w:space="0" w:color="auto"/>
            </w:tcBorders>
          </w:tcPr>
          <w:p w14:paraId="486F8866" w14:textId="68B7C828" w:rsidR="00902150" w:rsidRDefault="00A65AC2" w:rsidP="00902150">
            <w:pPr>
              <w:spacing w:after="0"/>
              <w:jc w:val="center"/>
              <w:rPr>
                <w:bCs/>
                <w:lang w:eastAsia="ja-JP"/>
              </w:rPr>
            </w:pPr>
            <w:r>
              <w:rPr>
                <w:rFonts w:hint="eastAsia"/>
                <w:bCs/>
                <w:lang w:eastAsia="ja-JP"/>
              </w:rPr>
              <w:t>-</w:t>
            </w:r>
            <w:r>
              <w:rPr>
                <w:bCs/>
                <w:lang w:eastAsia="ja-JP"/>
              </w:rPr>
              <w:t>7.5 dB</w:t>
            </w:r>
          </w:p>
        </w:tc>
        <w:tc>
          <w:tcPr>
            <w:tcW w:w="953" w:type="dxa"/>
            <w:tcBorders>
              <w:top w:val="single" w:sz="4" w:space="0" w:color="auto"/>
              <w:left w:val="single" w:sz="4" w:space="0" w:color="auto"/>
              <w:bottom w:val="single" w:sz="4" w:space="0" w:color="auto"/>
              <w:right w:val="single" w:sz="4" w:space="0" w:color="auto"/>
            </w:tcBorders>
          </w:tcPr>
          <w:p w14:paraId="79D0881E" w14:textId="2BC3AFDF" w:rsidR="00902150" w:rsidRDefault="00902150" w:rsidP="00902150">
            <w:pPr>
              <w:spacing w:after="0"/>
              <w:jc w:val="center"/>
              <w:rPr>
                <w:bCs/>
                <w:lang w:eastAsia="ja-JP"/>
              </w:rPr>
            </w:pPr>
            <w:r>
              <w:rPr>
                <w:rFonts w:hint="eastAsia"/>
                <w:bCs/>
                <w:lang w:eastAsia="ja-JP"/>
              </w:rPr>
              <w:t>-</w:t>
            </w:r>
            <w:r>
              <w:rPr>
                <w:bCs/>
                <w:lang w:eastAsia="ja-JP"/>
              </w:rPr>
              <w:t>5.7 dB</w:t>
            </w:r>
          </w:p>
        </w:tc>
        <w:tc>
          <w:tcPr>
            <w:tcW w:w="953" w:type="dxa"/>
            <w:tcBorders>
              <w:left w:val="single" w:sz="4" w:space="0" w:color="auto"/>
              <w:bottom w:val="single" w:sz="4" w:space="0" w:color="auto"/>
              <w:right w:val="single" w:sz="4" w:space="0" w:color="auto"/>
            </w:tcBorders>
          </w:tcPr>
          <w:p w14:paraId="39EEAD2D" w14:textId="394F6827" w:rsidR="00902150" w:rsidRDefault="00A65AC2" w:rsidP="00902150">
            <w:pPr>
              <w:spacing w:after="0"/>
              <w:jc w:val="center"/>
              <w:rPr>
                <w:bCs/>
                <w:lang w:eastAsia="ja-JP"/>
              </w:rPr>
            </w:pPr>
            <w:r>
              <w:rPr>
                <w:rFonts w:hint="eastAsia"/>
                <w:bCs/>
                <w:lang w:eastAsia="ja-JP"/>
              </w:rPr>
              <w:t>-</w:t>
            </w:r>
            <w:r>
              <w:rPr>
                <w:bCs/>
                <w:lang w:eastAsia="ja-JP"/>
              </w:rPr>
              <w:t>10.4 dB</w:t>
            </w:r>
          </w:p>
        </w:tc>
        <w:tc>
          <w:tcPr>
            <w:tcW w:w="953" w:type="dxa"/>
            <w:tcBorders>
              <w:left w:val="single" w:sz="4" w:space="0" w:color="auto"/>
              <w:bottom w:val="single" w:sz="4" w:space="0" w:color="auto"/>
              <w:right w:val="single" w:sz="4" w:space="0" w:color="auto"/>
            </w:tcBorders>
          </w:tcPr>
          <w:p w14:paraId="7C6CDCE8" w14:textId="448C2962" w:rsidR="00902150" w:rsidRDefault="00902150" w:rsidP="00902150">
            <w:pPr>
              <w:spacing w:after="0"/>
              <w:jc w:val="center"/>
              <w:rPr>
                <w:bCs/>
                <w:lang w:eastAsia="ja-JP"/>
              </w:rPr>
            </w:pPr>
            <w:r>
              <w:rPr>
                <w:rFonts w:hint="eastAsia"/>
                <w:bCs/>
                <w:lang w:eastAsia="ja-JP"/>
              </w:rPr>
              <w:t>-</w:t>
            </w:r>
            <w:r>
              <w:rPr>
                <w:bCs/>
                <w:lang w:eastAsia="ja-JP"/>
              </w:rPr>
              <w:t>7.7 dB</w:t>
            </w:r>
          </w:p>
        </w:tc>
      </w:tr>
    </w:tbl>
    <w:p w14:paraId="671D3F70" w14:textId="77777777" w:rsidR="00FA78D1" w:rsidRPr="00FA78D1" w:rsidRDefault="00FA78D1" w:rsidP="00D13BC4">
      <w:pPr>
        <w:spacing w:after="0"/>
        <w:rPr>
          <w:bCs/>
          <w:lang w:eastAsia="ja-JP"/>
        </w:rPr>
      </w:pPr>
    </w:p>
    <w:p w14:paraId="67D954BA" w14:textId="219238E1" w:rsidR="00F03593" w:rsidRDefault="00631891" w:rsidP="00F03593">
      <w:pPr>
        <w:spacing w:after="0"/>
        <w:jc w:val="center"/>
        <w:rPr>
          <w:b/>
          <w:u w:val="single"/>
          <w:lang w:eastAsia="ja-JP"/>
        </w:rPr>
      </w:pPr>
      <w:r w:rsidRPr="00631891">
        <w:rPr>
          <w:noProof/>
        </w:rPr>
        <w:drawing>
          <wp:inline distT="0" distB="0" distL="0" distR="0" wp14:anchorId="55A54BA8" wp14:editId="495CE306">
            <wp:extent cx="2254320" cy="25358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54320" cy="2535840"/>
                    </a:xfrm>
                    <a:prstGeom prst="rect">
                      <a:avLst/>
                    </a:prstGeom>
                    <a:noFill/>
                    <a:ln>
                      <a:noFill/>
                    </a:ln>
                  </pic:spPr>
                </pic:pic>
              </a:graphicData>
            </a:graphic>
          </wp:inline>
        </w:drawing>
      </w:r>
      <w:r w:rsidR="00F03593">
        <w:rPr>
          <w:rFonts w:hint="eastAsia"/>
          <w:b/>
          <w:u w:val="single"/>
          <w:lang w:eastAsia="ja-JP"/>
        </w:rPr>
        <w:t xml:space="preserve"> </w:t>
      </w:r>
      <w:r w:rsidR="00F03593">
        <w:rPr>
          <w:b/>
          <w:u w:val="single"/>
          <w:lang w:eastAsia="ja-JP"/>
        </w:rPr>
        <w:t xml:space="preserve">    </w:t>
      </w:r>
      <w:r w:rsidR="00902150">
        <w:rPr>
          <w:b/>
          <w:u w:val="single"/>
          <w:lang w:eastAsia="ja-JP"/>
        </w:rPr>
        <w:t xml:space="preserve">     </w:t>
      </w:r>
      <w:r w:rsidR="00902150" w:rsidRPr="00902150">
        <w:rPr>
          <w:noProof/>
        </w:rPr>
        <w:drawing>
          <wp:inline distT="0" distB="0" distL="0" distR="0" wp14:anchorId="5CCA0C94" wp14:editId="32B526BF">
            <wp:extent cx="2266560" cy="2528280"/>
            <wp:effectExtent l="0" t="0" r="635"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66560" cy="2528280"/>
                    </a:xfrm>
                    <a:prstGeom prst="rect">
                      <a:avLst/>
                    </a:prstGeom>
                    <a:noFill/>
                    <a:ln>
                      <a:noFill/>
                    </a:ln>
                  </pic:spPr>
                </pic:pic>
              </a:graphicData>
            </a:graphic>
          </wp:inline>
        </w:drawing>
      </w:r>
    </w:p>
    <w:p w14:paraId="019CE2D7" w14:textId="49CA550D" w:rsidR="00902150" w:rsidRPr="00902150" w:rsidRDefault="00902150" w:rsidP="00F03593">
      <w:pPr>
        <w:spacing w:after="0"/>
        <w:jc w:val="center"/>
        <w:rPr>
          <w:bCs/>
          <w:lang w:eastAsia="ja-JP"/>
        </w:rPr>
      </w:pPr>
      <w:r w:rsidRPr="00902150">
        <w:rPr>
          <w:rFonts w:hint="eastAsia"/>
          <w:bCs/>
          <w:lang w:eastAsia="ja-JP"/>
        </w:rPr>
        <w:t>(</w:t>
      </w:r>
      <w:r w:rsidRPr="00902150">
        <w:rPr>
          <w:bCs/>
          <w:lang w:eastAsia="ja-JP"/>
        </w:rPr>
        <w:t>a)</w:t>
      </w:r>
      <w:r>
        <w:rPr>
          <w:bCs/>
          <w:lang w:eastAsia="ja-JP"/>
        </w:rPr>
        <w:t xml:space="preserve"> 11-bit UCI payload                                              (b) 22-bit UCI payload</w:t>
      </w:r>
    </w:p>
    <w:p w14:paraId="30B38C66" w14:textId="7C171B31" w:rsidR="00F03593" w:rsidRPr="008B4E1B" w:rsidRDefault="00897998" w:rsidP="008B4E1B">
      <w:pPr>
        <w:spacing w:after="0"/>
        <w:jc w:val="center"/>
        <w:rPr>
          <w:bCs/>
          <w:lang w:eastAsia="ja-JP"/>
        </w:rPr>
      </w:pPr>
      <w:r>
        <w:rPr>
          <w:rFonts w:hint="eastAsia"/>
          <w:bCs/>
          <w:lang w:eastAsia="ja-JP"/>
        </w:rPr>
        <w:t>F</w:t>
      </w:r>
      <w:r>
        <w:rPr>
          <w:bCs/>
          <w:lang w:eastAsia="ja-JP"/>
        </w:rPr>
        <w:t xml:space="preserve">ig.1. Link-level simulation results on </w:t>
      </w:r>
      <w:r w:rsidR="00902150">
        <w:rPr>
          <w:lang w:eastAsia="ja-JP"/>
        </w:rPr>
        <w:t>DMRS bundling</w:t>
      </w: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738D8AA7"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A65AC2">
        <w:rPr>
          <w:lang w:eastAsia="ja-JP"/>
        </w:rPr>
        <w:t>PUC</w:t>
      </w:r>
      <w:r w:rsidR="0072523E">
        <w:rPr>
          <w:lang w:eastAsia="ja-JP"/>
        </w:rPr>
        <w:t>CH</w:t>
      </w:r>
      <w:r w:rsidR="00A65AC2">
        <w:rPr>
          <w:lang w:eastAsia="ja-JP"/>
        </w:rPr>
        <w:t xml:space="preserve"> enhancement</w:t>
      </w:r>
      <w:r w:rsidR="0009076E">
        <w:rPr>
          <w:lang w:eastAsia="ja-JP"/>
        </w:rPr>
        <w:t>.</w:t>
      </w:r>
      <w:r>
        <w:rPr>
          <w:lang w:eastAsia="ja-JP"/>
        </w:rPr>
        <w:t xml:space="preserve"> </w:t>
      </w:r>
      <w:r w:rsidR="0009076E">
        <w:rPr>
          <w:lang w:eastAsia="ja-JP"/>
        </w:rPr>
        <w:t xml:space="preserve">We </w:t>
      </w:r>
      <w:r>
        <w:rPr>
          <w:lang w:eastAsia="ja-JP"/>
        </w:rPr>
        <w:t>made following proposals.</w:t>
      </w:r>
    </w:p>
    <w:p w14:paraId="4C47A4E4" w14:textId="77777777" w:rsidR="008B4E1B" w:rsidRPr="009B1F12" w:rsidRDefault="008B4E1B" w:rsidP="008B4E1B">
      <w:pPr>
        <w:spacing w:beforeLines="50" w:before="120" w:after="0"/>
        <w:rPr>
          <w:b/>
          <w:lang w:val="en-US" w:eastAsia="ja-JP"/>
        </w:rPr>
      </w:pPr>
      <w:r>
        <w:rPr>
          <w:b/>
          <w:lang w:val="en-US" w:eastAsia="ja-JP"/>
        </w:rPr>
        <w:t>Proposal 1</w:t>
      </w:r>
      <w:r w:rsidRPr="009B1F12">
        <w:rPr>
          <w:b/>
          <w:lang w:val="en-US" w:eastAsia="ja-JP"/>
        </w:rPr>
        <w:t xml:space="preserve">: </w:t>
      </w:r>
      <w:r>
        <w:rPr>
          <w:b/>
          <w:lang w:val="en-US" w:eastAsia="ja-JP"/>
        </w:rPr>
        <w:t>For dynamic PUCCH repetition factor indication, repetition factor is indicated in the PUCCH resource set.</w:t>
      </w:r>
    </w:p>
    <w:p w14:paraId="4ADD50A8" w14:textId="77777777" w:rsidR="008B4E1B" w:rsidRPr="009B1F12" w:rsidRDefault="008B4E1B" w:rsidP="008B4E1B">
      <w:pPr>
        <w:spacing w:beforeLines="50" w:before="120" w:after="0"/>
        <w:rPr>
          <w:b/>
          <w:lang w:val="en-US" w:eastAsia="ja-JP"/>
        </w:rPr>
      </w:pPr>
      <w:r>
        <w:rPr>
          <w:b/>
          <w:lang w:val="en-US" w:eastAsia="ja-JP"/>
        </w:rPr>
        <w:lastRenderedPageBreak/>
        <w:t>Proposal 2</w:t>
      </w:r>
      <w:r w:rsidRPr="009B1F12">
        <w:rPr>
          <w:b/>
          <w:lang w:val="en-US" w:eastAsia="ja-JP"/>
        </w:rPr>
        <w:t xml:space="preserve">: </w:t>
      </w:r>
      <w:r>
        <w:rPr>
          <w:b/>
          <w:lang w:val="en-US" w:eastAsia="ja-JP"/>
        </w:rPr>
        <w:t>For DMRS bundling across PUCCH repetitions, whether back-to-back transmission is mandated or not is decided based on RAN4 guidance.</w:t>
      </w:r>
    </w:p>
    <w:p w14:paraId="7903D730" w14:textId="77777777" w:rsidR="008B4E1B" w:rsidRPr="009B1F12" w:rsidRDefault="008B4E1B" w:rsidP="008B4E1B">
      <w:pPr>
        <w:spacing w:beforeLines="50" w:before="120" w:after="0"/>
        <w:rPr>
          <w:b/>
          <w:lang w:val="en-US" w:eastAsia="ja-JP"/>
        </w:rPr>
      </w:pPr>
      <w:r>
        <w:rPr>
          <w:b/>
          <w:lang w:val="en-US" w:eastAsia="ja-JP"/>
        </w:rPr>
        <w:t>Proposal 3</w:t>
      </w:r>
      <w:r w:rsidRPr="009B1F12">
        <w:rPr>
          <w:b/>
          <w:lang w:val="en-US" w:eastAsia="ja-JP"/>
        </w:rPr>
        <w:t xml:space="preserve">: </w:t>
      </w:r>
      <w:r>
        <w:rPr>
          <w:b/>
          <w:lang w:val="en-US" w:eastAsia="ja-JP"/>
        </w:rPr>
        <w:t>Optimization of DMRS location/granularity should be specified only if the significant gain is identified.</w:t>
      </w:r>
    </w:p>
    <w:p w14:paraId="331D6AB8" w14:textId="77777777" w:rsidR="008B4E1B" w:rsidRDefault="008B4E1B" w:rsidP="008B4E1B">
      <w:pPr>
        <w:spacing w:beforeLines="50" w:before="120" w:after="0"/>
        <w:rPr>
          <w:b/>
          <w:lang w:val="en-US" w:eastAsia="ja-JP"/>
        </w:rPr>
      </w:pPr>
      <w:r>
        <w:rPr>
          <w:b/>
          <w:lang w:val="en-US" w:eastAsia="ja-JP"/>
        </w:rPr>
        <w:t>Proposal 4</w:t>
      </w:r>
      <w:r w:rsidRPr="009B1F12">
        <w:rPr>
          <w:b/>
          <w:lang w:val="en-US" w:eastAsia="ja-JP"/>
        </w:rPr>
        <w:t xml:space="preserve">: </w:t>
      </w:r>
      <w:r>
        <w:rPr>
          <w:b/>
          <w:lang w:val="en-US" w:eastAsia="ja-JP"/>
        </w:rPr>
        <w:t>The length of DMRS bundling, i.e., the number of PUCCH repetitions for joint channel estimation and the period of inter-slot frequency hopping can be the same.</w:t>
      </w:r>
    </w:p>
    <w:p w14:paraId="30792ACD" w14:textId="6901B831" w:rsidR="00376635" w:rsidRPr="008B4E1B" w:rsidRDefault="008B4E1B" w:rsidP="008B4E1B">
      <w:pPr>
        <w:spacing w:beforeLines="50" w:before="120" w:after="0"/>
        <w:rPr>
          <w:b/>
          <w:lang w:val="en-US" w:eastAsia="ja-JP"/>
        </w:rPr>
      </w:pPr>
      <w:r>
        <w:rPr>
          <w:rFonts w:hint="eastAsia"/>
          <w:b/>
          <w:lang w:val="en-US" w:eastAsia="ja-JP"/>
        </w:rPr>
        <w:t>P</w:t>
      </w:r>
      <w:r>
        <w:rPr>
          <w:b/>
          <w:lang w:val="en-US" w:eastAsia="ja-JP"/>
        </w:rPr>
        <w:t>roposal 5: The indication to enable DMRS bundling and the length of DMRS bundling are UE-specific configuration.</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54AD84D9"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4F976005" w14:textId="733BFE0F" w:rsidR="001E4CC4" w:rsidRDefault="00EA5FC6" w:rsidP="00FA2240">
      <w:pPr>
        <w:tabs>
          <w:tab w:val="left" w:pos="3590"/>
        </w:tabs>
        <w:spacing w:beforeLines="50" w:before="120" w:after="0"/>
        <w:rPr>
          <w:rFonts w:eastAsiaTheme="minorEastAsia"/>
          <w:lang w:eastAsia="ja-JP"/>
        </w:rPr>
      </w:pPr>
      <w:r>
        <w:rPr>
          <w:rFonts w:eastAsiaTheme="minorEastAsia" w:hint="eastAsia"/>
          <w:lang w:eastAsia="ja-JP"/>
        </w:rPr>
        <w:t>[</w:t>
      </w:r>
      <w:r>
        <w:rPr>
          <w:rFonts w:eastAsiaTheme="minorEastAsia"/>
          <w:lang w:eastAsia="ja-JP"/>
        </w:rPr>
        <w:t xml:space="preserve">2] </w:t>
      </w:r>
      <w:r w:rsidR="00FA2240">
        <w:rPr>
          <w:rFonts w:eastAsiaTheme="minorEastAsia"/>
          <w:lang w:eastAsia="ja-JP"/>
        </w:rPr>
        <w:t>R1-2008378, “</w:t>
      </w:r>
      <w:r w:rsidR="00FA2240">
        <w:t>Discussion on PUSCH coverage enhancements,” Panasonic, RAN1#103e.</w:t>
      </w:r>
    </w:p>
    <w:p w14:paraId="1AC385AA" w14:textId="7C6B69A9" w:rsidR="00566ED1" w:rsidRDefault="00566ED1" w:rsidP="00102F6A">
      <w:pPr>
        <w:pStyle w:val="1"/>
        <w:numPr>
          <w:ilvl w:val="0"/>
          <w:numId w:val="0"/>
        </w:numPr>
        <w:rPr>
          <w:szCs w:val="36"/>
          <w:lang w:eastAsia="ja-JP"/>
        </w:rPr>
      </w:pPr>
      <w:r>
        <w:rPr>
          <w:rFonts w:hint="eastAsia"/>
          <w:szCs w:val="36"/>
          <w:lang w:eastAsia="ja-JP"/>
        </w:rPr>
        <w:t>A</w:t>
      </w:r>
      <w:r>
        <w:rPr>
          <w:szCs w:val="36"/>
          <w:lang w:eastAsia="ja-JP"/>
        </w:rPr>
        <w:t>ppendix A: Simulation parameters</w:t>
      </w:r>
    </w:p>
    <w:tbl>
      <w:tblPr>
        <w:tblStyle w:val="af9"/>
        <w:tblW w:w="9638" w:type="dxa"/>
        <w:tblLook w:val="04A0" w:firstRow="1" w:lastRow="0" w:firstColumn="1" w:lastColumn="0" w:noHBand="0" w:noVBand="1"/>
      </w:tblPr>
      <w:tblGrid>
        <w:gridCol w:w="3399"/>
        <w:gridCol w:w="6239"/>
      </w:tblGrid>
      <w:tr w:rsidR="00917A9E" w14:paraId="2676E2C3" w14:textId="46947DAE" w:rsidTr="00180DF6">
        <w:tc>
          <w:tcPr>
            <w:tcW w:w="9638" w:type="dxa"/>
            <w:gridSpan w:val="2"/>
            <w:shd w:val="clear" w:color="auto" w:fill="BFBFBF" w:themeFill="background1" w:themeFillShade="BF"/>
            <w:vAlign w:val="center"/>
          </w:tcPr>
          <w:p w14:paraId="49A65048" w14:textId="686A95C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G</w:t>
            </w:r>
            <w:r>
              <w:rPr>
                <w:rFonts w:eastAsia="Meiryo UI"/>
                <w:color w:val="000000" w:themeColor="text1"/>
                <w:kern w:val="24"/>
                <w:lang w:eastAsia="ja-JP"/>
              </w:rPr>
              <w:t>eneral simulation parameters</w:t>
            </w:r>
          </w:p>
        </w:tc>
      </w:tr>
      <w:tr w:rsidR="00A65AC2" w14:paraId="7E0FD567" w14:textId="0C62AC5B" w:rsidTr="00A65AC2">
        <w:tc>
          <w:tcPr>
            <w:tcW w:w="3399" w:type="dxa"/>
            <w:vAlign w:val="center"/>
          </w:tcPr>
          <w:p w14:paraId="37153F63" w14:textId="4F91BD32" w:rsidR="00A65AC2" w:rsidRPr="00566ED1" w:rsidRDefault="00A65AC2" w:rsidP="00566ED1">
            <w:pPr>
              <w:spacing w:after="0"/>
              <w:rPr>
                <w:lang w:eastAsia="ja-JP"/>
              </w:rPr>
            </w:pPr>
            <w:r w:rsidRPr="00566ED1">
              <w:rPr>
                <w:rFonts w:eastAsia="Meiryo UI"/>
                <w:color w:val="000000" w:themeColor="text1"/>
                <w:kern w:val="24"/>
              </w:rPr>
              <w:t>Scenario</w:t>
            </w:r>
          </w:p>
        </w:tc>
        <w:tc>
          <w:tcPr>
            <w:tcW w:w="6239" w:type="dxa"/>
            <w:vAlign w:val="center"/>
          </w:tcPr>
          <w:p w14:paraId="407ADC80" w14:textId="448E2EF2" w:rsidR="00A65AC2" w:rsidRPr="00566ED1" w:rsidRDefault="00A65AC2" w:rsidP="00566ED1">
            <w:pPr>
              <w:spacing w:after="0"/>
              <w:rPr>
                <w:rFonts w:eastAsia="Meiryo UI"/>
                <w:color w:val="000000" w:themeColor="text1"/>
                <w:kern w:val="24"/>
                <w:lang w:eastAsia="ja-JP"/>
              </w:rPr>
            </w:pPr>
            <w:r>
              <w:rPr>
                <w:rFonts w:eastAsia="Meiryo UI"/>
                <w:color w:val="000000" w:themeColor="text1"/>
                <w:kern w:val="24"/>
              </w:rPr>
              <w:t>FR1, Rural</w:t>
            </w:r>
          </w:p>
        </w:tc>
      </w:tr>
      <w:tr w:rsidR="00917A9E" w14:paraId="05DF21AC" w14:textId="369F0B3F" w:rsidTr="00A65AC2">
        <w:tc>
          <w:tcPr>
            <w:tcW w:w="3399" w:type="dxa"/>
            <w:vAlign w:val="center"/>
          </w:tcPr>
          <w:p w14:paraId="11903312" w14:textId="480564A6" w:rsidR="00917A9E" w:rsidRPr="00566ED1" w:rsidRDefault="00917A9E" w:rsidP="00566ED1">
            <w:pPr>
              <w:spacing w:after="0"/>
              <w:rPr>
                <w:lang w:eastAsia="ja-JP"/>
              </w:rPr>
            </w:pPr>
            <w:r w:rsidRPr="00566ED1">
              <w:rPr>
                <w:rFonts w:eastAsia="Meiryo UI"/>
                <w:color w:val="000000" w:themeColor="text1"/>
                <w:kern w:val="24"/>
              </w:rPr>
              <w:t>Frequency</w:t>
            </w:r>
          </w:p>
        </w:tc>
        <w:tc>
          <w:tcPr>
            <w:tcW w:w="6239" w:type="dxa"/>
            <w:vAlign w:val="center"/>
          </w:tcPr>
          <w:p w14:paraId="0E7F33A0" w14:textId="3909A506" w:rsidR="00917A9E" w:rsidRPr="00917A9E" w:rsidRDefault="00917A9E" w:rsidP="00566ED1">
            <w:pPr>
              <w:spacing w:after="0"/>
              <w:rPr>
                <w:lang w:eastAsia="ja-JP"/>
              </w:rPr>
            </w:pPr>
            <w:r w:rsidRPr="00566ED1">
              <w:rPr>
                <w:rFonts w:eastAsia="Meiryo UI"/>
                <w:color w:val="000000" w:themeColor="text1"/>
                <w:kern w:val="24"/>
              </w:rPr>
              <w:t>4 GHz (TDD)</w:t>
            </w:r>
          </w:p>
        </w:tc>
      </w:tr>
      <w:tr w:rsidR="00917A9E" w14:paraId="5C5566F9" w14:textId="40EC3C65" w:rsidTr="00A65AC2">
        <w:tc>
          <w:tcPr>
            <w:tcW w:w="3399" w:type="dxa"/>
            <w:vAlign w:val="center"/>
          </w:tcPr>
          <w:p w14:paraId="5C1B74F0" w14:textId="33615F66" w:rsidR="00917A9E" w:rsidRPr="00566ED1" w:rsidRDefault="00917A9E" w:rsidP="00566ED1">
            <w:pPr>
              <w:spacing w:after="0"/>
              <w:rPr>
                <w:lang w:eastAsia="ja-JP"/>
              </w:rPr>
            </w:pPr>
            <w:r w:rsidRPr="00566ED1">
              <w:rPr>
                <w:rFonts w:eastAsia="Meiryo UI"/>
                <w:color w:val="000000" w:themeColor="text1"/>
                <w:kern w:val="24"/>
              </w:rPr>
              <w:t>Frame structure for TDD</w:t>
            </w:r>
          </w:p>
        </w:tc>
        <w:tc>
          <w:tcPr>
            <w:tcW w:w="6239" w:type="dxa"/>
            <w:vAlign w:val="center"/>
          </w:tcPr>
          <w:p w14:paraId="41D5BC2B" w14:textId="5E800439" w:rsidR="00917A9E" w:rsidRPr="00917A9E" w:rsidRDefault="00917A9E" w:rsidP="00566ED1">
            <w:pPr>
              <w:spacing w:after="0"/>
              <w:rPr>
                <w:lang w:eastAsia="ja-JP"/>
              </w:rPr>
            </w:pPr>
            <w:r w:rsidRPr="00566ED1">
              <w:rPr>
                <w:rFonts w:eastAsia="Meiryo UI"/>
                <w:color w:val="000000" w:themeColor="text1"/>
                <w:kern w:val="24"/>
              </w:rPr>
              <w:t>DDDSUDDSUU (S: 10D:2G:2U)</w:t>
            </w:r>
          </w:p>
        </w:tc>
      </w:tr>
      <w:tr w:rsidR="00917A9E" w14:paraId="7C90B045" w14:textId="3FA0906B" w:rsidTr="00A65AC2">
        <w:tc>
          <w:tcPr>
            <w:tcW w:w="3399" w:type="dxa"/>
            <w:vAlign w:val="center"/>
          </w:tcPr>
          <w:p w14:paraId="535C48EE" w14:textId="3E26A70F" w:rsidR="00917A9E" w:rsidRPr="00566ED1" w:rsidRDefault="00917A9E" w:rsidP="00566ED1">
            <w:pPr>
              <w:spacing w:after="0"/>
              <w:rPr>
                <w:lang w:eastAsia="ja-JP"/>
              </w:rPr>
            </w:pPr>
            <w:r w:rsidRPr="00566ED1">
              <w:rPr>
                <w:rFonts w:eastAsia="Meiryo UI"/>
                <w:color w:val="000000" w:themeColor="text1"/>
                <w:kern w:val="24"/>
              </w:rPr>
              <w:t>Pathloss model</w:t>
            </w:r>
          </w:p>
        </w:tc>
        <w:tc>
          <w:tcPr>
            <w:tcW w:w="6239" w:type="dxa"/>
            <w:vAlign w:val="center"/>
          </w:tcPr>
          <w:p w14:paraId="0DD127B3" w14:textId="167C7AC7" w:rsidR="00917A9E" w:rsidRPr="00917A9E" w:rsidRDefault="00917A9E" w:rsidP="00566ED1">
            <w:pPr>
              <w:spacing w:after="0"/>
              <w:rPr>
                <w:lang w:eastAsia="ja-JP"/>
              </w:rPr>
            </w:pPr>
            <w:r w:rsidRPr="00566ED1">
              <w:rPr>
                <w:rFonts w:eastAsia="Meiryo UI"/>
                <w:color w:val="000000" w:themeColor="text1"/>
                <w:kern w:val="24"/>
              </w:rPr>
              <w:t>NLOS</w:t>
            </w:r>
          </w:p>
        </w:tc>
      </w:tr>
      <w:tr w:rsidR="00917A9E" w14:paraId="1B6FA856" w14:textId="2BECB4CD" w:rsidTr="00A65AC2">
        <w:tc>
          <w:tcPr>
            <w:tcW w:w="3399" w:type="dxa"/>
            <w:vAlign w:val="center"/>
          </w:tcPr>
          <w:p w14:paraId="55C74219" w14:textId="1DF66526" w:rsidR="00917A9E" w:rsidRPr="00566ED1" w:rsidRDefault="00917A9E" w:rsidP="00566ED1">
            <w:pPr>
              <w:spacing w:after="0"/>
              <w:rPr>
                <w:lang w:eastAsia="ja-JP"/>
              </w:rPr>
            </w:pPr>
            <w:r w:rsidRPr="00566ED1">
              <w:rPr>
                <w:rFonts w:eastAsia="Meiryo UI"/>
                <w:color w:val="000000" w:themeColor="text1"/>
                <w:kern w:val="24"/>
              </w:rPr>
              <w:t>BWP</w:t>
            </w:r>
          </w:p>
        </w:tc>
        <w:tc>
          <w:tcPr>
            <w:tcW w:w="6239" w:type="dxa"/>
            <w:vAlign w:val="center"/>
          </w:tcPr>
          <w:p w14:paraId="32E0EDD9" w14:textId="360554CD" w:rsidR="00917A9E" w:rsidRPr="00917A9E" w:rsidRDefault="00917A9E" w:rsidP="00566ED1">
            <w:pPr>
              <w:spacing w:after="0"/>
              <w:rPr>
                <w:lang w:eastAsia="ja-JP"/>
              </w:rPr>
            </w:pPr>
            <w:r w:rsidRPr="00566ED1">
              <w:rPr>
                <w:rFonts w:eastAsia="Meiryo UI"/>
                <w:color w:val="000000" w:themeColor="text1"/>
                <w:kern w:val="24"/>
              </w:rPr>
              <w:t>100 MHz</w:t>
            </w:r>
          </w:p>
        </w:tc>
      </w:tr>
      <w:tr w:rsidR="00917A9E" w14:paraId="1EC74214" w14:textId="7A115B58" w:rsidTr="00A65AC2">
        <w:tc>
          <w:tcPr>
            <w:tcW w:w="3399" w:type="dxa"/>
            <w:vAlign w:val="center"/>
          </w:tcPr>
          <w:p w14:paraId="2599BDBD" w14:textId="78EF759D" w:rsidR="00917A9E" w:rsidRPr="00566ED1" w:rsidRDefault="00917A9E" w:rsidP="00566ED1">
            <w:pPr>
              <w:spacing w:after="0"/>
              <w:rPr>
                <w:lang w:eastAsia="ja-JP"/>
              </w:rPr>
            </w:pPr>
            <w:r w:rsidRPr="00566ED1">
              <w:rPr>
                <w:rFonts w:eastAsia="Meiryo UI"/>
                <w:color w:val="000000" w:themeColor="text1"/>
                <w:kern w:val="24"/>
              </w:rPr>
              <w:t>SCS</w:t>
            </w:r>
          </w:p>
        </w:tc>
        <w:tc>
          <w:tcPr>
            <w:tcW w:w="6239" w:type="dxa"/>
            <w:vAlign w:val="center"/>
          </w:tcPr>
          <w:p w14:paraId="06EA440C" w14:textId="310382A9" w:rsidR="00917A9E" w:rsidRPr="00917A9E" w:rsidRDefault="00917A9E" w:rsidP="00566ED1">
            <w:pPr>
              <w:spacing w:after="0"/>
              <w:rPr>
                <w:lang w:eastAsia="ja-JP"/>
              </w:rPr>
            </w:pPr>
            <w:r w:rsidRPr="00566ED1">
              <w:rPr>
                <w:rFonts w:eastAsia="Meiryo UI"/>
                <w:color w:val="000000" w:themeColor="text1"/>
                <w:kern w:val="24"/>
              </w:rPr>
              <w:t>30 kHz</w:t>
            </w:r>
          </w:p>
        </w:tc>
      </w:tr>
      <w:tr w:rsidR="00917A9E" w14:paraId="14841323" w14:textId="487BBDA8" w:rsidTr="00A65AC2">
        <w:tc>
          <w:tcPr>
            <w:tcW w:w="3399" w:type="dxa"/>
            <w:vAlign w:val="center"/>
          </w:tcPr>
          <w:p w14:paraId="71E1FD62" w14:textId="131D2BD6"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g</w:t>
            </w:r>
            <w:r>
              <w:rPr>
                <w:rFonts w:eastAsia="Meiryo UI"/>
                <w:color w:val="000000" w:themeColor="text1"/>
                <w:kern w:val="24"/>
                <w:lang w:eastAsia="ja-JP"/>
              </w:rPr>
              <w:t>NB modelling in LLS</w:t>
            </w:r>
          </w:p>
        </w:tc>
        <w:tc>
          <w:tcPr>
            <w:tcW w:w="6239" w:type="dxa"/>
            <w:vAlign w:val="center"/>
          </w:tcPr>
          <w:p w14:paraId="4E27BD95" w14:textId="6861E6B1"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4</w:t>
            </w:r>
            <w:r>
              <w:rPr>
                <w:rFonts w:eastAsia="Meiryo UI"/>
                <w:color w:val="000000" w:themeColor="text1"/>
                <w:kern w:val="24"/>
                <w:lang w:eastAsia="ja-JP"/>
              </w:rPr>
              <w:t xml:space="preserve"> gNB receive chains</w:t>
            </w:r>
          </w:p>
        </w:tc>
      </w:tr>
      <w:tr w:rsidR="00917A9E" w14:paraId="4F1AACD8" w14:textId="65A0D804" w:rsidTr="00A65AC2">
        <w:tc>
          <w:tcPr>
            <w:tcW w:w="3399" w:type="dxa"/>
            <w:vAlign w:val="center"/>
          </w:tcPr>
          <w:p w14:paraId="3D30C0D1" w14:textId="7D8E9343"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C</w:t>
            </w:r>
            <w:r>
              <w:rPr>
                <w:rFonts w:eastAsia="Meiryo UI"/>
                <w:color w:val="000000" w:themeColor="text1"/>
                <w:kern w:val="24"/>
                <w:lang w:eastAsia="ja-JP"/>
              </w:rPr>
              <w:t>hannel model</w:t>
            </w:r>
          </w:p>
        </w:tc>
        <w:tc>
          <w:tcPr>
            <w:tcW w:w="6239" w:type="dxa"/>
            <w:vAlign w:val="center"/>
          </w:tcPr>
          <w:p w14:paraId="668BF7F4" w14:textId="742F213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T</w:t>
            </w:r>
            <w:r>
              <w:rPr>
                <w:rFonts w:eastAsia="Meiryo UI"/>
                <w:color w:val="000000" w:themeColor="text1"/>
                <w:kern w:val="24"/>
                <w:lang w:eastAsia="ja-JP"/>
              </w:rPr>
              <w:t>DL-C for NLOS</w:t>
            </w:r>
          </w:p>
        </w:tc>
      </w:tr>
      <w:tr w:rsidR="00917A9E" w14:paraId="227F1197" w14:textId="22B43810" w:rsidTr="00A65AC2">
        <w:tc>
          <w:tcPr>
            <w:tcW w:w="3399" w:type="dxa"/>
            <w:vAlign w:val="center"/>
          </w:tcPr>
          <w:p w14:paraId="2A323919" w14:textId="1F17DF3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elay spread</w:t>
            </w:r>
          </w:p>
        </w:tc>
        <w:tc>
          <w:tcPr>
            <w:tcW w:w="6239" w:type="dxa"/>
            <w:vAlign w:val="center"/>
          </w:tcPr>
          <w:p w14:paraId="76D79148" w14:textId="7CECB961"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00 ns</w:t>
            </w:r>
          </w:p>
        </w:tc>
      </w:tr>
      <w:tr w:rsidR="00917A9E" w14:paraId="14AC4AEA" w14:textId="46ED5E55" w:rsidTr="00A65AC2">
        <w:tc>
          <w:tcPr>
            <w:tcW w:w="3399" w:type="dxa"/>
            <w:vAlign w:val="center"/>
          </w:tcPr>
          <w:p w14:paraId="361FE969" w14:textId="32A3E157"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U</w:t>
            </w:r>
            <w:r>
              <w:rPr>
                <w:rFonts w:eastAsia="Meiryo UI"/>
                <w:color w:val="000000" w:themeColor="text1"/>
                <w:kern w:val="24"/>
                <w:lang w:eastAsia="ja-JP"/>
              </w:rPr>
              <w:t>E velocity</w:t>
            </w:r>
          </w:p>
        </w:tc>
        <w:tc>
          <w:tcPr>
            <w:tcW w:w="6239" w:type="dxa"/>
            <w:vAlign w:val="center"/>
          </w:tcPr>
          <w:p w14:paraId="1B48C15E" w14:textId="2FEF62DC"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 xml:space="preserve"> km/h</w:t>
            </w:r>
          </w:p>
        </w:tc>
      </w:tr>
      <w:tr w:rsidR="00180DF6" w14:paraId="557BCB0B" w14:textId="512EE87F" w:rsidTr="00180DF6">
        <w:tc>
          <w:tcPr>
            <w:tcW w:w="9638" w:type="dxa"/>
            <w:gridSpan w:val="2"/>
            <w:shd w:val="clear" w:color="auto" w:fill="BFBFBF" w:themeFill="background1" w:themeFillShade="BF"/>
            <w:vAlign w:val="center"/>
          </w:tcPr>
          <w:p w14:paraId="0F9A3691" w14:textId="61ED7B8B" w:rsidR="00180DF6" w:rsidRDefault="00180DF6" w:rsidP="00566ED1">
            <w:pPr>
              <w:spacing w:after="0"/>
              <w:rPr>
                <w:rFonts w:eastAsia="Meiryo UI"/>
                <w:color w:val="000000" w:themeColor="text1"/>
                <w:kern w:val="24"/>
                <w:lang w:eastAsia="ja-JP"/>
              </w:rPr>
            </w:pPr>
            <w:r>
              <w:rPr>
                <w:rFonts w:eastAsia="Meiryo UI" w:hint="eastAsia"/>
                <w:color w:val="000000" w:themeColor="text1"/>
                <w:kern w:val="24"/>
                <w:lang w:eastAsia="ja-JP"/>
              </w:rPr>
              <w:t>P</w:t>
            </w:r>
            <w:r>
              <w:rPr>
                <w:rFonts w:eastAsia="Meiryo UI"/>
                <w:color w:val="000000" w:themeColor="text1"/>
                <w:kern w:val="24"/>
                <w:lang w:eastAsia="ja-JP"/>
              </w:rPr>
              <w:t>U</w:t>
            </w:r>
            <w:r w:rsidR="00A65AC2">
              <w:rPr>
                <w:rFonts w:eastAsia="Meiryo UI"/>
                <w:color w:val="000000" w:themeColor="text1"/>
                <w:kern w:val="24"/>
                <w:lang w:eastAsia="ja-JP"/>
              </w:rPr>
              <w:t>C</w:t>
            </w:r>
            <w:r>
              <w:rPr>
                <w:rFonts w:eastAsia="Meiryo UI"/>
                <w:color w:val="000000" w:themeColor="text1"/>
                <w:kern w:val="24"/>
                <w:lang w:eastAsia="ja-JP"/>
              </w:rPr>
              <w:t>CH evaluation parameters</w:t>
            </w:r>
          </w:p>
        </w:tc>
      </w:tr>
      <w:tr w:rsidR="00917A9E" w14:paraId="160DA827" w14:textId="2A2C17C4" w:rsidTr="00A65AC2">
        <w:tc>
          <w:tcPr>
            <w:tcW w:w="3399" w:type="dxa"/>
            <w:vAlign w:val="center"/>
          </w:tcPr>
          <w:p w14:paraId="63599CFD" w14:textId="610D6133"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T</w:t>
            </w:r>
            <w:r>
              <w:rPr>
                <w:rFonts w:eastAsia="Meiryo UI"/>
                <w:color w:val="000000" w:themeColor="text1"/>
                <w:kern w:val="24"/>
                <w:lang w:eastAsia="ja-JP"/>
              </w:rPr>
              <w:t>arget BLER</w:t>
            </w:r>
          </w:p>
        </w:tc>
        <w:tc>
          <w:tcPr>
            <w:tcW w:w="6239" w:type="dxa"/>
            <w:vAlign w:val="center"/>
          </w:tcPr>
          <w:p w14:paraId="789891CB" w14:textId="779302AE"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r>
              <w:rPr>
                <w:rFonts w:eastAsia="Meiryo UI"/>
                <w:color w:val="000000" w:themeColor="text1"/>
                <w:kern w:val="24"/>
                <w:lang w:eastAsia="ja-JP"/>
              </w:rPr>
              <w:t>% BLER</w:t>
            </w:r>
          </w:p>
        </w:tc>
      </w:tr>
      <w:tr w:rsidR="00917A9E" w14:paraId="37BE31BB" w14:textId="101DFF8D" w:rsidTr="00A65AC2">
        <w:tc>
          <w:tcPr>
            <w:tcW w:w="3399" w:type="dxa"/>
            <w:vAlign w:val="center"/>
          </w:tcPr>
          <w:p w14:paraId="198AB5F0" w14:textId="782B989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N</w:t>
            </w:r>
            <w:r>
              <w:rPr>
                <w:rFonts w:eastAsia="Meiryo UI"/>
                <w:color w:val="000000" w:themeColor="text1"/>
                <w:kern w:val="24"/>
                <w:lang w:eastAsia="ja-JP"/>
              </w:rPr>
              <w:t>umber of UE transmit chains</w:t>
            </w:r>
          </w:p>
        </w:tc>
        <w:tc>
          <w:tcPr>
            <w:tcW w:w="6239" w:type="dxa"/>
            <w:vAlign w:val="center"/>
          </w:tcPr>
          <w:p w14:paraId="69E17FCA" w14:textId="484ECC6B"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p>
        </w:tc>
      </w:tr>
      <w:tr w:rsidR="00917A9E" w14:paraId="0F8C25F9" w14:textId="0AF051BC" w:rsidTr="00A65AC2">
        <w:tc>
          <w:tcPr>
            <w:tcW w:w="3399" w:type="dxa"/>
            <w:vAlign w:val="center"/>
          </w:tcPr>
          <w:p w14:paraId="281F6A2A" w14:textId="26AB4B5B" w:rsidR="00917A9E" w:rsidRDefault="00A65AC2" w:rsidP="00566ED1">
            <w:pPr>
              <w:spacing w:after="0"/>
              <w:rPr>
                <w:rFonts w:eastAsia="Meiryo UI"/>
                <w:color w:val="000000" w:themeColor="text1"/>
                <w:kern w:val="24"/>
                <w:lang w:eastAsia="ja-JP"/>
              </w:rPr>
            </w:pPr>
            <w:r>
              <w:rPr>
                <w:rFonts w:eastAsia="Meiryo UI"/>
                <w:color w:val="000000" w:themeColor="text1"/>
                <w:kern w:val="24"/>
                <w:lang w:eastAsia="ja-JP"/>
              </w:rPr>
              <w:t>PUCCH format</w:t>
            </w:r>
          </w:p>
        </w:tc>
        <w:tc>
          <w:tcPr>
            <w:tcW w:w="6239" w:type="dxa"/>
            <w:vAlign w:val="center"/>
          </w:tcPr>
          <w:p w14:paraId="407C5B9C" w14:textId="25FE9CCE" w:rsidR="00917A9E" w:rsidRDefault="00A65AC2" w:rsidP="00566ED1">
            <w:pPr>
              <w:spacing w:after="0"/>
              <w:rPr>
                <w:rFonts w:eastAsia="Meiryo UI"/>
                <w:color w:val="000000" w:themeColor="text1"/>
                <w:kern w:val="24"/>
                <w:lang w:eastAsia="ja-JP"/>
              </w:rPr>
            </w:pPr>
            <w:r>
              <w:rPr>
                <w:rFonts w:eastAsia="Meiryo UI"/>
                <w:color w:val="000000" w:themeColor="text1"/>
                <w:kern w:val="24"/>
                <w:lang w:eastAsia="ja-JP"/>
              </w:rPr>
              <w:t>PUCCH format 3</w:t>
            </w:r>
          </w:p>
        </w:tc>
      </w:tr>
      <w:tr w:rsidR="00A65AC2" w14:paraId="03947C79" w14:textId="7DD33FFE" w:rsidTr="00A65AC2">
        <w:trPr>
          <w:trHeight w:val="20"/>
        </w:trPr>
        <w:tc>
          <w:tcPr>
            <w:tcW w:w="3399" w:type="dxa"/>
            <w:vAlign w:val="center"/>
          </w:tcPr>
          <w:p w14:paraId="3E7A445E" w14:textId="72BCE8D8" w:rsidR="00A65AC2" w:rsidRDefault="00A65AC2" w:rsidP="00566ED1">
            <w:pPr>
              <w:spacing w:after="0"/>
              <w:rPr>
                <w:rFonts w:eastAsia="Meiryo UI"/>
                <w:color w:val="000000" w:themeColor="text1"/>
                <w:kern w:val="24"/>
                <w:lang w:eastAsia="ja-JP"/>
              </w:rPr>
            </w:pPr>
            <w:r>
              <w:rPr>
                <w:rFonts w:eastAsia="Meiryo UI" w:hint="eastAsia"/>
                <w:color w:val="000000" w:themeColor="text1"/>
                <w:kern w:val="24"/>
                <w:lang w:eastAsia="ja-JP"/>
              </w:rPr>
              <w:t>P</w:t>
            </w:r>
            <w:r>
              <w:rPr>
                <w:rFonts w:eastAsia="Meiryo UI"/>
                <w:color w:val="000000" w:themeColor="text1"/>
                <w:kern w:val="24"/>
                <w:lang w:eastAsia="ja-JP"/>
              </w:rPr>
              <w:t>RBs</w:t>
            </w:r>
          </w:p>
        </w:tc>
        <w:tc>
          <w:tcPr>
            <w:tcW w:w="6239" w:type="dxa"/>
            <w:vAlign w:val="center"/>
          </w:tcPr>
          <w:p w14:paraId="2C4AE8B0" w14:textId="3B818988" w:rsidR="00A65AC2" w:rsidRDefault="00A65AC2" w:rsidP="00566ED1">
            <w:pPr>
              <w:spacing w:after="0"/>
              <w:rPr>
                <w:rFonts w:eastAsia="Meiryo UI"/>
                <w:color w:val="000000" w:themeColor="text1"/>
                <w:kern w:val="24"/>
                <w:lang w:eastAsia="ja-JP"/>
              </w:rPr>
            </w:pPr>
            <w:r>
              <w:rPr>
                <w:rFonts w:eastAsia="Meiryo UI"/>
                <w:color w:val="000000" w:themeColor="text1"/>
                <w:kern w:val="24"/>
                <w:lang w:eastAsia="ja-JP"/>
              </w:rPr>
              <w:t>1 PRB</w:t>
            </w:r>
          </w:p>
        </w:tc>
      </w:tr>
      <w:tr w:rsidR="00A65AC2" w14:paraId="232E7A2D" w14:textId="77777777" w:rsidTr="00A65AC2">
        <w:trPr>
          <w:trHeight w:val="20"/>
        </w:trPr>
        <w:tc>
          <w:tcPr>
            <w:tcW w:w="3399" w:type="dxa"/>
            <w:vAlign w:val="center"/>
          </w:tcPr>
          <w:p w14:paraId="2CDDBB7F" w14:textId="5E3B0FE5" w:rsidR="00A65AC2" w:rsidRDefault="00A65AC2" w:rsidP="00566ED1">
            <w:pPr>
              <w:spacing w:after="0"/>
              <w:rPr>
                <w:rFonts w:eastAsia="Meiryo UI"/>
                <w:color w:val="000000" w:themeColor="text1"/>
                <w:kern w:val="24"/>
                <w:lang w:eastAsia="ja-JP"/>
              </w:rPr>
            </w:pPr>
            <w:r>
              <w:rPr>
                <w:rFonts w:eastAsia="Meiryo UI" w:hint="eastAsia"/>
                <w:color w:val="000000" w:themeColor="text1"/>
                <w:kern w:val="24"/>
                <w:lang w:eastAsia="ja-JP"/>
              </w:rPr>
              <w:t>U</w:t>
            </w:r>
            <w:r>
              <w:rPr>
                <w:rFonts w:eastAsia="Meiryo UI"/>
                <w:color w:val="000000" w:themeColor="text1"/>
                <w:kern w:val="24"/>
                <w:lang w:eastAsia="ja-JP"/>
              </w:rPr>
              <w:t>CI payload size</w:t>
            </w:r>
          </w:p>
        </w:tc>
        <w:tc>
          <w:tcPr>
            <w:tcW w:w="6239" w:type="dxa"/>
            <w:vAlign w:val="center"/>
          </w:tcPr>
          <w:p w14:paraId="516ED000" w14:textId="4DD56DBB" w:rsidR="00A65AC2" w:rsidRDefault="00A65AC2"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r>
              <w:rPr>
                <w:rFonts w:eastAsia="Meiryo UI"/>
                <w:color w:val="000000" w:themeColor="text1"/>
                <w:kern w:val="24"/>
                <w:lang w:eastAsia="ja-JP"/>
              </w:rPr>
              <w:t>1, 22 bits</w:t>
            </w:r>
          </w:p>
        </w:tc>
      </w:tr>
      <w:tr w:rsidR="00645BD8" w14:paraId="7DCAAA71" w14:textId="50CD73B0" w:rsidTr="00A65AC2">
        <w:tc>
          <w:tcPr>
            <w:tcW w:w="3399" w:type="dxa"/>
            <w:vAlign w:val="center"/>
          </w:tcPr>
          <w:p w14:paraId="1014AAB0" w14:textId="79980700"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uration</w:t>
            </w:r>
          </w:p>
        </w:tc>
        <w:tc>
          <w:tcPr>
            <w:tcW w:w="6239" w:type="dxa"/>
            <w:vAlign w:val="center"/>
          </w:tcPr>
          <w:p w14:paraId="74DC1946" w14:textId="40CD44D5"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r>
              <w:rPr>
                <w:rFonts w:eastAsia="Meiryo UI"/>
                <w:color w:val="000000" w:themeColor="text1"/>
                <w:kern w:val="24"/>
                <w:lang w:eastAsia="ja-JP"/>
              </w:rPr>
              <w:t>4 OFDM symbols</w:t>
            </w:r>
          </w:p>
        </w:tc>
      </w:tr>
      <w:tr w:rsidR="00645BD8" w14:paraId="61160280" w14:textId="3AC299AD" w:rsidTr="00A65AC2">
        <w:tc>
          <w:tcPr>
            <w:tcW w:w="3399" w:type="dxa"/>
            <w:vAlign w:val="center"/>
          </w:tcPr>
          <w:p w14:paraId="40BC2484" w14:textId="445A44E6"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F</w:t>
            </w:r>
            <w:r>
              <w:rPr>
                <w:rFonts w:eastAsia="Meiryo UI"/>
                <w:color w:val="000000" w:themeColor="text1"/>
                <w:kern w:val="24"/>
                <w:lang w:eastAsia="ja-JP"/>
              </w:rPr>
              <w:t>requency hopping</w:t>
            </w:r>
          </w:p>
        </w:tc>
        <w:tc>
          <w:tcPr>
            <w:tcW w:w="6239" w:type="dxa"/>
            <w:vAlign w:val="center"/>
          </w:tcPr>
          <w:p w14:paraId="568E5671" w14:textId="27E42346" w:rsidR="00645BD8" w:rsidRDefault="00A65AC2" w:rsidP="00566ED1">
            <w:pPr>
              <w:spacing w:after="0"/>
              <w:rPr>
                <w:rFonts w:eastAsia="Meiryo UI"/>
                <w:color w:val="000000" w:themeColor="text1"/>
                <w:kern w:val="24"/>
                <w:lang w:eastAsia="ja-JP"/>
              </w:rPr>
            </w:pPr>
            <w:r>
              <w:rPr>
                <w:rFonts w:eastAsia="Meiryo UI"/>
                <w:color w:val="000000" w:themeColor="text1"/>
                <w:kern w:val="24"/>
                <w:lang w:eastAsia="ja-JP"/>
              </w:rPr>
              <w:t>Disabled</w:t>
            </w:r>
          </w:p>
        </w:tc>
      </w:tr>
      <w:tr w:rsidR="00645BD8" w14:paraId="4B2FE410" w14:textId="2D9709AA" w:rsidTr="00A65AC2">
        <w:tc>
          <w:tcPr>
            <w:tcW w:w="3399" w:type="dxa"/>
            <w:vAlign w:val="center"/>
          </w:tcPr>
          <w:p w14:paraId="0A880667" w14:textId="0890FBC3"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MRS configuration</w:t>
            </w:r>
          </w:p>
        </w:tc>
        <w:tc>
          <w:tcPr>
            <w:tcW w:w="6239" w:type="dxa"/>
            <w:vAlign w:val="center"/>
          </w:tcPr>
          <w:p w14:paraId="165A85B8" w14:textId="06C55E72" w:rsidR="00645BD8" w:rsidRDefault="00645BD8" w:rsidP="00566ED1">
            <w:pPr>
              <w:spacing w:after="0"/>
              <w:rPr>
                <w:rFonts w:eastAsia="Meiryo UI"/>
                <w:color w:val="000000" w:themeColor="text1"/>
                <w:kern w:val="24"/>
                <w:lang w:eastAsia="ja-JP"/>
              </w:rPr>
            </w:pPr>
            <w:r>
              <w:rPr>
                <w:rFonts w:eastAsia="Meiryo UI"/>
                <w:color w:val="000000" w:themeColor="text1"/>
                <w:kern w:val="24"/>
                <w:lang w:eastAsia="ja-JP"/>
              </w:rPr>
              <w:t>2 DMRS symbol</w:t>
            </w:r>
            <w:r w:rsidR="00A65AC2">
              <w:rPr>
                <w:rFonts w:eastAsia="Meiryo UI"/>
                <w:color w:val="000000" w:themeColor="text1"/>
                <w:kern w:val="24"/>
                <w:lang w:eastAsia="ja-JP"/>
              </w:rPr>
              <w:t>s</w:t>
            </w:r>
          </w:p>
        </w:tc>
      </w:tr>
      <w:tr w:rsidR="00645BD8" w14:paraId="49F5893D" w14:textId="29C897D8" w:rsidTr="00A65AC2">
        <w:tc>
          <w:tcPr>
            <w:tcW w:w="3399" w:type="dxa"/>
            <w:vAlign w:val="center"/>
          </w:tcPr>
          <w:p w14:paraId="0B3BFF04" w14:textId="47E8A9C7"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R</w:t>
            </w:r>
            <w:r>
              <w:rPr>
                <w:rFonts w:eastAsia="Meiryo UI"/>
                <w:color w:val="000000" w:themeColor="text1"/>
                <w:kern w:val="24"/>
                <w:lang w:eastAsia="ja-JP"/>
              </w:rPr>
              <w:t>epetition</w:t>
            </w:r>
          </w:p>
        </w:tc>
        <w:tc>
          <w:tcPr>
            <w:tcW w:w="6239" w:type="dxa"/>
            <w:vAlign w:val="center"/>
          </w:tcPr>
          <w:p w14:paraId="0F76158F" w14:textId="5D0A7473" w:rsidR="00645BD8" w:rsidRDefault="00A65AC2" w:rsidP="00566ED1">
            <w:pPr>
              <w:spacing w:after="0"/>
              <w:rPr>
                <w:rFonts w:eastAsia="Meiryo UI"/>
                <w:color w:val="000000" w:themeColor="text1"/>
                <w:kern w:val="24"/>
                <w:lang w:eastAsia="ja-JP"/>
              </w:rPr>
            </w:pPr>
            <w:r>
              <w:rPr>
                <w:rFonts w:eastAsia="Meiryo UI"/>
                <w:color w:val="000000" w:themeColor="text1"/>
                <w:kern w:val="24"/>
                <w:lang w:eastAsia="ja-JP"/>
              </w:rPr>
              <w:t xml:space="preserve">2, </w:t>
            </w:r>
            <w:r w:rsidR="00645BD8">
              <w:rPr>
                <w:rFonts w:eastAsia="Meiryo UI"/>
                <w:color w:val="000000" w:themeColor="text1"/>
                <w:kern w:val="24"/>
                <w:lang w:eastAsia="ja-JP"/>
              </w:rPr>
              <w:t>4, 8 repetitions</w:t>
            </w:r>
          </w:p>
        </w:tc>
      </w:tr>
    </w:tbl>
    <w:p w14:paraId="3CEBE974" w14:textId="77777777" w:rsidR="00102F6A" w:rsidRPr="00102F6A" w:rsidRDefault="00102F6A" w:rsidP="00D71EB5">
      <w:pPr>
        <w:tabs>
          <w:tab w:val="left" w:pos="3590"/>
        </w:tabs>
        <w:spacing w:beforeLines="50" w:before="120" w:after="0"/>
        <w:rPr>
          <w:rFonts w:eastAsiaTheme="minorEastAsia"/>
          <w:lang w:eastAsia="ja-JP"/>
        </w:rPr>
      </w:pPr>
    </w:p>
    <w:sectPr w:rsidR="00102F6A" w:rsidRPr="00102F6A">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77B2C" w14:textId="77777777" w:rsidR="00F51387" w:rsidRDefault="00F51387">
      <w:r>
        <w:separator/>
      </w:r>
    </w:p>
  </w:endnote>
  <w:endnote w:type="continuationSeparator" w:id="0">
    <w:p w14:paraId="4AC0EF37" w14:textId="77777777" w:rsidR="00F51387" w:rsidRDefault="00F51387">
      <w:r>
        <w:continuationSeparator/>
      </w:r>
    </w:p>
  </w:endnote>
  <w:endnote w:type="continuationNotice" w:id="1">
    <w:p w14:paraId="08FCEBA2" w14:textId="77777777" w:rsidR="00F51387" w:rsidRDefault="00F51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039D0" w14:textId="77777777" w:rsidR="00F51387" w:rsidRDefault="00F51387">
      <w:r>
        <w:separator/>
      </w:r>
    </w:p>
  </w:footnote>
  <w:footnote w:type="continuationSeparator" w:id="0">
    <w:p w14:paraId="34749A22" w14:textId="77777777" w:rsidR="00F51387" w:rsidRDefault="00F51387">
      <w:r>
        <w:continuationSeparator/>
      </w:r>
    </w:p>
  </w:footnote>
  <w:footnote w:type="continuationNotice" w:id="1">
    <w:p w14:paraId="417CCEBF" w14:textId="77777777" w:rsidR="00F51387" w:rsidRDefault="00F513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6"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8"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8"/>
  </w:num>
  <w:num w:numId="2">
    <w:abstractNumId w:val="21"/>
  </w:num>
  <w:num w:numId="3">
    <w:abstractNumId w:val="10"/>
  </w:num>
  <w:num w:numId="4">
    <w:abstractNumId w:val="17"/>
  </w:num>
  <w:num w:numId="5">
    <w:abstractNumId w:val="13"/>
  </w:num>
  <w:num w:numId="6">
    <w:abstractNumId w:val="14"/>
  </w:num>
  <w:num w:numId="7">
    <w:abstractNumId w:val="12"/>
  </w:num>
  <w:num w:numId="8">
    <w:abstractNumId w:val="20"/>
  </w:num>
  <w:num w:numId="9">
    <w:abstractNumId w:val="3"/>
  </w:num>
  <w:num w:numId="10">
    <w:abstractNumId w:val="6"/>
  </w:num>
  <w:num w:numId="11">
    <w:abstractNumId w:val="2"/>
  </w:num>
  <w:num w:numId="12">
    <w:abstractNumId w:val="16"/>
  </w:num>
  <w:num w:numId="13">
    <w:abstractNumId w:val="15"/>
  </w:num>
  <w:num w:numId="14">
    <w:abstractNumId w:val="11"/>
  </w:num>
  <w:num w:numId="15">
    <w:abstractNumId w:val="1"/>
  </w:num>
  <w:num w:numId="16">
    <w:abstractNumId w:val="4"/>
  </w:num>
  <w:num w:numId="17">
    <w:abstractNumId w:val="8"/>
  </w:num>
  <w:num w:numId="18">
    <w:abstractNumId w:val="9"/>
  </w:num>
  <w:num w:numId="19">
    <w:abstractNumId w:val="19"/>
  </w:num>
  <w:num w:numId="20">
    <w:abstractNumId w:val="7"/>
  </w:num>
  <w:num w:numId="21">
    <w:abstractNumId w:val="0"/>
  </w:num>
  <w:num w:numId="2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485"/>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1405"/>
    <w:rsid w:val="00081D85"/>
    <w:rsid w:val="00081E4C"/>
    <w:rsid w:val="00082B6C"/>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4A01"/>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939"/>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9CB"/>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5E26"/>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6BB5"/>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16D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8F1"/>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4CE"/>
    <w:rsid w:val="002B65BF"/>
    <w:rsid w:val="002B6F5B"/>
    <w:rsid w:val="002B787F"/>
    <w:rsid w:val="002C04A3"/>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40F0C"/>
    <w:rsid w:val="0034144A"/>
    <w:rsid w:val="0034163E"/>
    <w:rsid w:val="003418E0"/>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40F7"/>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10DA"/>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6F53"/>
    <w:rsid w:val="003C7177"/>
    <w:rsid w:val="003C7682"/>
    <w:rsid w:val="003D01F5"/>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96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0E2A"/>
    <w:rsid w:val="00471AAB"/>
    <w:rsid w:val="00471CC5"/>
    <w:rsid w:val="00472C46"/>
    <w:rsid w:val="00473206"/>
    <w:rsid w:val="00474496"/>
    <w:rsid w:val="004746EB"/>
    <w:rsid w:val="004755DD"/>
    <w:rsid w:val="004762D9"/>
    <w:rsid w:val="00476E9A"/>
    <w:rsid w:val="00476FB0"/>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4E49"/>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3F73"/>
    <w:rsid w:val="0058436A"/>
    <w:rsid w:val="005846A0"/>
    <w:rsid w:val="00584886"/>
    <w:rsid w:val="005852B5"/>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1D54"/>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394"/>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4D7"/>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891"/>
    <w:rsid w:val="00631A95"/>
    <w:rsid w:val="00631D2C"/>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2E23"/>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4C68"/>
    <w:rsid w:val="00695061"/>
    <w:rsid w:val="006950B1"/>
    <w:rsid w:val="006951CF"/>
    <w:rsid w:val="006955EE"/>
    <w:rsid w:val="00695C91"/>
    <w:rsid w:val="00695E67"/>
    <w:rsid w:val="0069734E"/>
    <w:rsid w:val="006976AD"/>
    <w:rsid w:val="00697EA8"/>
    <w:rsid w:val="006A031F"/>
    <w:rsid w:val="006A046A"/>
    <w:rsid w:val="006A0561"/>
    <w:rsid w:val="006A062C"/>
    <w:rsid w:val="006A097D"/>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19C"/>
    <w:rsid w:val="006D254D"/>
    <w:rsid w:val="006D2864"/>
    <w:rsid w:val="006D3179"/>
    <w:rsid w:val="006D370F"/>
    <w:rsid w:val="006D3E28"/>
    <w:rsid w:val="006D45F7"/>
    <w:rsid w:val="006D4DD5"/>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23E"/>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1CC"/>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700"/>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7C9"/>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9BD"/>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72C"/>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8E3"/>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97998"/>
    <w:rsid w:val="008A0054"/>
    <w:rsid w:val="008A07D6"/>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0BC"/>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E1B"/>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2D7"/>
    <w:rsid w:val="008D7775"/>
    <w:rsid w:val="008D78B5"/>
    <w:rsid w:val="008E00E2"/>
    <w:rsid w:val="008E040B"/>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386"/>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150"/>
    <w:rsid w:val="00902FB2"/>
    <w:rsid w:val="00902FF8"/>
    <w:rsid w:val="0090367F"/>
    <w:rsid w:val="00903D1E"/>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028"/>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0D74"/>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753"/>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ADE"/>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1F12"/>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EEF"/>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28C"/>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2EFC"/>
    <w:rsid w:val="00A33475"/>
    <w:rsid w:val="00A33499"/>
    <w:rsid w:val="00A33C1C"/>
    <w:rsid w:val="00A34230"/>
    <w:rsid w:val="00A352B9"/>
    <w:rsid w:val="00A35A5C"/>
    <w:rsid w:val="00A36527"/>
    <w:rsid w:val="00A36F48"/>
    <w:rsid w:val="00A37659"/>
    <w:rsid w:val="00A376F4"/>
    <w:rsid w:val="00A37A9C"/>
    <w:rsid w:val="00A407D5"/>
    <w:rsid w:val="00A408F0"/>
    <w:rsid w:val="00A41152"/>
    <w:rsid w:val="00A4186A"/>
    <w:rsid w:val="00A41A83"/>
    <w:rsid w:val="00A4248C"/>
    <w:rsid w:val="00A4277C"/>
    <w:rsid w:val="00A42C66"/>
    <w:rsid w:val="00A4315F"/>
    <w:rsid w:val="00A434E0"/>
    <w:rsid w:val="00A4352A"/>
    <w:rsid w:val="00A435CD"/>
    <w:rsid w:val="00A43992"/>
    <w:rsid w:val="00A43C8F"/>
    <w:rsid w:val="00A44202"/>
    <w:rsid w:val="00A442FF"/>
    <w:rsid w:val="00A44446"/>
    <w:rsid w:val="00A44563"/>
    <w:rsid w:val="00A44E92"/>
    <w:rsid w:val="00A4545C"/>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5AC2"/>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50E8"/>
    <w:rsid w:val="00A75456"/>
    <w:rsid w:val="00A75DFB"/>
    <w:rsid w:val="00A76CFF"/>
    <w:rsid w:val="00A76E02"/>
    <w:rsid w:val="00A8031E"/>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CB2"/>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992"/>
    <w:rsid w:val="00B06AC9"/>
    <w:rsid w:val="00B06FAD"/>
    <w:rsid w:val="00B072DA"/>
    <w:rsid w:val="00B074E5"/>
    <w:rsid w:val="00B10430"/>
    <w:rsid w:val="00B10AD8"/>
    <w:rsid w:val="00B10F6E"/>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2F48"/>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5A04"/>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425"/>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2788"/>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344"/>
    <w:rsid w:val="00D347AD"/>
    <w:rsid w:val="00D34804"/>
    <w:rsid w:val="00D35334"/>
    <w:rsid w:val="00D354A5"/>
    <w:rsid w:val="00D3734F"/>
    <w:rsid w:val="00D374DE"/>
    <w:rsid w:val="00D3750C"/>
    <w:rsid w:val="00D376CF"/>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437"/>
    <w:rsid w:val="00DC4BD6"/>
    <w:rsid w:val="00DC4E1E"/>
    <w:rsid w:val="00DC50EB"/>
    <w:rsid w:val="00DC601A"/>
    <w:rsid w:val="00DC64D3"/>
    <w:rsid w:val="00DC69C4"/>
    <w:rsid w:val="00DC6FEE"/>
    <w:rsid w:val="00DC773F"/>
    <w:rsid w:val="00DC77C2"/>
    <w:rsid w:val="00DC77E3"/>
    <w:rsid w:val="00DD1662"/>
    <w:rsid w:val="00DD1B7C"/>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0A"/>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0A2"/>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3ED"/>
    <w:rsid w:val="00E43872"/>
    <w:rsid w:val="00E43CF2"/>
    <w:rsid w:val="00E44132"/>
    <w:rsid w:val="00E44F61"/>
    <w:rsid w:val="00E45319"/>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2D3F"/>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100"/>
    <w:rsid w:val="00F0511B"/>
    <w:rsid w:val="00F05667"/>
    <w:rsid w:val="00F05991"/>
    <w:rsid w:val="00F0603A"/>
    <w:rsid w:val="00F060DC"/>
    <w:rsid w:val="00F06429"/>
    <w:rsid w:val="00F069D8"/>
    <w:rsid w:val="00F073A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74E"/>
    <w:rsid w:val="00F4388C"/>
    <w:rsid w:val="00F43C90"/>
    <w:rsid w:val="00F44265"/>
    <w:rsid w:val="00F4448E"/>
    <w:rsid w:val="00F44704"/>
    <w:rsid w:val="00F450AC"/>
    <w:rsid w:val="00F45192"/>
    <w:rsid w:val="00F46A24"/>
    <w:rsid w:val="00F46B4B"/>
    <w:rsid w:val="00F4712B"/>
    <w:rsid w:val="00F4721C"/>
    <w:rsid w:val="00F4736D"/>
    <w:rsid w:val="00F47781"/>
    <w:rsid w:val="00F50251"/>
    <w:rsid w:val="00F507BD"/>
    <w:rsid w:val="00F50ACD"/>
    <w:rsid w:val="00F51387"/>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8D1"/>
    <w:rsid w:val="00FA7AC4"/>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4E1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A4115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1B96F-4CD4-422D-B494-35D577595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DD01AC-BB9C-43FA-96C9-8751BC82F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1233</Words>
  <Characters>7033</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11</cp:revision>
  <cp:lastPrinted>2010-04-02T09:58:00Z</cp:lastPrinted>
  <dcterms:created xsi:type="dcterms:W3CDTF">2021-01-14T08:16:00Z</dcterms:created>
  <dcterms:modified xsi:type="dcterms:W3CDTF">2021-01-15T08:56:00Z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