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991D2" w14:textId="77777777" w:rsidR="007F1B01" w:rsidRDefault="008F0B14">
      <w:pPr>
        <w:pStyle w:val="afe"/>
        <w:snapToGrid w:val="0"/>
        <w:rPr>
          <w:rFonts w:eastAsia="宋体"/>
          <w:sz w:val="22"/>
          <w:szCs w:val="22"/>
          <w:lang w:eastAsia="zh-CN"/>
        </w:rPr>
      </w:pPr>
      <w:r>
        <w:rPr>
          <w:rFonts w:eastAsia="宋体"/>
          <w:sz w:val="22"/>
          <w:szCs w:val="22"/>
          <w:lang w:eastAsia="zh-CN"/>
        </w:rPr>
        <w:t xml:space="preserve">3GPP TSG RAN WG1 Meeting #103-e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0xxxx</w:t>
      </w:r>
    </w:p>
    <w:p w14:paraId="4D0C0845" w14:textId="77777777" w:rsidR="007F1B01" w:rsidRDefault="008F0B14">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Nov. 13</w:t>
      </w:r>
      <w:r>
        <w:rPr>
          <w:rFonts w:ascii="Arial" w:hAnsi="Arial"/>
          <w:b/>
          <w:vertAlign w:val="superscript"/>
        </w:rPr>
        <w:t>th</w:t>
      </w:r>
      <w:r>
        <w:rPr>
          <w:rFonts w:ascii="Arial" w:hAnsi="Arial"/>
          <w:b/>
          <w:lang w:eastAsia="ja-JP"/>
        </w:rPr>
        <w:t>, 2020</w:t>
      </w:r>
    </w:p>
    <w:p w14:paraId="61A616E1" w14:textId="77777777" w:rsidR="007F1B01" w:rsidRDefault="008F0B14">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3BC8B172" w14:textId="77777777" w:rsidR="007F1B01" w:rsidRDefault="008F0B14">
      <w:pPr>
        <w:pStyle w:val="afe"/>
        <w:snapToGrid w:val="0"/>
        <w:rPr>
          <w:rFonts w:eastAsia="宋体"/>
          <w:sz w:val="22"/>
          <w:szCs w:val="22"/>
          <w:lang w:eastAsia="zh-CN"/>
        </w:rPr>
      </w:pPr>
      <w:r>
        <w:rPr>
          <w:rFonts w:eastAsia="宋体"/>
          <w:sz w:val="22"/>
          <w:szCs w:val="22"/>
          <w:lang w:eastAsia="zh-CN"/>
        </w:rPr>
        <w:t xml:space="preserve">Title:                   </w:t>
      </w:r>
      <w:r>
        <w:rPr>
          <w:sz w:val="22"/>
          <w:szCs w:val="22"/>
        </w:rPr>
        <w:t>FL summary #2 on SRS enhancements</w:t>
      </w:r>
    </w:p>
    <w:p w14:paraId="1D4C37FC" w14:textId="77777777" w:rsidR="007F1B01" w:rsidRDefault="008F0B14">
      <w:pPr>
        <w:pStyle w:val="afe"/>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00C82A9" w14:textId="77777777" w:rsidR="007F1B01" w:rsidRDefault="008F0B14">
      <w:pPr>
        <w:pStyle w:val="afe"/>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4AFD4524" w14:textId="77777777" w:rsidR="007F1B01" w:rsidRDefault="007F1B01">
      <w:pPr>
        <w:pStyle w:val="afe"/>
        <w:snapToGrid w:val="0"/>
        <w:rPr>
          <w:rFonts w:eastAsia="宋体"/>
          <w:szCs w:val="20"/>
          <w:lang w:eastAsia="zh-CN"/>
        </w:rPr>
      </w:pPr>
    </w:p>
    <w:p w14:paraId="7152554F" w14:textId="77777777" w:rsidR="007F1B01" w:rsidRDefault="007F1B01">
      <w:pPr>
        <w:pBdr>
          <w:bottom w:val="single" w:sz="4" w:space="1" w:color="000000"/>
        </w:pBdr>
        <w:tabs>
          <w:tab w:val="left" w:pos="2552"/>
        </w:tabs>
        <w:snapToGrid w:val="0"/>
        <w:spacing w:line="240" w:lineRule="auto"/>
        <w:rPr>
          <w:sz w:val="4"/>
          <w:szCs w:val="4"/>
        </w:rPr>
      </w:pPr>
    </w:p>
    <w:p w14:paraId="7E9FB2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4F9893AA"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2B65B19B" w14:textId="77777777" w:rsidR="007F1B01" w:rsidRDefault="008F0B14">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775B60C5"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79C6120"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546D056" w14:textId="77777777" w:rsidR="007F1B01" w:rsidRDefault="008F0B14">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8B32033"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The relevant agreements made in previous RAN1 meetings are given in Appendix.</w:t>
      </w:r>
    </w:p>
    <w:p w14:paraId="6AE71DC4" w14:textId="77777777" w:rsidR="007F1B01" w:rsidRDefault="008F0B14">
      <w:pPr>
        <w:snapToGrid w:val="0"/>
        <w:spacing w:before="120" w:after="120" w:line="240" w:lineRule="auto"/>
        <w:jc w:val="both"/>
        <w:rPr>
          <w:rFonts w:eastAsia="微软雅黑"/>
          <w:sz w:val="20"/>
          <w:szCs w:val="20"/>
          <w:lang w:val="en-GB"/>
        </w:rPr>
      </w:pPr>
      <w:r>
        <w:rPr>
          <w:rFonts w:eastAsia="微软雅黑"/>
          <w:sz w:val="20"/>
          <w:szCs w:val="20"/>
          <w:lang w:val="en-GB"/>
        </w:rPr>
        <w:t>In this contribution, we summarize companies’ views on the above SRS enhancements submitted to RAN1#103e [2]-[27].</w:t>
      </w:r>
    </w:p>
    <w:p w14:paraId="3F6DCEDB" w14:textId="77777777" w:rsidR="007F1B01" w:rsidRDefault="007F1B01">
      <w:pPr>
        <w:snapToGrid w:val="0"/>
        <w:spacing w:before="120" w:after="120" w:line="240" w:lineRule="auto"/>
        <w:jc w:val="both"/>
        <w:rPr>
          <w:rFonts w:eastAsia="微软雅黑"/>
          <w:sz w:val="20"/>
          <w:szCs w:val="20"/>
          <w:lang w:val="en-GB"/>
        </w:rPr>
      </w:pPr>
    </w:p>
    <w:p w14:paraId="72A57BB3"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5187818E"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5682046B"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4F062EC" w14:textId="77777777" w:rsidR="007F1B01" w:rsidRDefault="007F1B01">
      <w:pPr>
        <w:widowControl w:val="0"/>
        <w:snapToGrid w:val="0"/>
        <w:spacing w:before="120" w:after="120" w:line="240" w:lineRule="auto"/>
        <w:jc w:val="both"/>
        <w:rPr>
          <w:rFonts w:eastAsia="微软雅黑"/>
          <w:sz w:val="20"/>
          <w:szCs w:val="20"/>
        </w:rPr>
      </w:pPr>
    </w:p>
    <w:p w14:paraId="250FE0B6"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6D2C6BF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Void.</w:t>
      </w:r>
    </w:p>
    <w:p w14:paraId="5C362E34" w14:textId="77777777" w:rsidR="007F1B01" w:rsidRDefault="007F1B01">
      <w:pPr>
        <w:widowControl w:val="0"/>
        <w:snapToGrid w:val="0"/>
        <w:spacing w:before="120" w:after="120" w:line="240" w:lineRule="auto"/>
        <w:jc w:val="both"/>
        <w:rPr>
          <w:rFonts w:eastAsia="微软雅黑"/>
          <w:sz w:val="20"/>
          <w:szCs w:val="20"/>
        </w:rPr>
      </w:pPr>
    </w:p>
    <w:p w14:paraId="25977482"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3E5D5D1E"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A number of companies discuss the issue of supporting specification solution to reuse same SRS resource(s) for multiple usages explicitly. Table 2-3 summarize their views.</w:t>
      </w:r>
    </w:p>
    <w:p w14:paraId="1ECA2317"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2-3 Summary of companies’ views on SRS resource reuse enhancement</w:t>
      </w:r>
    </w:p>
    <w:tbl>
      <w:tblPr>
        <w:tblStyle w:val="aff4"/>
        <w:tblW w:w="9350" w:type="dxa"/>
        <w:jc w:val="center"/>
        <w:tblLook w:val="04A0" w:firstRow="1" w:lastRow="0" w:firstColumn="1" w:lastColumn="0" w:noHBand="0" w:noVBand="1"/>
      </w:tblPr>
      <w:tblGrid>
        <w:gridCol w:w="2312"/>
        <w:gridCol w:w="872"/>
        <w:gridCol w:w="6166"/>
      </w:tblGrid>
      <w:tr w:rsidR="007F1B01" w14:paraId="5C5C09A4" w14:textId="77777777">
        <w:trPr>
          <w:jc w:val="center"/>
        </w:trPr>
        <w:tc>
          <w:tcPr>
            <w:tcW w:w="2312" w:type="dxa"/>
            <w:shd w:val="clear" w:color="auto" w:fill="auto"/>
          </w:tcPr>
          <w:p w14:paraId="4BB0DF01"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5B68054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6166" w:type="dxa"/>
            <w:shd w:val="clear" w:color="auto" w:fill="auto"/>
          </w:tcPr>
          <w:p w14:paraId="40A02FF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2BDE9CA6" w14:textId="77777777">
        <w:trPr>
          <w:jc w:val="center"/>
        </w:trPr>
        <w:tc>
          <w:tcPr>
            <w:tcW w:w="2312" w:type="dxa"/>
            <w:shd w:val="clear" w:color="auto" w:fill="auto"/>
          </w:tcPr>
          <w:p w14:paraId="51EAB14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specification solution to reuse same SRS resource(s) for multiple usages</w:t>
            </w:r>
          </w:p>
        </w:tc>
        <w:tc>
          <w:tcPr>
            <w:tcW w:w="872" w:type="dxa"/>
            <w:shd w:val="clear" w:color="auto" w:fill="auto"/>
          </w:tcPr>
          <w:p w14:paraId="33A06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12</w:t>
            </w:r>
          </w:p>
        </w:tc>
        <w:tc>
          <w:tcPr>
            <w:tcW w:w="6166" w:type="dxa"/>
            <w:shd w:val="clear" w:color="auto" w:fill="auto"/>
          </w:tcPr>
          <w:p w14:paraId="2B886D8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MediaTek (for only T=R), Intel (for only T=R, and Full power mode 2 is not enabled), Spreadtrum (Using MAC CE or DCI to indicate multiple usages), NTT DOCOMO, Ericsson, vivo, CATT (for the case that ‘codebook’ and ‘antenna switching’ has same number of Tx ports), CMCC, Apple, Nokia, NSB, CEWiT</w:t>
            </w:r>
          </w:p>
        </w:tc>
      </w:tr>
      <w:tr w:rsidR="007F1B01" w14:paraId="71D4B355" w14:textId="77777777">
        <w:trPr>
          <w:jc w:val="center"/>
        </w:trPr>
        <w:tc>
          <w:tcPr>
            <w:tcW w:w="2312" w:type="dxa"/>
            <w:shd w:val="clear" w:color="auto" w:fill="auto"/>
          </w:tcPr>
          <w:p w14:paraId="162C66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Do not support or need </w:t>
            </w:r>
            <w:r>
              <w:rPr>
                <w:rFonts w:eastAsia="微软雅黑"/>
                <w:sz w:val="20"/>
                <w:szCs w:val="20"/>
              </w:rPr>
              <w:lastRenderedPageBreak/>
              <w:t>further study</w:t>
            </w:r>
          </w:p>
        </w:tc>
        <w:tc>
          <w:tcPr>
            <w:tcW w:w="872" w:type="dxa"/>
            <w:shd w:val="clear" w:color="auto" w:fill="auto"/>
          </w:tcPr>
          <w:p w14:paraId="4065CA7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6166" w:type="dxa"/>
            <w:shd w:val="clear" w:color="auto" w:fill="auto"/>
          </w:tcPr>
          <w:p w14:paraId="1C15226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Futurewei, Huawei, HiSilicon, Qualcomm, OPPO, ZTE, Xiaomi, LG, </w:t>
            </w:r>
            <w:r>
              <w:rPr>
                <w:rFonts w:eastAsia="微软雅黑"/>
                <w:sz w:val="20"/>
                <w:szCs w:val="20"/>
              </w:rPr>
              <w:lastRenderedPageBreak/>
              <w:t>Lenovo, MotM</w:t>
            </w:r>
          </w:p>
        </w:tc>
      </w:tr>
    </w:tbl>
    <w:p w14:paraId="07F0CAC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It seems more input and discussion are needed to draw conclusion for this issue. </w:t>
      </w:r>
    </w:p>
    <w:p w14:paraId="3B9EFFCB" w14:textId="77777777" w:rsidR="007F1B01" w:rsidRDefault="007F1B01">
      <w:pPr>
        <w:widowControl w:val="0"/>
        <w:snapToGrid w:val="0"/>
        <w:spacing w:before="120" w:after="120" w:line="240" w:lineRule="auto"/>
        <w:jc w:val="both"/>
        <w:rPr>
          <w:rFonts w:eastAsia="微软雅黑"/>
          <w:sz w:val="20"/>
          <w:szCs w:val="20"/>
        </w:rPr>
      </w:pPr>
    </w:p>
    <w:p w14:paraId="5DC7D2A1"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The following proposed conclusion from Ericsson in the first-round discussion can be a good start point to move forward.</w:t>
      </w:r>
    </w:p>
    <w:p w14:paraId="55E85A0E" w14:textId="77777777" w:rsidR="007F1B01" w:rsidRDefault="008F0B14">
      <w:pPr>
        <w:widowControl w:val="0"/>
        <w:snapToGrid w:val="0"/>
        <w:spacing w:before="120" w:after="120" w:line="240" w:lineRule="auto"/>
        <w:jc w:val="both"/>
        <w:rPr>
          <w:rFonts w:eastAsia="微软雅黑"/>
          <w:b/>
          <w:i/>
          <w:sz w:val="20"/>
          <w:szCs w:val="20"/>
        </w:rPr>
      </w:pPr>
      <w:r>
        <w:rPr>
          <w:rFonts w:eastAsia="微软雅黑"/>
          <w:b/>
          <w:i/>
          <w:sz w:val="20"/>
          <w:szCs w:val="20"/>
          <w:highlight w:val="yellow"/>
        </w:rPr>
        <w:t>Proposed conclusion:</w:t>
      </w:r>
    </w:p>
    <w:p w14:paraId="4DD3B6AF" w14:textId="4D2EE8BE"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A Rel-15/16 UE that supports</w:t>
      </w:r>
      <w:ins w:id="2" w:author="ZTE" w:date="2020-11-09T14:47:00Z">
        <w:r w:rsidR="003F68A5">
          <w:rPr>
            <w:rFonts w:eastAsia="微软雅黑"/>
            <w:i/>
            <w:sz w:val="20"/>
            <w:szCs w:val="20"/>
          </w:rPr>
          <w:t xml:space="preserve"> at least</w:t>
        </w:r>
      </w:ins>
      <w:r>
        <w:rPr>
          <w:rFonts w:eastAsia="微软雅黑"/>
          <w:i/>
          <w:sz w:val="20"/>
          <w:szCs w:val="20"/>
        </w:rPr>
        <w:t xml:space="preserve"> nT=nR antenna switching with n={1,2,4} can be configured with an n port SRS resource that is in both an SRS resource set with usage=’codebook’ and another SRS resource set with usage=’antennaSwitching’, provided that the SRS resource sets have the same time domain behavior.</w:t>
      </w:r>
    </w:p>
    <w:p w14:paraId="4E142B1E" w14:textId="77777777" w:rsidR="007F1B01" w:rsidRDefault="007F1B01">
      <w:pPr>
        <w:widowControl w:val="0"/>
        <w:snapToGrid w:val="0"/>
        <w:spacing w:before="120" w:after="120" w:line="240" w:lineRule="auto"/>
        <w:jc w:val="both"/>
        <w:rPr>
          <w:rFonts w:eastAsia="微软雅黑"/>
          <w:sz w:val="20"/>
          <w:szCs w:val="20"/>
        </w:rPr>
      </w:pPr>
    </w:p>
    <w:p w14:paraId="76C70C0A"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are encouraged to provide feedback on this proposed conclusion, esp. on the following questions</w:t>
      </w:r>
    </w:p>
    <w:p w14:paraId="4D25DC49" w14:textId="77777777" w:rsidR="007F1B01" w:rsidRDefault="008F0B14">
      <w:pPr>
        <w:pStyle w:val="aff2"/>
        <w:widowControl w:val="0"/>
        <w:numPr>
          <w:ilvl w:val="0"/>
          <w:numId w:val="4"/>
        </w:numPr>
        <w:snapToGrid w:val="0"/>
        <w:spacing w:before="120" w:after="120" w:line="240" w:lineRule="auto"/>
        <w:jc w:val="both"/>
        <w:rPr>
          <w:rFonts w:eastAsia="微软雅黑"/>
          <w:sz w:val="20"/>
          <w:szCs w:val="20"/>
          <w:u w:val="single"/>
        </w:rPr>
      </w:pPr>
      <w:r>
        <w:rPr>
          <w:rFonts w:eastAsia="微软雅黑"/>
          <w:sz w:val="20"/>
          <w:szCs w:val="20"/>
          <w:u w:val="single"/>
        </w:rPr>
        <w:t>Whether you can agree with the proposed conclusion</w:t>
      </w:r>
    </w:p>
    <w:p w14:paraId="4080B1B7"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no, what the missing part is in the current specification to support such configuration</w:t>
      </w:r>
    </w:p>
    <w:p w14:paraId="242E811D" w14:textId="77777777" w:rsidR="007F1B01" w:rsidRDefault="008F0B14">
      <w:pPr>
        <w:pStyle w:val="aff2"/>
        <w:widowControl w:val="0"/>
        <w:numPr>
          <w:ilvl w:val="1"/>
          <w:numId w:val="4"/>
        </w:numPr>
        <w:snapToGrid w:val="0"/>
        <w:spacing w:before="120" w:after="120" w:line="240" w:lineRule="auto"/>
        <w:jc w:val="both"/>
        <w:rPr>
          <w:rFonts w:eastAsia="微软雅黑"/>
          <w:sz w:val="20"/>
          <w:szCs w:val="20"/>
          <w:u w:val="single"/>
        </w:rPr>
      </w:pPr>
      <w:r>
        <w:rPr>
          <w:rFonts w:eastAsia="微软雅黑"/>
          <w:sz w:val="20"/>
          <w:szCs w:val="20"/>
          <w:u w:val="single"/>
        </w:rPr>
        <w:t>If yes, whether it is sufficient to support reusing same SRS resource(s) for multiple usages based on this conclusion</w:t>
      </w:r>
    </w:p>
    <w:p w14:paraId="271C01E4" w14:textId="77777777" w:rsidR="007F1B01" w:rsidRDefault="007F1B01">
      <w:pPr>
        <w:widowControl w:val="0"/>
        <w:snapToGrid w:val="0"/>
        <w:spacing w:before="120" w:after="120" w:line="240" w:lineRule="auto"/>
        <w:jc w:val="both"/>
        <w:rPr>
          <w:rFonts w:eastAsia="微软雅黑"/>
          <w:sz w:val="20"/>
          <w:szCs w:val="20"/>
        </w:rPr>
      </w:pPr>
    </w:p>
    <w:p w14:paraId="78813ED3"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4B57ED86" w14:textId="77777777" w:rsidTr="00053EAA">
        <w:tc>
          <w:tcPr>
            <w:tcW w:w="2403" w:type="dxa"/>
            <w:shd w:val="clear" w:color="auto" w:fill="E2EFD9" w:themeFill="accent6" w:themeFillTint="33"/>
          </w:tcPr>
          <w:p w14:paraId="11540A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034240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531E1F19" w14:textId="77777777" w:rsidTr="00053EAA">
        <w:tc>
          <w:tcPr>
            <w:tcW w:w="2403" w:type="dxa"/>
            <w:shd w:val="clear" w:color="auto" w:fill="FFFFFF" w:themeFill="background1"/>
          </w:tcPr>
          <w:p w14:paraId="07400F9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FFFFFF" w:themeFill="background1"/>
          </w:tcPr>
          <w:p w14:paraId="3FA3BD0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Resource sharing for different usage is supported in Rel-15 not only for the case that nTnR, but also for nTmR antenna switching and codebook based PUSCH transmission. In our understanding, the current spec is sufficient for resource sharing in general cases.</w:t>
            </w:r>
          </w:p>
          <w:p w14:paraId="0797517F" w14:textId="77777777" w:rsidR="007F1B01" w:rsidRDefault="008F0B14">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that supports nTnR </w:t>
            </w:r>
            <w:r>
              <w:rPr>
                <w:rFonts w:eastAsia="微软雅黑"/>
                <w:i/>
                <w:color w:val="FF0000"/>
                <w:sz w:val="20"/>
                <w:szCs w:val="20"/>
              </w:rPr>
              <w:t xml:space="preserve">and nTmR </w:t>
            </w:r>
            <w:r>
              <w:rPr>
                <w:rFonts w:eastAsia="微软雅黑"/>
                <w:i/>
                <w:sz w:val="20"/>
                <w:szCs w:val="20"/>
              </w:rPr>
              <w:t>antenna switching with n={1,2,4} can be configured with an n port SRS resource that is in both an SRS resource set with usage=’codebook’ and another SRS resource set with usage=’antennaSwitching’, provided that the SRS resource sets have the same time domain behavior.</w:t>
            </w:r>
          </w:p>
        </w:tc>
      </w:tr>
      <w:tr w:rsidR="007F1B01" w14:paraId="710A3C09" w14:textId="77777777" w:rsidTr="00053EAA">
        <w:tc>
          <w:tcPr>
            <w:tcW w:w="2403" w:type="dxa"/>
            <w:shd w:val="clear" w:color="auto" w:fill="FFFFFF" w:themeFill="background1"/>
          </w:tcPr>
          <w:p w14:paraId="459BD12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FFFFFF" w:themeFill="background1"/>
          </w:tcPr>
          <w:p w14:paraId="05B2D1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think it is a good way to discuss such kind of conclusion here.  In the current spec, it allows gNB to signal the above-mentioned configuration. There are thousands of valid NR configurations and it is impossible for us to make conclusion for all possible configurations.  A better way is to encourage the proponents to explain what the exact problem is for nT=nR. If some problem(s) is justified, we can further discuss how to address it, e.g., make a conclusion.</w:t>
            </w:r>
          </w:p>
          <w:p w14:paraId="3809E4EB" w14:textId="77777777" w:rsidR="007F1B01" w:rsidRDefault="007F1B01">
            <w:pPr>
              <w:widowControl w:val="0"/>
              <w:snapToGrid w:val="0"/>
              <w:spacing w:before="120" w:after="120" w:line="240" w:lineRule="auto"/>
              <w:rPr>
                <w:rFonts w:eastAsia="微软雅黑"/>
                <w:sz w:val="20"/>
                <w:szCs w:val="20"/>
              </w:rPr>
            </w:pPr>
          </w:p>
          <w:p w14:paraId="6E9FCA0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One question for the above configuration: What’s the benefit for gNB to signal this configuration?  A simple configuration is that gNB signals an SRS resource set with usage=’codebook’. Then, gNB can schedule the codebook-based UL MIMO transmission and also acquire DL CSI based on the same SRS resource.  Even if gNB signals two resource sets respectively, gNB will also use the same SRS resource to do the two functionalities but at the cost of more signaling overhead and SRS resource overhead. </w:t>
            </w:r>
          </w:p>
          <w:p w14:paraId="0315A93D" w14:textId="77777777" w:rsidR="007F1B01" w:rsidRDefault="007F1B01">
            <w:pPr>
              <w:widowControl w:val="0"/>
              <w:snapToGrid w:val="0"/>
              <w:spacing w:before="120" w:after="120" w:line="240" w:lineRule="auto"/>
              <w:rPr>
                <w:rFonts w:eastAsia="微软雅黑"/>
                <w:sz w:val="20"/>
                <w:szCs w:val="20"/>
              </w:rPr>
            </w:pPr>
          </w:p>
        </w:tc>
      </w:tr>
      <w:tr w:rsidR="007F1B01" w14:paraId="0CA38095" w14:textId="77777777" w:rsidTr="00053EAA">
        <w:tc>
          <w:tcPr>
            <w:tcW w:w="2403" w:type="dxa"/>
            <w:shd w:val="clear" w:color="auto" w:fill="FFFFFF" w:themeFill="background1"/>
          </w:tcPr>
          <w:p w14:paraId="30AE0BE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FFFFFF" w:themeFill="background1"/>
          </w:tcPr>
          <w:p w14:paraId="200C47C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We agree with the proposed conclusion. </w:t>
            </w:r>
          </w:p>
          <w:p w14:paraId="122B9955" w14:textId="77777777" w:rsidR="007F1B01" w:rsidRDefault="008F0B14">
            <w:pPr>
              <w:pStyle w:val="aff2"/>
              <w:widowControl w:val="0"/>
              <w:numPr>
                <w:ilvl w:val="0"/>
                <w:numId w:val="4"/>
              </w:numPr>
              <w:snapToGrid w:val="0"/>
              <w:spacing w:before="120" w:after="120" w:line="240" w:lineRule="auto"/>
              <w:rPr>
                <w:rFonts w:eastAsia="微软雅黑"/>
                <w:sz w:val="20"/>
                <w:szCs w:val="20"/>
              </w:rPr>
            </w:pPr>
            <w:r>
              <w:rPr>
                <w:rFonts w:eastAsia="微软雅黑"/>
                <w:sz w:val="20"/>
                <w:szCs w:val="20"/>
              </w:rPr>
              <w:lastRenderedPageBreak/>
              <w:t xml:space="preserve">We think it is sufficient to support reusing same nT=nR SRS resource for multiple usages based on this conclusion. Except saving a bit RRC overhead, we fail to see the clear benefit of spec effort for this case.  </w:t>
            </w:r>
            <w:r>
              <w:rPr>
                <w:rFonts w:eastAsia="微软雅黑"/>
                <w:color w:val="C00000"/>
                <w:sz w:val="20"/>
                <w:szCs w:val="20"/>
              </w:rPr>
              <w:t xml:space="preserve">   </w:t>
            </w:r>
          </w:p>
          <w:p w14:paraId="2DA6102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On the case of nT&lt;nR, there may be some specification impact if we consider antenna subset selection discussed in section 2.4. For example, if we reuse SRS resources for antenna switching and codebook based PUSCH, the antenna subset selection mentioned in section 2.4 can also be used to perform antenna selection transmission for PUSCH. This is beneficial for ensuring the performance for PUSCH transmission and saving UE power at the same time. Hence we think this direction can be further studied.</w:t>
            </w:r>
          </w:p>
          <w:p w14:paraId="56C6331B" w14:textId="77777777" w:rsidR="007F1B01" w:rsidRDefault="007F1B01">
            <w:pPr>
              <w:widowControl w:val="0"/>
              <w:snapToGrid w:val="0"/>
              <w:spacing w:before="120" w:after="120" w:line="240" w:lineRule="auto"/>
              <w:rPr>
                <w:rFonts w:eastAsia="微软雅黑"/>
                <w:sz w:val="20"/>
                <w:szCs w:val="20"/>
              </w:rPr>
            </w:pPr>
          </w:p>
        </w:tc>
      </w:tr>
      <w:tr w:rsidR="00053EAA" w14:paraId="045D60DB" w14:textId="77777777" w:rsidTr="00053EAA">
        <w:tc>
          <w:tcPr>
            <w:tcW w:w="2403" w:type="dxa"/>
            <w:shd w:val="clear" w:color="auto" w:fill="FFFFFF" w:themeFill="background1"/>
          </w:tcPr>
          <w:p w14:paraId="77888B93" w14:textId="77777777" w:rsidR="00053EAA" w:rsidRDefault="00053EAA" w:rsidP="00053EAA">
            <w:pPr>
              <w:widowControl w:val="0"/>
              <w:snapToGrid w:val="0"/>
              <w:spacing w:before="120" w:after="120" w:line="240" w:lineRule="auto"/>
            </w:pPr>
            <w:r>
              <w:lastRenderedPageBreak/>
              <w:t>CEWiT</w:t>
            </w:r>
          </w:p>
        </w:tc>
        <w:tc>
          <w:tcPr>
            <w:tcW w:w="6947" w:type="dxa"/>
            <w:shd w:val="clear" w:color="auto" w:fill="FFFFFF" w:themeFill="background1"/>
          </w:tcPr>
          <w:p w14:paraId="4C5F7020" w14:textId="77777777" w:rsidR="00053EAA" w:rsidRDefault="00053EAA" w:rsidP="00053EAA">
            <w:pPr>
              <w:widowControl w:val="0"/>
              <w:snapToGrid w:val="0"/>
              <w:spacing w:before="120" w:after="120" w:line="240" w:lineRule="auto"/>
              <w:rPr>
                <w:rFonts w:eastAsia="微软雅黑"/>
                <w:sz w:val="20"/>
                <w:szCs w:val="20"/>
              </w:rPr>
            </w:pPr>
            <w:r>
              <w:rPr>
                <w:rFonts w:eastAsia="微软雅黑"/>
                <w:sz w:val="20"/>
                <w:szCs w:val="20"/>
              </w:rPr>
              <w:t>This proposal only captures a very specific scenario for "</w:t>
            </w:r>
            <w:r>
              <w:rPr>
                <w:rFonts w:eastAsia="微软雅黑"/>
                <w:color w:val="000000"/>
                <w:sz w:val="20"/>
                <w:szCs w:val="20"/>
                <w:u w:val="single"/>
              </w:rPr>
              <w:t>reusing same SRS resource(s) for multiple usages</w:t>
            </w:r>
            <w:r>
              <w:rPr>
                <w:rFonts w:eastAsia="微软雅黑"/>
                <w:sz w:val="20"/>
                <w:szCs w:val="20"/>
              </w:rPr>
              <w:t xml:space="preserve">". However, there are other scenarios (eg. reciprocity/multi-TRP etc) where reduction of SRS resources is possible by reusing and it can be under any usage category (like beam management/non-codebook). Thus, we do not support the down-selection of usage. There should be a provision to accommodate other applicable usages as well where overhead can be reduced. </w:t>
            </w:r>
          </w:p>
        </w:tc>
      </w:tr>
      <w:tr w:rsidR="00053EAA" w14:paraId="51297DBE" w14:textId="77777777" w:rsidTr="00614363">
        <w:trPr>
          <w:trHeight w:val="940"/>
        </w:trPr>
        <w:tc>
          <w:tcPr>
            <w:tcW w:w="2403" w:type="dxa"/>
            <w:tcBorders>
              <w:top w:val="nil"/>
              <w:bottom w:val="single" w:sz="4" w:space="0" w:color="auto"/>
            </w:tcBorders>
            <w:shd w:val="clear" w:color="auto" w:fill="FFFFFF" w:themeFill="background1"/>
          </w:tcPr>
          <w:p w14:paraId="0D597440" w14:textId="77777777" w:rsidR="00053EAA" w:rsidRDefault="00053EAA" w:rsidP="00053EAA">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tcBorders>
              <w:top w:val="nil"/>
              <w:bottom w:val="single" w:sz="4" w:space="0" w:color="auto"/>
            </w:tcBorders>
            <w:shd w:val="clear" w:color="auto" w:fill="FFFFFF" w:themeFill="background1"/>
          </w:tcPr>
          <w:p w14:paraId="3BCD61B0" w14:textId="77777777" w:rsidR="00053EAA" w:rsidRPr="00574C4B" w:rsidRDefault="00053EAA" w:rsidP="00624630">
            <w:pPr>
              <w:rPr>
                <w:rFonts w:eastAsia="DengXian"/>
                <w:sz w:val="20"/>
                <w:szCs w:val="20"/>
              </w:rPr>
            </w:pPr>
            <w:r>
              <w:rPr>
                <w:rFonts w:eastAsia="DengXian"/>
                <w:sz w:val="20"/>
                <w:szCs w:val="20"/>
              </w:rPr>
              <w:t>Not s</w:t>
            </w:r>
            <w:r w:rsidRPr="00574C4B">
              <w:rPr>
                <w:rFonts w:eastAsia="DengXian"/>
                <w:sz w:val="20"/>
                <w:szCs w:val="20"/>
              </w:rPr>
              <w:t xml:space="preserve">upport the proposal. As the premise of this resource sharing scheme is that to ensure UE applies the same antenna virtualization when SRS resource for “antenna switching” is also used for UL CSI acquisition, </w:t>
            </w:r>
            <w:r w:rsidR="00A72B79">
              <w:rPr>
                <w:rFonts w:eastAsia="DengXian"/>
                <w:sz w:val="20"/>
                <w:szCs w:val="20"/>
              </w:rPr>
              <w:t xml:space="preserve">we have </w:t>
            </w:r>
            <w:r w:rsidR="00624630">
              <w:rPr>
                <w:rFonts w:eastAsia="DengXian"/>
                <w:sz w:val="20"/>
                <w:szCs w:val="20"/>
              </w:rPr>
              <w:t>doubts with</w:t>
            </w:r>
            <w:r w:rsidR="00A72B79">
              <w:rPr>
                <w:rFonts w:eastAsia="DengXian"/>
                <w:sz w:val="20"/>
                <w:szCs w:val="20"/>
              </w:rPr>
              <w:t xml:space="preserve"> how this can be ensured currently</w:t>
            </w:r>
            <w:r w:rsidRPr="00574C4B">
              <w:rPr>
                <w:rFonts w:eastAsia="DengXian"/>
                <w:sz w:val="20"/>
                <w:szCs w:val="20"/>
              </w:rPr>
              <w:t>. So the benefits of this resource sharing motivation other than RRC overhead reduction is</w:t>
            </w:r>
            <w:r w:rsidR="00C94630">
              <w:rPr>
                <w:rFonts w:eastAsia="DengXian"/>
                <w:sz w:val="20"/>
                <w:szCs w:val="20"/>
              </w:rPr>
              <w:t xml:space="preserve"> quite</w:t>
            </w:r>
            <w:r w:rsidRPr="00574C4B">
              <w:rPr>
                <w:rFonts w:eastAsia="DengXian"/>
                <w:sz w:val="20"/>
                <w:szCs w:val="20"/>
              </w:rPr>
              <w:t xml:space="preserve"> limited</w:t>
            </w:r>
            <w:r>
              <w:rPr>
                <w:rFonts w:eastAsia="DengXian"/>
                <w:sz w:val="20"/>
                <w:szCs w:val="20"/>
              </w:rPr>
              <w:t xml:space="preserve"> to us, as ZTE also mentioned. </w:t>
            </w:r>
            <w:r w:rsidR="00767813">
              <w:rPr>
                <w:rFonts w:eastAsia="DengXian"/>
                <w:sz w:val="20"/>
                <w:szCs w:val="20"/>
              </w:rPr>
              <w:t xml:space="preserve">But </w:t>
            </w:r>
            <w:r w:rsidR="00084A3A">
              <w:rPr>
                <w:rFonts w:eastAsia="DengXian"/>
                <w:sz w:val="20"/>
                <w:szCs w:val="20"/>
              </w:rPr>
              <w:t>we can feel comfortable with a</w:t>
            </w:r>
            <w:r w:rsidR="00C94630">
              <w:rPr>
                <w:rFonts w:eastAsia="DengXian"/>
                <w:sz w:val="20"/>
                <w:szCs w:val="20"/>
              </w:rPr>
              <w:t>greeing with</w:t>
            </w:r>
            <w:r w:rsidR="00084A3A">
              <w:rPr>
                <w:rFonts w:eastAsia="DengXian"/>
                <w:sz w:val="20"/>
                <w:szCs w:val="20"/>
              </w:rPr>
              <w:t xml:space="preserve"> the majority view on this issue.</w:t>
            </w:r>
          </w:p>
        </w:tc>
      </w:tr>
      <w:tr w:rsidR="00614363" w14:paraId="224E8944"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D18A9" w14:textId="3946766C" w:rsidR="00614363" w:rsidRDefault="00614363" w:rsidP="00614363">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3B96" w14:textId="017187D0" w:rsidR="00DD6C51" w:rsidRDefault="006B4D21" w:rsidP="00DD6C51">
            <w:pPr>
              <w:spacing w:after="0"/>
              <w:rPr>
                <w:rFonts w:eastAsia="Malgun Gothic"/>
                <w:sz w:val="20"/>
                <w:szCs w:val="20"/>
                <w:lang w:eastAsia="ko-KR"/>
              </w:rPr>
            </w:pPr>
            <w:r>
              <w:rPr>
                <w:rFonts w:eastAsia="Malgun Gothic"/>
                <w:sz w:val="20"/>
                <w:szCs w:val="20"/>
                <w:lang w:eastAsia="ko-KR"/>
              </w:rPr>
              <w:t xml:space="preserve">O.K. </w:t>
            </w:r>
            <w:r w:rsidR="00961C7D">
              <w:rPr>
                <w:rFonts w:eastAsia="Malgun Gothic"/>
                <w:sz w:val="20"/>
                <w:szCs w:val="20"/>
                <w:lang w:eastAsia="ko-KR"/>
              </w:rPr>
              <w:t>in principle with FL’s proposal.</w:t>
            </w:r>
            <w:r w:rsidR="00DD6C51">
              <w:rPr>
                <w:rFonts w:eastAsia="Malgun Gothic"/>
                <w:sz w:val="20"/>
                <w:szCs w:val="20"/>
                <w:lang w:eastAsia="ko-KR"/>
              </w:rPr>
              <w:t xml:space="preserve"> </w:t>
            </w:r>
          </w:p>
          <w:p w14:paraId="1473292A" w14:textId="0E912278" w:rsidR="00614363" w:rsidRDefault="00961C7D" w:rsidP="006B4D21">
            <w:pPr>
              <w:rPr>
                <w:rFonts w:eastAsia="Malgun Gothic"/>
                <w:sz w:val="20"/>
                <w:szCs w:val="20"/>
                <w:lang w:eastAsia="ko-KR"/>
              </w:rPr>
            </w:pPr>
            <w:r>
              <w:rPr>
                <w:rFonts w:eastAsia="Malgun Gothic"/>
                <w:sz w:val="20"/>
                <w:szCs w:val="20"/>
                <w:lang w:eastAsia="ko-KR"/>
              </w:rPr>
              <w:t xml:space="preserve">For further clarification, </w:t>
            </w:r>
            <w:r w:rsidR="00DD6C51">
              <w:rPr>
                <w:rFonts w:eastAsia="Malgun Gothic"/>
                <w:sz w:val="20"/>
                <w:szCs w:val="20"/>
                <w:lang w:eastAsia="ko-KR"/>
              </w:rPr>
              <w:t xml:space="preserve">we agree to Huawei’s view that resource sharing </w:t>
            </w:r>
            <w:r w:rsidR="00100E08">
              <w:rPr>
                <w:rFonts w:eastAsia="Malgun Gothic"/>
                <w:sz w:val="20"/>
                <w:szCs w:val="20"/>
                <w:lang w:eastAsia="ko-KR"/>
              </w:rPr>
              <w:t>for different usage of SRS is not restricted to the case of nTnR</w:t>
            </w:r>
            <w:r w:rsidR="006B4D21">
              <w:rPr>
                <w:rFonts w:eastAsia="Malgun Gothic"/>
                <w:sz w:val="20"/>
                <w:szCs w:val="20"/>
                <w:lang w:eastAsia="ko-KR"/>
              </w:rPr>
              <w:t xml:space="preserve"> in Rel-15/16</w:t>
            </w:r>
            <w:r w:rsidR="00100E08">
              <w:rPr>
                <w:rFonts w:eastAsia="Malgun Gothic"/>
                <w:sz w:val="20"/>
                <w:szCs w:val="20"/>
                <w:lang w:eastAsia="ko-KR"/>
              </w:rPr>
              <w:t xml:space="preserve">. </w:t>
            </w:r>
            <w:r w:rsidR="00DD6C51">
              <w:rPr>
                <w:rFonts w:eastAsia="Malgun Gothic"/>
                <w:sz w:val="20"/>
                <w:szCs w:val="20"/>
                <w:lang w:eastAsia="ko-KR"/>
              </w:rPr>
              <w:t xml:space="preserve">But </w:t>
            </w:r>
            <w:r>
              <w:rPr>
                <w:rFonts w:eastAsia="Malgun Gothic"/>
                <w:sz w:val="20"/>
                <w:szCs w:val="20"/>
                <w:lang w:eastAsia="ko-KR"/>
              </w:rPr>
              <w:t xml:space="preserve">we also think </w:t>
            </w:r>
            <w:r w:rsidR="00DD6C51">
              <w:rPr>
                <w:rFonts w:eastAsia="Malgun Gothic"/>
                <w:sz w:val="20"/>
                <w:szCs w:val="20"/>
                <w:lang w:eastAsia="ko-KR"/>
              </w:rPr>
              <w:t xml:space="preserve">the UE behavior </w:t>
            </w:r>
            <w:r>
              <w:rPr>
                <w:rFonts w:eastAsia="Malgun Gothic"/>
                <w:sz w:val="20"/>
                <w:szCs w:val="20"/>
                <w:lang w:eastAsia="ko-KR"/>
              </w:rPr>
              <w:t xml:space="preserve">is not clarified how to apply spatial filtering in case SRS resource sharing is apply between configurations for nTmR antenna switching and n ports codebook. Here is our understanding for Rel-15/16: </w:t>
            </w:r>
          </w:p>
          <w:p w14:paraId="55A9C4B3" w14:textId="79AB6849" w:rsidR="006B4D21" w:rsidRDefault="00DD6C51" w:rsidP="00DD6C51">
            <w:pPr>
              <w:widowControl w:val="0"/>
              <w:snapToGrid w:val="0"/>
              <w:spacing w:before="120" w:after="120" w:line="240" w:lineRule="auto"/>
              <w:jc w:val="both"/>
              <w:rPr>
                <w:rFonts w:eastAsia="微软雅黑"/>
                <w:i/>
                <w:sz w:val="20"/>
                <w:szCs w:val="20"/>
              </w:rPr>
            </w:pPr>
            <w:r>
              <w:rPr>
                <w:rFonts w:eastAsia="微软雅黑"/>
                <w:i/>
                <w:sz w:val="20"/>
                <w:szCs w:val="20"/>
              </w:rPr>
              <w:t xml:space="preserve">A Rel-15/16 UE </w:t>
            </w:r>
            <w:r w:rsidRPr="00DD6C51">
              <w:rPr>
                <w:rFonts w:eastAsia="微软雅黑"/>
                <w:i/>
                <w:strike/>
                <w:color w:val="FF0000"/>
                <w:sz w:val="20"/>
                <w:szCs w:val="20"/>
              </w:rPr>
              <w:t xml:space="preserve">that supports nT=nR antenna switching with n={1,2,4} </w:t>
            </w:r>
            <w:r>
              <w:rPr>
                <w:rFonts w:eastAsia="微软雅黑"/>
                <w:i/>
                <w:sz w:val="20"/>
                <w:szCs w:val="20"/>
              </w:rPr>
              <w:t>can be configured with an n port</w:t>
            </w:r>
            <w:r w:rsidRPr="00DD6C51">
              <w:rPr>
                <w:rFonts w:eastAsia="微软雅黑"/>
                <w:i/>
                <w:color w:val="FF0000"/>
                <w:sz w:val="20"/>
                <w:szCs w:val="20"/>
              </w:rPr>
              <w:t>(s)</w:t>
            </w:r>
            <w:r>
              <w:rPr>
                <w:rFonts w:eastAsia="微软雅黑"/>
                <w:i/>
                <w:sz w:val="20"/>
                <w:szCs w:val="20"/>
              </w:rPr>
              <w:t xml:space="preserve"> SRS</w:t>
            </w:r>
            <w:r w:rsidR="00961C7D">
              <w:rPr>
                <w:rFonts w:eastAsia="微软雅黑"/>
                <w:i/>
                <w:sz w:val="20"/>
                <w:szCs w:val="20"/>
              </w:rPr>
              <w:t xml:space="preserve"> </w:t>
            </w:r>
            <w:r w:rsidR="00961C7D">
              <w:rPr>
                <w:rFonts w:eastAsia="微软雅黑"/>
                <w:i/>
                <w:color w:val="FF0000"/>
                <w:sz w:val="20"/>
                <w:szCs w:val="20"/>
              </w:rPr>
              <w:t>transmission</w:t>
            </w:r>
            <w:r>
              <w:rPr>
                <w:rFonts w:eastAsia="微软雅黑"/>
                <w:i/>
                <w:sz w:val="20"/>
                <w:szCs w:val="20"/>
              </w:rPr>
              <w:t xml:space="preserve"> </w:t>
            </w:r>
            <w:r w:rsidRPr="00DD6C51">
              <w:rPr>
                <w:rFonts w:eastAsia="微软雅黑"/>
                <w:i/>
                <w:strike/>
                <w:color w:val="FF0000"/>
                <w:sz w:val="20"/>
                <w:szCs w:val="20"/>
              </w:rPr>
              <w:t xml:space="preserve">resource </w:t>
            </w:r>
            <w:r>
              <w:rPr>
                <w:rFonts w:eastAsia="微软雅黑"/>
                <w:i/>
                <w:sz w:val="20"/>
                <w:szCs w:val="20"/>
              </w:rPr>
              <w:t xml:space="preserve">that is </w:t>
            </w:r>
            <w:r w:rsidRPr="00DD6C51">
              <w:rPr>
                <w:rFonts w:eastAsia="微软雅黑"/>
                <w:i/>
                <w:color w:val="FF0000"/>
                <w:sz w:val="20"/>
                <w:szCs w:val="20"/>
              </w:rPr>
              <w:t xml:space="preserve">configured </w:t>
            </w:r>
            <w:r>
              <w:rPr>
                <w:rFonts w:eastAsia="微软雅黑"/>
                <w:i/>
                <w:sz w:val="20"/>
                <w:szCs w:val="20"/>
              </w:rPr>
              <w:t xml:space="preserve">in both an </w:t>
            </w:r>
            <w:r w:rsidRPr="00DD6C51">
              <w:rPr>
                <w:rFonts w:eastAsia="微软雅黑"/>
                <w:i/>
                <w:color w:val="FF0000"/>
                <w:sz w:val="20"/>
                <w:szCs w:val="20"/>
              </w:rPr>
              <w:t>n port</w:t>
            </w:r>
            <w:r>
              <w:rPr>
                <w:rFonts w:eastAsia="微软雅黑"/>
                <w:i/>
                <w:color w:val="FF0000"/>
                <w:sz w:val="20"/>
                <w:szCs w:val="20"/>
              </w:rPr>
              <w:t>(</w:t>
            </w:r>
            <w:r w:rsidRPr="00DD6C51">
              <w:rPr>
                <w:rFonts w:eastAsia="微软雅黑"/>
                <w:i/>
                <w:color w:val="FF0000"/>
                <w:sz w:val="20"/>
                <w:szCs w:val="20"/>
              </w:rPr>
              <w:t>s</w:t>
            </w:r>
            <w:r>
              <w:rPr>
                <w:rFonts w:eastAsia="微软雅黑"/>
                <w:i/>
                <w:color w:val="FF0000"/>
                <w:sz w:val="20"/>
                <w:szCs w:val="20"/>
              </w:rPr>
              <w:t>)</w:t>
            </w:r>
            <w:r>
              <w:rPr>
                <w:rFonts w:eastAsia="微软雅黑"/>
                <w:i/>
                <w:sz w:val="20"/>
                <w:szCs w:val="20"/>
              </w:rPr>
              <w:t xml:space="preserve"> SRS resource set with usage=’codebook’ and another SRS resource set with usage=’antennaSwitching’ </w:t>
            </w:r>
            <w:r w:rsidRPr="00DD6C51">
              <w:rPr>
                <w:rFonts w:eastAsia="微软雅黑"/>
                <w:i/>
                <w:color w:val="FF0000"/>
                <w:sz w:val="20"/>
                <w:szCs w:val="20"/>
              </w:rPr>
              <w:t>for nTmR</w:t>
            </w:r>
            <w:r>
              <w:rPr>
                <w:rFonts w:eastAsia="微软雅黑"/>
                <w:i/>
                <w:sz w:val="20"/>
                <w:szCs w:val="20"/>
              </w:rPr>
              <w:t>, provided that the SRS resource sets have the same time domain behavior.</w:t>
            </w:r>
          </w:p>
          <w:p w14:paraId="6BA7E023" w14:textId="35DBBDD6" w:rsidR="00DD6C51" w:rsidRPr="00DD6C51" w:rsidRDefault="00961C7D" w:rsidP="00961C7D">
            <w:pPr>
              <w:pStyle w:val="aff2"/>
              <w:widowControl w:val="0"/>
              <w:numPr>
                <w:ilvl w:val="0"/>
                <w:numId w:val="19"/>
              </w:numPr>
              <w:snapToGrid w:val="0"/>
              <w:spacing w:before="120" w:after="120" w:line="240" w:lineRule="auto"/>
              <w:jc w:val="both"/>
              <w:rPr>
                <w:rFonts w:eastAsia="Malgun Gothic"/>
                <w:sz w:val="20"/>
                <w:szCs w:val="20"/>
                <w:lang w:eastAsia="ko-KR"/>
              </w:rPr>
            </w:pPr>
            <w:r w:rsidRPr="00961C7D">
              <w:rPr>
                <w:rFonts w:eastAsia="Malgun Gothic" w:hint="eastAsia"/>
                <w:i/>
                <w:color w:val="FF0000"/>
                <w:sz w:val="20"/>
                <w:szCs w:val="20"/>
                <w:lang w:eastAsia="ko-KR"/>
              </w:rPr>
              <w:t>B</w:t>
            </w:r>
            <w:r w:rsidRPr="00961C7D">
              <w:rPr>
                <w:rFonts w:eastAsia="Malgun Gothic"/>
                <w:i/>
                <w:color w:val="FF0000"/>
                <w:sz w:val="20"/>
                <w:szCs w:val="20"/>
                <w:lang w:eastAsia="ko-KR"/>
              </w:rPr>
              <w:t>ut UE behavior is not clarified for the case n</w:t>
            </w:r>
            <m:oMath>
              <m:r>
                <w:rPr>
                  <w:rFonts w:ascii="Cambria Math" w:eastAsia="Malgun Gothic" w:hAnsi="Cambria Math"/>
                  <w:color w:val="FF0000"/>
                  <w:sz w:val="20"/>
                  <w:szCs w:val="20"/>
                  <w:lang w:eastAsia="ko-KR"/>
                </w:rPr>
                <m:t>≠</m:t>
              </m:r>
            </m:oMath>
            <w:r w:rsidRPr="00961C7D">
              <w:rPr>
                <w:rFonts w:eastAsia="Malgun Gothic"/>
                <w:i/>
                <w:color w:val="FF0000"/>
                <w:sz w:val="20"/>
                <w:szCs w:val="20"/>
                <w:lang w:eastAsia="ko-KR"/>
              </w:rPr>
              <w:t>m</w:t>
            </w:r>
            <w:r>
              <w:rPr>
                <w:rFonts w:eastAsia="Malgun Gothic"/>
                <w:i/>
                <w:color w:val="FF0000"/>
                <w:sz w:val="20"/>
                <w:szCs w:val="20"/>
                <w:lang w:eastAsia="ko-KR"/>
              </w:rPr>
              <w:t>,</w:t>
            </w:r>
            <w:r w:rsidRPr="00961C7D">
              <w:rPr>
                <w:rFonts w:eastAsia="Malgun Gothic"/>
                <w:i/>
                <w:color w:val="FF0000"/>
                <w:sz w:val="20"/>
                <w:szCs w:val="20"/>
                <w:lang w:eastAsia="ko-KR"/>
              </w:rPr>
              <w:t xml:space="preserve"> whether/how to UE appl</w:t>
            </w:r>
            <w:r>
              <w:rPr>
                <w:rFonts w:eastAsia="Malgun Gothic"/>
                <w:i/>
                <w:color w:val="FF0000"/>
                <w:sz w:val="20"/>
                <w:szCs w:val="20"/>
                <w:lang w:eastAsia="ko-KR"/>
              </w:rPr>
              <w:t>ies</w:t>
            </w:r>
            <w:r w:rsidRPr="00961C7D">
              <w:rPr>
                <w:rFonts w:eastAsia="Malgun Gothic"/>
                <w:i/>
                <w:color w:val="FF0000"/>
                <w:sz w:val="20"/>
                <w:szCs w:val="20"/>
                <w:lang w:eastAsia="ko-KR"/>
              </w:rPr>
              <w:t xml:space="preserve"> spatial filtering for remained m/n-1 SRS resource(s) configured by SRS resource set for antenna switching, but not overlapped with SRS resource set for codebook.</w:t>
            </w:r>
          </w:p>
        </w:tc>
      </w:tr>
      <w:tr w:rsidR="009A17D0" w14:paraId="4075E596" w14:textId="77777777" w:rsidTr="00614363">
        <w:trPr>
          <w:trHeight w:val="940"/>
        </w:trPr>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A5A5" w14:textId="47FFE6A5" w:rsidR="009A17D0" w:rsidRDefault="009A17D0" w:rsidP="00614363">
            <w:pPr>
              <w:widowControl w:val="0"/>
              <w:snapToGrid w:val="0"/>
              <w:spacing w:before="120" w:after="120" w:line="240" w:lineRule="auto"/>
              <w:rPr>
                <w:rFonts w:eastAsia="微软雅黑"/>
                <w:sz w:val="20"/>
                <w:szCs w:val="20"/>
              </w:rPr>
            </w:pPr>
            <w:r>
              <w:rPr>
                <w:rFonts w:eastAsia="微软雅黑"/>
                <w:sz w:val="20"/>
                <w:szCs w:val="20"/>
              </w:rPr>
              <w:t xml:space="preserve">Apple </w:t>
            </w:r>
          </w:p>
        </w:tc>
        <w:tc>
          <w:tcPr>
            <w:tcW w:w="6947" w:type="dxa"/>
            <w:tcBorders>
              <w:top w:val="single" w:sz="4" w:space="0" w:color="auto"/>
              <w:left w:val="single" w:sz="4" w:space="0" w:color="auto"/>
              <w:bottom w:val="single" w:sz="4" w:space="0" w:color="auto"/>
              <w:right w:val="single" w:sz="4" w:space="0" w:color="auto"/>
            </w:tcBorders>
            <w:shd w:val="clear" w:color="auto" w:fill="FFFFFF" w:themeFill="background1"/>
          </w:tcPr>
          <w:p w14:paraId="68511727" w14:textId="77777777" w:rsidR="009A17D0" w:rsidRDefault="009A17D0" w:rsidP="00DD6C51">
            <w:pPr>
              <w:spacing w:after="0"/>
              <w:rPr>
                <w:rFonts w:eastAsia="Malgun Gothic"/>
                <w:sz w:val="20"/>
                <w:szCs w:val="20"/>
                <w:lang w:eastAsia="ko-KR"/>
              </w:rPr>
            </w:pPr>
            <w:r>
              <w:rPr>
                <w:rFonts w:eastAsia="Malgun Gothic"/>
                <w:sz w:val="20"/>
                <w:szCs w:val="20"/>
                <w:lang w:eastAsia="ko-KR"/>
              </w:rPr>
              <w:t>There is no point for such a conclusion.</w:t>
            </w:r>
          </w:p>
          <w:p w14:paraId="683509C0" w14:textId="77777777" w:rsidR="009A17D0" w:rsidRDefault="009A17D0" w:rsidP="00DD6C51">
            <w:pPr>
              <w:spacing w:after="0"/>
              <w:rPr>
                <w:rFonts w:eastAsia="Malgun Gothic"/>
                <w:sz w:val="20"/>
                <w:szCs w:val="20"/>
                <w:lang w:eastAsia="ko-KR"/>
              </w:rPr>
            </w:pPr>
            <w:r>
              <w:rPr>
                <w:rFonts w:eastAsia="Malgun Gothic"/>
                <w:sz w:val="20"/>
                <w:szCs w:val="20"/>
                <w:lang w:eastAsia="ko-KR"/>
              </w:rPr>
              <w:t>The whole argument is whether to support multiple usage of the same SRS resource set, which can be useful for the case when #Tx &lt; #Rx.</w:t>
            </w:r>
          </w:p>
          <w:p w14:paraId="62A565F1" w14:textId="77777777" w:rsidR="009A17D0" w:rsidRDefault="009A17D0" w:rsidP="00DD6C51">
            <w:pPr>
              <w:spacing w:after="0"/>
              <w:rPr>
                <w:rFonts w:eastAsia="Malgun Gothic"/>
                <w:sz w:val="20"/>
                <w:szCs w:val="20"/>
                <w:lang w:eastAsia="ko-KR"/>
              </w:rPr>
            </w:pPr>
            <w:r>
              <w:rPr>
                <w:rFonts w:eastAsia="Malgun Gothic"/>
                <w:sz w:val="20"/>
                <w:szCs w:val="20"/>
                <w:lang w:eastAsia="ko-KR"/>
              </w:rPr>
              <w:t xml:space="preserve">Imagine, if we made an agreement that we support such a simpler and clean design in NR, there is no reason not to apply the same design to the case #Tx = #Rx, at least, in order to reduce the signalling overhead. </w:t>
            </w:r>
          </w:p>
          <w:p w14:paraId="354F5B7F" w14:textId="07D6EB33" w:rsidR="009A17D0" w:rsidRDefault="009A17D0" w:rsidP="00DD6C51">
            <w:pPr>
              <w:spacing w:after="0"/>
              <w:rPr>
                <w:rFonts w:eastAsia="Malgun Gothic"/>
                <w:sz w:val="20"/>
                <w:szCs w:val="20"/>
                <w:lang w:eastAsia="ko-KR"/>
              </w:rPr>
            </w:pPr>
            <w:r>
              <w:rPr>
                <w:rFonts w:eastAsia="Malgun Gothic"/>
                <w:sz w:val="20"/>
                <w:szCs w:val="20"/>
                <w:lang w:eastAsia="ko-KR"/>
              </w:rPr>
              <w:t xml:space="preserve">We understand there are companies objecting </w:t>
            </w:r>
            <w:r w:rsidR="00A601E4">
              <w:rPr>
                <w:rFonts w:eastAsia="Malgun Gothic"/>
                <w:sz w:val="20"/>
                <w:szCs w:val="20"/>
                <w:lang w:eastAsia="ko-KR"/>
              </w:rPr>
              <w:t>the</w:t>
            </w:r>
            <w:r w:rsidR="005367AE">
              <w:rPr>
                <w:rFonts w:eastAsia="Malgun Gothic"/>
                <w:sz w:val="20"/>
                <w:szCs w:val="20"/>
                <w:lang w:eastAsia="ko-KR"/>
              </w:rPr>
              <w:t xml:space="preserve"> design</w:t>
            </w:r>
            <w:r>
              <w:rPr>
                <w:rFonts w:eastAsia="Malgun Gothic"/>
                <w:sz w:val="20"/>
                <w:szCs w:val="20"/>
                <w:lang w:eastAsia="ko-KR"/>
              </w:rPr>
              <w:t xml:space="preserve">, but objection is objection, the proposed conclusion would not solve the fundamental conflict at all. </w:t>
            </w:r>
          </w:p>
        </w:tc>
      </w:tr>
    </w:tbl>
    <w:p w14:paraId="3FC9D5F0" w14:textId="77777777" w:rsidR="007F1B01" w:rsidRDefault="007F1B01">
      <w:pPr>
        <w:widowControl w:val="0"/>
        <w:snapToGrid w:val="0"/>
        <w:spacing w:before="120" w:after="120" w:line="240" w:lineRule="auto"/>
        <w:jc w:val="both"/>
        <w:rPr>
          <w:rFonts w:eastAsia="微软雅黑"/>
          <w:sz w:val="20"/>
          <w:szCs w:val="20"/>
        </w:rPr>
      </w:pPr>
    </w:p>
    <w:p w14:paraId="3D2131F4"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antenna switching</w:t>
      </w:r>
    </w:p>
    <w:p w14:paraId="3D862858"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discuss the issue of indicating a subset of antennas to support more flexible antenna switching. Their views are summarized in the following table.</w:t>
      </w:r>
    </w:p>
    <w:p w14:paraId="5EC6957A" w14:textId="77777777" w:rsidR="007F1B01" w:rsidRDefault="008F0B14">
      <w:pPr>
        <w:widowControl w:val="0"/>
        <w:snapToGrid w:val="0"/>
        <w:spacing w:before="120" w:after="120" w:line="240" w:lineRule="auto"/>
        <w:jc w:val="center"/>
        <w:rPr>
          <w:rFonts w:eastAsia="微软雅黑"/>
          <w:sz w:val="20"/>
          <w:szCs w:val="20"/>
        </w:rPr>
      </w:pPr>
      <w:r>
        <w:rPr>
          <w:rFonts w:eastAsia="微软雅黑"/>
          <w:sz w:val="20"/>
          <w:szCs w:val="20"/>
        </w:rPr>
        <w:t>Table 2-4 Summary of companies’ views on antenna switching flexibility enhancement</w:t>
      </w:r>
    </w:p>
    <w:tbl>
      <w:tblPr>
        <w:tblStyle w:val="aff4"/>
        <w:tblW w:w="9350" w:type="dxa"/>
        <w:jc w:val="center"/>
        <w:tblLook w:val="04A0" w:firstRow="1" w:lastRow="0" w:firstColumn="1" w:lastColumn="0" w:noHBand="0" w:noVBand="1"/>
      </w:tblPr>
      <w:tblGrid>
        <w:gridCol w:w="4987"/>
        <w:gridCol w:w="872"/>
        <w:gridCol w:w="3491"/>
      </w:tblGrid>
      <w:tr w:rsidR="007F1B01" w14:paraId="3344DAC7" w14:textId="77777777">
        <w:trPr>
          <w:jc w:val="center"/>
        </w:trPr>
        <w:tc>
          <w:tcPr>
            <w:tcW w:w="4987" w:type="dxa"/>
            <w:shd w:val="clear" w:color="auto" w:fill="auto"/>
          </w:tcPr>
          <w:p w14:paraId="03615D8A" w14:textId="77777777" w:rsidR="007F1B01" w:rsidRDefault="007F1B01">
            <w:pPr>
              <w:widowControl w:val="0"/>
              <w:snapToGrid w:val="0"/>
              <w:spacing w:before="120" w:after="120" w:line="240" w:lineRule="auto"/>
              <w:rPr>
                <w:rFonts w:eastAsia="微软雅黑"/>
                <w:sz w:val="20"/>
                <w:szCs w:val="20"/>
              </w:rPr>
            </w:pPr>
          </w:p>
        </w:tc>
        <w:tc>
          <w:tcPr>
            <w:tcW w:w="872" w:type="dxa"/>
            <w:shd w:val="clear" w:color="auto" w:fill="auto"/>
          </w:tcPr>
          <w:p w14:paraId="494E20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Number</w:t>
            </w:r>
          </w:p>
        </w:tc>
        <w:tc>
          <w:tcPr>
            <w:tcW w:w="3491" w:type="dxa"/>
            <w:shd w:val="clear" w:color="auto" w:fill="auto"/>
          </w:tcPr>
          <w:p w14:paraId="5530269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r>
      <w:tr w:rsidR="007F1B01" w14:paraId="7FB7DB70" w14:textId="77777777">
        <w:trPr>
          <w:jc w:val="center"/>
        </w:trPr>
        <w:tc>
          <w:tcPr>
            <w:tcW w:w="4987" w:type="dxa"/>
            <w:shd w:val="clear" w:color="auto" w:fill="auto"/>
          </w:tcPr>
          <w:p w14:paraId="7389C40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Support indicating a subset of Tx/Rx antennas for SRS antenna switching via MAC CE or DCI</w:t>
            </w:r>
          </w:p>
        </w:tc>
        <w:tc>
          <w:tcPr>
            <w:tcW w:w="872" w:type="dxa"/>
            <w:shd w:val="clear" w:color="auto" w:fill="auto"/>
          </w:tcPr>
          <w:p w14:paraId="07333D0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6</w:t>
            </w:r>
          </w:p>
        </w:tc>
        <w:tc>
          <w:tcPr>
            <w:tcW w:w="3491" w:type="dxa"/>
            <w:shd w:val="clear" w:color="auto" w:fill="auto"/>
          </w:tcPr>
          <w:p w14:paraId="53B91D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Qualcomm, ZTE, Intel, Samsung, Lenovo, Motorola Mobility</w:t>
            </w:r>
          </w:p>
        </w:tc>
      </w:tr>
      <w:tr w:rsidR="007F1B01" w14:paraId="588FC2A8" w14:textId="77777777">
        <w:trPr>
          <w:jc w:val="center"/>
        </w:trPr>
        <w:tc>
          <w:tcPr>
            <w:tcW w:w="4987" w:type="dxa"/>
            <w:shd w:val="clear" w:color="auto" w:fill="auto"/>
          </w:tcPr>
          <w:p w14:paraId="4B6A65D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supportive</w:t>
            </w:r>
          </w:p>
        </w:tc>
        <w:tc>
          <w:tcPr>
            <w:tcW w:w="872" w:type="dxa"/>
            <w:shd w:val="clear" w:color="auto" w:fill="auto"/>
          </w:tcPr>
          <w:p w14:paraId="4BD13F8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5</w:t>
            </w:r>
          </w:p>
        </w:tc>
        <w:tc>
          <w:tcPr>
            <w:tcW w:w="3491" w:type="dxa"/>
            <w:shd w:val="clear" w:color="auto" w:fill="auto"/>
          </w:tcPr>
          <w:p w14:paraId="357EB26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Nokia, NSB, Huawei, HiSilicon, LG, CATT</w:t>
            </w:r>
          </w:p>
        </w:tc>
      </w:tr>
    </w:tbl>
    <w:p w14:paraId="1E2B96AD" w14:textId="77777777" w:rsidR="007F1B01" w:rsidRDefault="008F0B14">
      <w:pPr>
        <w:widowControl w:val="0"/>
        <w:snapToGrid w:val="0"/>
        <w:spacing w:before="120" w:after="120" w:line="240" w:lineRule="auto"/>
        <w:jc w:val="both"/>
        <w:rPr>
          <w:rFonts w:eastAsia="微软雅黑"/>
          <w:sz w:val="20"/>
          <w:szCs w:val="20"/>
          <w:u w:val="single"/>
        </w:rPr>
      </w:pPr>
      <w:r>
        <w:rPr>
          <w:rFonts w:eastAsia="微软雅黑"/>
          <w:sz w:val="20"/>
          <w:szCs w:val="20"/>
          <w:u w:val="single"/>
        </w:rPr>
        <w:t>The following proposal for further study is proposed by FL based on companies’ comments in the first round.</w:t>
      </w:r>
    </w:p>
    <w:p w14:paraId="0940370E"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w:t>
      </w:r>
      <w:r>
        <w:rPr>
          <w:rFonts w:eastAsia="微软雅黑"/>
          <w:i/>
          <w:sz w:val="20"/>
          <w:szCs w:val="20"/>
        </w:rPr>
        <w:t>: Study on whether and the mechanism to support indicating a subset of Tx/Rx antennas for SRS antenna switching via MAC CE or DCI.</w:t>
      </w:r>
    </w:p>
    <w:p w14:paraId="7F8CBD25" w14:textId="77777777" w:rsidR="007F1B01" w:rsidRDefault="008F0B14">
      <w:pPr>
        <w:pStyle w:val="aff2"/>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Study aspects include use cases/benefits, detailed signaling design, etc..</w:t>
      </w:r>
    </w:p>
    <w:p w14:paraId="554122F6" w14:textId="77777777" w:rsidR="007F1B01" w:rsidRDefault="007F1B01">
      <w:pPr>
        <w:widowControl w:val="0"/>
        <w:snapToGrid w:val="0"/>
        <w:spacing w:before="120" w:after="120" w:line="240" w:lineRule="auto"/>
        <w:jc w:val="both"/>
        <w:rPr>
          <w:rFonts w:eastAsia="微软雅黑"/>
          <w:sz w:val="20"/>
          <w:szCs w:val="20"/>
        </w:rPr>
      </w:pPr>
    </w:p>
    <w:p w14:paraId="3EE70E3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3CE47186" w14:textId="77777777" w:rsidTr="00864749">
        <w:tc>
          <w:tcPr>
            <w:tcW w:w="2403" w:type="dxa"/>
            <w:shd w:val="clear" w:color="auto" w:fill="E2EFD9" w:themeFill="accent6" w:themeFillTint="33"/>
          </w:tcPr>
          <w:p w14:paraId="4118F51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757FA4D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7FA9C03D" w14:textId="77777777" w:rsidTr="00864749">
        <w:tc>
          <w:tcPr>
            <w:tcW w:w="2403" w:type="dxa"/>
            <w:shd w:val="clear" w:color="auto" w:fill="auto"/>
          </w:tcPr>
          <w:p w14:paraId="22E407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F55AD1"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Not support. There is no special use case should introduce MAC-CE and DCI. Even in power saving case mentioned by some company, the RRC configuration is sufficient since antennas activation and de-activation need a relative long time</w:t>
            </w:r>
          </w:p>
        </w:tc>
      </w:tr>
      <w:tr w:rsidR="007F1B01" w14:paraId="6ED84089" w14:textId="77777777" w:rsidTr="00864749">
        <w:tc>
          <w:tcPr>
            <w:tcW w:w="2403" w:type="dxa"/>
            <w:shd w:val="clear" w:color="auto" w:fill="auto"/>
          </w:tcPr>
          <w:p w14:paraId="2E40EC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0BCA66D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support FL’s proposal. We think it is beneficial to achieve good trade-off between NW performance and UE power saving. If UE supports combined capability of multiple combinations of Tx/Rx antennas, e.g., 1T2R and 2T4R, and gNB is willing to use the smaller number of antennas to assist UE power saving, this is used for NW to control the performance loss. When 4T8R is supported, the performance loss can be even larger if gNB uses 1T2R or 2T4R to assist UE to save power.</w:t>
            </w:r>
          </w:p>
        </w:tc>
      </w:tr>
      <w:tr w:rsidR="00864749" w14:paraId="2080137A" w14:textId="77777777" w:rsidTr="00864749">
        <w:tc>
          <w:tcPr>
            <w:tcW w:w="2403" w:type="dxa"/>
            <w:shd w:val="clear" w:color="auto" w:fill="auto"/>
          </w:tcPr>
          <w:p w14:paraId="7930C053"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E4F3A65" w14:textId="77777777" w:rsidR="00864749" w:rsidRDefault="00864749" w:rsidP="00864749">
            <w:pPr>
              <w:widowControl w:val="0"/>
              <w:snapToGrid w:val="0"/>
              <w:spacing w:before="120" w:after="120" w:line="240" w:lineRule="auto"/>
              <w:jc w:val="both"/>
              <w:rPr>
                <w:rFonts w:eastAsia="微软雅黑"/>
                <w:sz w:val="20"/>
                <w:szCs w:val="20"/>
              </w:rPr>
            </w:pPr>
            <w:r>
              <w:rPr>
                <w:rFonts w:eastAsia="微软雅黑"/>
                <w:sz w:val="20"/>
                <w:szCs w:val="20"/>
              </w:rPr>
              <w:t>Support FL’s proposal, and we are open to this discussion.</w:t>
            </w:r>
          </w:p>
        </w:tc>
      </w:tr>
      <w:tr w:rsidR="00C613FB" w14:paraId="5F0F1670" w14:textId="77777777" w:rsidTr="00864749">
        <w:tc>
          <w:tcPr>
            <w:tcW w:w="2403" w:type="dxa"/>
            <w:shd w:val="clear" w:color="auto" w:fill="auto"/>
          </w:tcPr>
          <w:p w14:paraId="681638A1" w14:textId="2E2E6CF7" w:rsidR="00C613FB" w:rsidRDefault="00C613FB"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47A66F27" w14:textId="760AAA30"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p w14:paraId="122FD872" w14:textId="71874496" w:rsidR="00C613FB" w:rsidRDefault="00C613FB" w:rsidP="00864749">
            <w:pPr>
              <w:widowControl w:val="0"/>
              <w:snapToGrid w:val="0"/>
              <w:spacing w:before="120" w:after="120" w:line="240" w:lineRule="auto"/>
              <w:jc w:val="both"/>
              <w:rPr>
                <w:rFonts w:eastAsia="微软雅黑"/>
                <w:sz w:val="20"/>
                <w:szCs w:val="20"/>
              </w:rPr>
            </w:pPr>
            <w:r>
              <w:rPr>
                <w:rFonts w:eastAsia="微软雅黑"/>
                <w:sz w:val="20"/>
                <w:szCs w:val="20"/>
              </w:rPr>
              <w:t xml:space="preserve">We see many benefits for having </w:t>
            </w:r>
            <w:r w:rsidR="00B71E0B">
              <w:rPr>
                <w:rFonts w:eastAsia="微软雅黑"/>
                <w:sz w:val="20"/>
                <w:szCs w:val="20"/>
              </w:rPr>
              <w:t>flexible adaption of SRS antenna switching.</w:t>
            </w:r>
          </w:p>
          <w:p w14:paraId="67FF1173" w14:textId="0000D342" w:rsidR="00B71E0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Network can achieve better utilization of SRS resources</w:t>
            </w:r>
            <w:r w:rsidR="00294814">
              <w:rPr>
                <w:rFonts w:eastAsia="微软雅黑"/>
                <w:sz w:val="20"/>
                <w:szCs w:val="20"/>
              </w:rPr>
              <w:t xml:space="preserve"> (reduce SRS overhead).</w:t>
            </w:r>
          </w:p>
          <w:p w14:paraId="116E9CC2" w14:textId="77777777" w:rsidR="00C613FB" w:rsidRDefault="00B71E0B"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as highlighted by ZTE, it helps with UE power savings where UE can back off from 4 simultaneous Tx chains to 2Tx or 1Tx and turn off some of the Tx chains.</w:t>
            </w:r>
          </w:p>
          <w:p w14:paraId="37875D32" w14:textId="741BAEB5" w:rsidR="00294814" w:rsidRPr="00C613FB" w:rsidRDefault="00294814" w:rsidP="00C613FB">
            <w:pPr>
              <w:pStyle w:val="aff2"/>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Also, dynamic indication will make the adaption much faster and enable lower overhead as compared to RRC re-configuration.</w:t>
            </w:r>
          </w:p>
        </w:tc>
      </w:tr>
      <w:tr w:rsidR="006B61E7" w14:paraId="3C33DB45" w14:textId="77777777" w:rsidTr="00864749">
        <w:tc>
          <w:tcPr>
            <w:tcW w:w="2403" w:type="dxa"/>
            <w:shd w:val="clear" w:color="auto" w:fill="auto"/>
          </w:tcPr>
          <w:p w14:paraId="1BF60547" w14:textId="48C4263B" w:rsidR="006B61E7" w:rsidRDefault="006B61E7" w:rsidP="006B61E7">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483534B5" w14:textId="0C9A2AB5" w:rsidR="006B61E7" w:rsidRDefault="006B61E7" w:rsidP="006B61E7">
            <w:pPr>
              <w:widowControl w:val="0"/>
              <w:snapToGrid w:val="0"/>
              <w:spacing w:before="120" w:after="120" w:line="240" w:lineRule="auto"/>
              <w:jc w:val="both"/>
              <w:rPr>
                <w:rFonts w:eastAsia="微软雅黑"/>
                <w:sz w:val="20"/>
                <w:szCs w:val="20"/>
              </w:rPr>
            </w:pPr>
            <w:r>
              <w:rPr>
                <w:rFonts w:eastAsia="微软雅黑"/>
                <w:sz w:val="20"/>
                <w:szCs w:val="20"/>
              </w:rPr>
              <w:t>Not Support. We don’t see a critical usecase of L1 signal based adaptation of SRS resource for antenna switching. We think the DL rank chang</w:t>
            </w:r>
            <w:r w:rsidR="00994D2B">
              <w:rPr>
                <w:rFonts w:eastAsia="微软雅黑"/>
                <w:sz w:val="20"/>
                <w:szCs w:val="20"/>
              </w:rPr>
              <w:t xml:space="preserve">e via L1 signal based BWP switching which is supported </w:t>
            </w:r>
            <w:r>
              <w:rPr>
                <w:rFonts w:eastAsia="微软雅黑"/>
                <w:sz w:val="20"/>
                <w:szCs w:val="20"/>
              </w:rPr>
              <w:t>In Rel-15/16</w:t>
            </w:r>
            <w:r w:rsidR="00994D2B">
              <w:rPr>
                <w:rFonts w:eastAsia="微软雅黑"/>
                <w:sz w:val="20"/>
                <w:szCs w:val="20"/>
              </w:rPr>
              <w:t xml:space="preserve"> may cover the scenario of UE power </w:t>
            </w:r>
            <w:r w:rsidR="00994D2B">
              <w:rPr>
                <w:rFonts w:eastAsia="微软雅黑"/>
                <w:sz w:val="20"/>
                <w:szCs w:val="20"/>
              </w:rPr>
              <w:lastRenderedPageBreak/>
              <w:t>saving.</w:t>
            </w:r>
            <w:r>
              <w:rPr>
                <w:rFonts w:eastAsia="微软雅黑"/>
                <w:sz w:val="20"/>
                <w:szCs w:val="20"/>
              </w:rPr>
              <w:t xml:space="preserve"> </w:t>
            </w:r>
          </w:p>
        </w:tc>
      </w:tr>
      <w:tr w:rsidR="00197674" w14:paraId="5BBA8C13" w14:textId="77777777" w:rsidTr="00864749">
        <w:tc>
          <w:tcPr>
            <w:tcW w:w="2403" w:type="dxa"/>
            <w:shd w:val="clear" w:color="auto" w:fill="auto"/>
          </w:tcPr>
          <w:p w14:paraId="1417991F" w14:textId="066A0CFC" w:rsidR="00197674" w:rsidRDefault="00197674" w:rsidP="006B61E7">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7" w:type="dxa"/>
            <w:shd w:val="clear" w:color="auto" w:fill="auto"/>
          </w:tcPr>
          <w:p w14:paraId="6859E532" w14:textId="2A26ABCD" w:rsidR="00197674" w:rsidRDefault="00197674" w:rsidP="006B61E7">
            <w:pPr>
              <w:widowControl w:val="0"/>
              <w:snapToGrid w:val="0"/>
              <w:spacing w:before="120" w:after="120" w:line="240" w:lineRule="auto"/>
              <w:jc w:val="both"/>
              <w:rPr>
                <w:rFonts w:eastAsia="微软雅黑"/>
                <w:sz w:val="20"/>
                <w:szCs w:val="20"/>
              </w:rPr>
            </w:pPr>
            <w:r>
              <w:rPr>
                <w:rFonts w:eastAsia="微软雅黑"/>
                <w:sz w:val="20"/>
                <w:szCs w:val="20"/>
              </w:rPr>
              <w:t>Fine to study</w:t>
            </w:r>
          </w:p>
        </w:tc>
      </w:tr>
    </w:tbl>
    <w:p w14:paraId="6C78008A" w14:textId="77777777" w:rsidR="007F1B01" w:rsidRDefault="007F1B01">
      <w:pPr>
        <w:widowControl w:val="0"/>
        <w:snapToGrid w:val="0"/>
        <w:spacing w:before="120" w:after="120" w:line="240" w:lineRule="auto"/>
        <w:jc w:val="both"/>
        <w:rPr>
          <w:rFonts w:eastAsia="微软雅黑"/>
          <w:sz w:val="20"/>
          <w:szCs w:val="20"/>
        </w:rPr>
      </w:pPr>
    </w:p>
    <w:p w14:paraId="52B9AA7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37CC71B7"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393349F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During the first-round email and online discussions, the only controversial part on the following FL proposal is whether 4T6R should be supported. </w:t>
      </w:r>
    </w:p>
    <w:p w14:paraId="7FA8F2A0" w14:textId="77777777" w:rsidR="007F1B01" w:rsidRDefault="008F0B1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0F70CDED" w14:textId="77777777" w:rsidR="007F1B01" w:rsidRDefault="008F0B14">
      <w:pPr>
        <w:pStyle w:val="aff2"/>
        <w:widowControl w:val="0"/>
        <w:numPr>
          <w:ilvl w:val="0"/>
          <w:numId w:val="6"/>
        </w:numPr>
        <w:snapToGrid w:val="0"/>
        <w:spacing w:before="120" w:after="120" w:line="240" w:lineRule="auto"/>
        <w:jc w:val="both"/>
        <w:rPr>
          <w:ins w:id="3" w:author="ZTE" w:date="2020-11-09T14:51:00Z"/>
          <w:rFonts w:eastAsia="微软雅黑"/>
          <w:i/>
          <w:sz w:val="20"/>
          <w:szCs w:val="20"/>
        </w:rPr>
      </w:pPr>
      <w:r>
        <w:rPr>
          <w:rFonts w:eastAsia="微软雅黑"/>
          <w:i/>
          <w:sz w:val="20"/>
          <w:szCs w:val="20"/>
        </w:rPr>
        <w:t>Note: companies are encouraged to evaluate directional UE antennas</w:t>
      </w:r>
    </w:p>
    <w:p w14:paraId="5DEE3D98" w14:textId="17BDE21D" w:rsidR="00460360" w:rsidRDefault="00460360">
      <w:pPr>
        <w:pStyle w:val="aff2"/>
        <w:widowControl w:val="0"/>
        <w:numPr>
          <w:ilvl w:val="0"/>
          <w:numId w:val="6"/>
        </w:numPr>
        <w:snapToGrid w:val="0"/>
        <w:spacing w:before="120" w:after="120" w:line="240" w:lineRule="auto"/>
        <w:jc w:val="both"/>
        <w:rPr>
          <w:rFonts w:eastAsia="微软雅黑"/>
          <w:i/>
          <w:sz w:val="20"/>
          <w:szCs w:val="20"/>
        </w:rPr>
      </w:pPr>
      <w:ins w:id="4" w:author="ZTE" w:date="2020-11-09T14:51:00Z">
        <w:r w:rsidRPr="00AE53EF">
          <w:rPr>
            <w:rFonts w:eastAsia="微软雅黑"/>
            <w:i/>
            <w:sz w:val="20"/>
            <w:szCs w:val="20"/>
          </w:rPr>
          <w:t xml:space="preserve">For 4T6R, consider only practical UE implementation for RF switching and mapping between the Tx chains and </w:t>
        </w:r>
        <w:r>
          <w:rPr>
            <w:rFonts w:eastAsia="微软雅黑"/>
            <w:i/>
            <w:sz w:val="20"/>
            <w:szCs w:val="20"/>
          </w:rPr>
          <w:t xml:space="preserve">Rx </w:t>
        </w:r>
        <w:r w:rsidRPr="00AE53EF">
          <w:rPr>
            <w:rFonts w:eastAsia="微软雅黑"/>
            <w:i/>
            <w:sz w:val="20"/>
            <w:szCs w:val="20"/>
          </w:rPr>
          <w:t>antennas.</w:t>
        </w:r>
      </w:ins>
    </w:p>
    <w:p w14:paraId="7598C2DA" w14:textId="77777777" w:rsidR="007F1B01" w:rsidRDefault="007F1B01">
      <w:pPr>
        <w:widowControl w:val="0"/>
        <w:snapToGrid w:val="0"/>
        <w:spacing w:before="120" w:after="120" w:line="240" w:lineRule="auto"/>
        <w:jc w:val="both"/>
        <w:rPr>
          <w:rFonts w:eastAsia="微软雅黑"/>
          <w:sz w:val="20"/>
          <w:szCs w:val="20"/>
        </w:rPr>
      </w:pPr>
    </w:p>
    <w:p w14:paraId="00782986"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share your views focusing on 4T6R, </w:t>
      </w:r>
      <w:r>
        <w:rPr>
          <w:rFonts w:eastAsia="微软雅黑"/>
          <w:sz w:val="20"/>
          <w:szCs w:val="20"/>
          <w:u w:val="single"/>
        </w:rPr>
        <w:t>esp. on potential use cases, benefit or on the other hand, issues, to support 4T6R</w:t>
      </w:r>
      <w:r>
        <w:rPr>
          <w:rFonts w:eastAsia="微软雅黑"/>
          <w:sz w:val="20"/>
          <w:szCs w:val="20"/>
        </w:rPr>
        <w:t>.</w:t>
      </w:r>
    </w:p>
    <w:p w14:paraId="1CDDA4C4" w14:textId="77777777" w:rsidR="007F1B01" w:rsidRDefault="007F1B01">
      <w:pPr>
        <w:widowControl w:val="0"/>
        <w:snapToGrid w:val="0"/>
        <w:spacing w:before="120" w:after="120" w:line="240" w:lineRule="auto"/>
        <w:jc w:val="both"/>
        <w:rPr>
          <w:rFonts w:eastAsia="微软雅黑"/>
          <w:sz w:val="20"/>
          <w:szCs w:val="20"/>
        </w:rPr>
      </w:pPr>
    </w:p>
    <w:p w14:paraId="7E06B7AF"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13D8590D" w14:textId="77777777" w:rsidTr="00864749">
        <w:tc>
          <w:tcPr>
            <w:tcW w:w="2403" w:type="dxa"/>
            <w:shd w:val="clear" w:color="auto" w:fill="E2EFD9" w:themeFill="accent6" w:themeFillTint="33"/>
          </w:tcPr>
          <w:p w14:paraId="62C1C107"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3E1702E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6B84E101" w14:textId="77777777" w:rsidTr="00864749">
        <w:tc>
          <w:tcPr>
            <w:tcW w:w="2403" w:type="dxa"/>
            <w:shd w:val="clear" w:color="auto" w:fill="auto"/>
          </w:tcPr>
          <w:p w14:paraId="6DDD1379"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5540FB4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The potential physical antennas (include switches) mapping and workable switching need to be clarified before we agree the pattern. We will be not objection when the case is clear workable in practical scenarios.</w:t>
            </w:r>
          </w:p>
          <w:p w14:paraId="38F573A4" w14:textId="77777777" w:rsidR="007F1B01" w:rsidRDefault="008F0B14">
            <w:pPr>
              <w:widowControl w:val="0"/>
              <w:snapToGrid w:val="0"/>
              <w:spacing w:before="120" w:after="120" w:line="240" w:lineRule="auto"/>
              <w:rPr>
                <w:rFonts w:eastAsia="微软雅黑"/>
                <w:b/>
                <w:sz w:val="20"/>
                <w:szCs w:val="20"/>
              </w:rPr>
            </w:pPr>
            <w:r>
              <w:rPr>
                <w:rFonts w:eastAsia="微软雅黑"/>
                <w:b/>
                <w:sz w:val="20"/>
                <w:szCs w:val="20"/>
              </w:rPr>
              <w:t>A possible revision is that:</w:t>
            </w:r>
          </w:p>
          <w:p w14:paraId="3B623D09" w14:textId="77777777" w:rsidR="007F1B01" w:rsidRDefault="008F0B14">
            <w:pPr>
              <w:widowControl w:val="0"/>
              <w:snapToGrid w:val="0"/>
              <w:spacing w:before="120" w:after="120" w:line="240" w:lineRule="auto"/>
              <w:jc w:val="both"/>
              <w:rPr>
                <w:rFonts w:eastAsia="微软雅黑"/>
                <w:i/>
                <w:sz w:val="20"/>
                <w:szCs w:val="20"/>
              </w:rPr>
            </w:pPr>
            <w:r>
              <w:rPr>
                <w:rFonts w:eastAsia="微软雅黑"/>
                <w:sz w:val="20"/>
                <w:szCs w:val="20"/>
              </w:rPr>
              <w:t xml:space="preserve"> </w:t>
            </w: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42CC4FAC" w14:textId="77777777" w:rsidR="007F1B01" w:rsidRDefault="008F0B14">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33194550" w14:textId="77777777" w:rsidR="007F1B01" w:rsidRDefault="008F0B14">
            <w:pPr>
              <w:pStyle w:val="aff2"/>
              <w:widowControl w:val="0"/>
              <w:numPr>
                <w:ilvl w:val="0"/>
                <w:numId w:val="6"/>
              </w:numPr>
              <w:snapToGrid w:val="0"/>
              <w:spacing w:before="120" w:after="120" w:line="240" w:lineRule="auto"/>
              <w:jc w:val="both"/>
              <w:rPr>
                <w:rFonts w:eastAsia="微软雅黑"/>
                <w:i/>
                <w:color w:val="FF0000"/>
                <w:sz w:val="20"/>
                <w:szCs w:val="20"/>
              </w:rPr>
            </w:pPr>
            <w:r>
              <w:rPr>
                <w:rFonts w:eastAsia="微软雅黑"/>
                <w:i/>
                <w:color w:val="FF0000"/>
                <w:sz w:val="20"/>
                <w:szCs w:val="20"/>
              </w:rPr>
              <w:t>Study the practical physical antenna mappings and workable switching for 4T6R, and decide whether support 4T6R in RAN1#104-e.</w:t>
            </w:r>
          </w:p>
        </w:tc>
      </w:tr>
      <w:tr w:rsidR="007F1B01" w14:paraId="0CF02834" w14:textId="77777777" w:rsidTr="00864749">
        <w:tc>
          <w:tcPr>
            <w:tcW w:w="2403" w:type="dxa"/>
            <w:shd w:val="clear" w:color="auto" w:fill="auto"/>
          </w:tcPr>
          <w:p w14:paraId="63B8E67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OPPO</w:t>
            </w:r>
          </w:p>
        </w:tc>
        <w:tc>
          <w:tcPr>
            <w:tcW w:w="6947" w:type="dxa"/>
            <w:shd w:val="clear" w:color="auto" w:fill="auto"/>
          </w:tcPr>
          <w:p w14:paraId="476F1E7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don’t support 4T6R, but can keep open and follow majority view on 4T6R.</w:t>
            </w:r>
          </w:p>
        </w:tc>
      </w:tr>
      <w:tr w:rsidR="007F1B01" w14:paraId="3911DD3E" w14:textId="77777777" w:rsidTr="00864749">
        <w:tc>
          <w:tcPr>
            <w:tcW w:w="2403" w:type="dxa"/>
            <w:shd w:val="clear" w:color="auto" w:fill="auto"/>
          </w:tcPr>
          <w:p w14:paraId="7443011E"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498EDED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Support the FL proposal. </w:t>
            </w:r>
          </w:p>
          <w:p w14:paraId="0908FE5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If some gNB or UE vendors would not deploy 4T6R, it is fine since all above configurations will be optional UE features anyway. So we think it is at least no harm for specification to support 4T6R. It is future-proof and may give gNB vendors more flexibility to do antenna switching.</w:t>
            </w:r>
          </w:p>
        </w:tc>
      </w:tr>
      <w:tr w:rsidR="00864749" w14:paraId="0AB47C9E" w14:textId="77777777" w:rsidTr="00864749">
        <w:tc>
          <w:tcPr>
            <w:tcW w:w="2403" w:type="dxa"/>
            <w:shd w:val="clear" w:color="auto" w:fill="auto"/>
          </w:tcPr>
          <w:p w14:paraId="7D616F9B" w14:textId="77777777" w:rsidR="00864749" w:rsidRDefault="00864749" w:rsidP="00864749">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7" w:type="dxa"/>
            <w:shd w:val="clear" w:color="auto" w:fill="auto"/>
          </w:tcPr>
          <w:p w14:paraId="53275C79" w14:textId="77777777" w:rsidR="00864749" w:rsidRDefault="00864749" w:rsidP="00864749">
            <w:pPr>
              <w:widowControl w:val="0"/>
              <w:snapToGrid w:val="0"/>
              <w:spacing w:before="120" w:after="120" w:line="240" w:lineRule="auto"/>
              <w:rPr>
                <w:rFonts w:eastAsia="微软雅黑"/>
                <w:sz w:val="20"/>
                <w:szCs w:val="20"/>
              </w:rPr>
            </w:pPr>
            <w:r>
              <w:rPr>
                <w:rFonts w:eastAsia="微软雅黑"/>
                <w:sz w:val="20"/>
                <w:szCs w:val="20"/>
              </w:rPr>
              <w:t>Support the FL’s proposal, we can capture this 4T6R configuration as an option for implementation.</w:t>
            </w:r>
          </w:p>
          <w:p w14:paraId="1E039694" w14:textId="3AB52A5F" w:rsidR="00294814" w:rsidRDefault="00294814" w:rsidP="00864749">
            <w:pPr>
              <w:widowControl w:val="0"/>
              <w:snapToGrid w:val="0"/>
              <w:spacing w:before="120" w:after="120" w:line="240" w:lineRule="auto"/>
              <w:rPr>
                <w:rFonts w:eastAsia="微软雅黑"/>
                <w:sz w:val="20"/>
                <w:szCs w:val="20"/>
              </w:rPr>
            </w:pPr>
          </w:p>
        </w:tc>
      </w:tr>
      <w:tr w:rsidR="00294814" w14:paraId="766A0412" w14:textId="77777777" w:rsidTr="00864749">
        <w:tc>
          <w:tcPr>
            <w:tcW w:w="2403" w:type="dxa"/>
            <w:shd w:val="clear" w:color="auto" w:fill="auto"/>
          </w:tcPr>
          <w:p w14:paraId="35279C65" w14:textId="1986AEE6" w:rsidR="00294814" w:rsidRDefault="00294814" w:rsidP="00864749">
            <w:pPr>
              <w:widowControl w:val="0"/>
              <w:snapToGrid w:val="0"/>
              <w:spacing w:before="120" w:after="120" w:line="240" w:lineRule="auto"/>
              <w:rPr>
                <w:rFonts w:eastAsia="微软雅黑"/>
                <w:sz w:val="20"/>
                <w:szCs w:val="20"/>
              </w:rPr>
            </w:pPr>
            <w:r>
              <w:rPr>
                <w:rFonts w:eastAsia="微软雅黑"/>
                <w:sz w:val="20"/>
                <w:szCs w:val="20"/>
              </w:rPr>
              <w:t>Qualcomm</w:t>
            </w:r>
          </w:p>
        </w:tc>
        <w:tc>
          <w:tcPr>
            <w:tcW w:w="6947" w:type="dxa"/>
            <w:shd w:val="clear" w:color="auto" w:fill="auto"/>
          </w:tcPr>
          <w:p w14:paraId="7C5A1E6B" w14:textId="554BF21D" w:rsidR="00294814" w:rsidRPr="00302DC5" w:rsidRDefault="00294814" w:rsidP="00457EB5">
            <w:pPr>
              <w:widowControl w:val="0"/>
              <w:snapToGrid w:val="0"/>
              <w:spacing w:before="120" w:after="120"/>
              <w:jc w:val="both"/>
            </w:pPr>
            <w:r w:rsidRPr="00302DC5">
              <w:t xml:space="preserve">3GPP specifications should be flexible enough and future looking to encourage the commercial deployment of </w:t>
            </w:r>
            <w:r w:rsidR="00C15CCE" w:rsidRPr="00302DC5">
              <w:t>wireless</w:t>
            </w:r>
            <w:r w:rsidRPr="00302DC5">
              <w:t xml:space="preserve"> devices with </w:t>
            </w:r>
            <w:r w:rsidR="00C15CCE" w:rsidRPr="00302DC5">
              <w:t>large</w:t>
            </w:r>
            <w:r w:rsidRPr="00302DC5">
              <w:t xml:space="preserve"> number </w:t>
            </w:r>
            <w:r w:rsidRPr="00302DC5">
              <w:lastRenderedPageBreak/>
              <w:t>of antennas. As it stands</w:t>
            </w:r>
            <w:r w:rsidR="00C15CCE" w:rsidRPr="00302DC5">
              <w:t xml:space="preserve"> right now</w:t>
            </w:r>
            <w:r w:rsidRPr="00302DC5">
              <w:t xml:space="preserve">, </w:t>
            </w:r>
            <w:r w:rsidR="00C15CCE" w:rsidRPr="00302DC5">
              <w:t xml:space="preserve">the lack of support of 4T6R will pose a constraint and exclude UE support for such </w:t>
            </w:r>
            <w:r w:rsidR="00FD7AA4" w:rsidRPr="00302DC5">
              <w:t xml:space="preserve">SRS antenna configuration. </w:t>
            </w:r>
          </w:p>
          <w:p w14:paraId="6B20F986" w14:textId="2ADF04A7" w:rsidR="00FD7AA4" w:rsidRPr="00302DC5" w:rsidRDefault="00C15CCE" w:rsidP="00FD7AA4">
            <w:pPr>
              <w:jc w:val="both"/>
            </w:pPr>
            <w:r w:rsidRPr="00302DC5">
              <w:t xml:space="preserve">In our views, it is very important to support such SRS antenna switching configuration. One practical use-case is for UE with 4Tx </w:t>
            </w:r>
            <w:r w:rsidR="00FD7AA4" w:rsidRPr="00302DC5">
              <w:t xml:space="preserve">chains </w:t>
            </w:r>
            <w:r w:rsidRPr="00302DC5">
              <w:t xml:space="preserve">and 8 Rx antennas which </w:t>
            </w:r>
            <w:r w:rsidR="00FD7AA4" w:rsidRPr="00302DC5">
              <w:t xml:space="preserve">can operate in some of the NR bands with 4T8R while it has to </w:t>
            </w:r>
            <w:r w:rsidRPr="00302DC5">
              <w:t>operate in some</w:t>
            </w:r>
            <w:r w:rsidR="00FD7AA4" w:rsidRPr="00302DC5">
              <w:t xml:space="preserve"> other </w:t>
            </w:r>
            <w:r w:rsidRPr="00302DC5">
              <w:t>NR bands with only a subset of antennas (i.e. 6 Rx antennas)</w:t>
            </w:r>
            <w:r w:rsidR="00FD7AA4" w:rsidRPr="00302DC5">
              <w:t xml:space="preserve"> and therefore it needs to support 4T6R</w:t>
            </w:r>
            <w:r w:rsidRPr="00302DC5">
              <w:t xml:space="preserve">. This </w:t>
            </w:r>
            <w:r w:rsidR="00FD7AA4" w:rsidRPr="00302DC5">
              <w:t xml:space="preserve">is a real-case scenario and it can happen in some band where </w:t>
            </w:r>
            <w:r w:rsidRPr="00302DC5">
              <w:t xml:space="preserve">1) two antennas are shared with other RAT (e.g. WiFi or Bluetooth) at that </w:t>
            </w:r>
            <w:r w:rsidR="00FD7AA4" w:rsidRPr="00302DC5">
              <w:t xml:space="preserve">frequency </w:t>
            </w:r>
            <w:r w:rsidRPr="00302DC5">
              <w:t xml:space="preserve">band or 2) two antenna have low gain or efficiency at these </w:t>
            </w:r>
            <w:r w:rsidR="00FD7AA4" w:rsidRPr="00302DC5">
              <w:t xml:space="preserve"> frequency </w:t>
            </w:r>
            <w:r w:rsidRPr="00302DC5">
              <w:t xml:space="preserve">bands. </w:t>
            </w:r>
          </w:p>
          <w:p w14:paraId="0E4E0101" w14:textId="52547EAC" w:rsidR="00FD7AA4" w:rsidRPr="00302DC5" w:rsidRDefault="00FD7AA4" w:rsidP="00FD7AA4">
            <w:pPr>
              <w:jc w:val="both"/>
            </w:pPr>
            <w:r w:rsidRPr="00302DC5">
              <w:t>Regarding the concern of non-uniform insertion loss</w:t>
            </w:r>
            <w:r w:rsidR="00457EB5" w:rsidRPr="00302DC5">
              <w:t xml:space="preserve"> for the example implementation of 4T6R that we share earlier: </w:t>
            </w:r>
            <w:r w:rsidRPr="00302DC5">
              <w:t>it is not something new or abnormal that some Tx chains have</w:t>
            </w:r>
            <w:r w:rsidR="00457EB5" w:rsidRPr="00302DC5">
              <w:t xml:space="preserve"> different</w:t>
            </w:r>
            <w:r w:rsidRPr="00302DC5">
              <w:t xml:space="preserve"> </w:t>
            </w:r>
            <w:r w:rsidR="00457EB5" w:rsidRPr="00302DC5">
              <w:t>insertion</w:t>
            </w:r>
            <w:r w:rsidRPr="00302DC5">
              <w:t xml:space="preserve"> loss than other Tx chains</w:t>
            </w:r>
            <w:r w:rsidR="00457EB5" w:rsidRPr="00302DC5">
              <w:t>. That is the case for current RFFE implementation of UE with 4Rx</w:t>
            </w:r>
            <w:r w:rsidRPr="00302DC5">
              <w:t xml:space="preserve">. </w:t>
            </w:r>
            <w:r w:rsidR="00457EB5" w:rsidRPr="00302DC5">
              <w:t>For example</w:t>
            </w:r>
            <w:r w:rsidRPr="00302DC5">
              <w:t>, a UE with 1T4R,</w:t>
            </w:r>
            <w:r w:rsidR="00457EB5" w:rsidRPr="00302DC5">
              <w:t xml:space="preserve"> the RF switching network may be implemented as</w:t>
            </w:r>
            <w:r w:rsidRPr="00302DC5">
              <w:t xml:space="preserve"> a se</w:t>
            </w:r>
            <w:r w:rsidR="00457EB5" w:rsidRPr="00302DC5">
              <w:t>t of cascaded of 2x1</w:t>
            </w:r>
            <w:r w:rsidRPr="00302DC5">
              <w:t xml:space="preserve"> RF </w:t>
            </w:r>
            <w:r w:rsidR="00457EB5" w:rsidRPr="00302DC5">
              <w:t>switches. So, t</w:t>
            </w:r>
            <w:r w:rsidRPr="00302DC5">
              <w:t>he first antenna</w:t>
            </w:r>
            <w:r w:rsidR="00457EB5" w:rsidRPr="00302DC5">
              <w:t xml:space="preserve"> will have </w:t>
            </w:r>
            <w:r w:rsidRPr="00302DC5">
              <w:t>the least insertion loss</w:t>
            </w:r>
            <w:r w:rsidR="00457EB5" w:rsidRPr="00302DC5">
              <w:t xml:space="preserve"> (least number of switches)</w:t>
            </w:r>
            <w:r w:rsidRPr="00302DC5">
              <w:t xml:space="preserve"> while the last antenna </w:t>
            </w:r>
            <w:r w:rsidR="00457EB5" w:rsidRPr="00302DC5">
              <w:t xml:space="preserve">will have the highest </w:t>
            </w:r>
            <w:r w:rsidRPr="00302DC5">
              <w:t xml:space="preserve">insertion loss. </w:t>
            </w:r>
          </w:p>
          <w:p w14:paraId="0C1DC595" w14:textId="1CA4125C" w:rsidR="00302DC5" w:rsidRPr="00302DC5" w:rsidRDefault="00457EB5" w:rsidP="00457EB5">
            <w:r>
              <w:t xml:space="preserve">Regarding the SRS sounding configuration, we are open to limit the support to only the practical implementation approaches. For example, one configuration could be a single </w:t>
            </w:r>
            <w:r w:rsidRPr="00302DC5">
              <w:t>SRS resource set with two resources, first resource with 4 ports and 2 resource with 2 ports.</w:t>
            </w:r>
          </w:p>
          <w:p w14:paraId="487098BE" w14:textId="0CEB2E93" w:rsidR="00302DC5" w:rsidRPr="00302DC5" w:rsidRDefault="00302DC5" w:rsidP="00302DC5">
            <w:pPr>
              <w:widowControl w:val="0"/>
              <w:snapToGrid w:val="0"/>
              <w:spacing w:before="120" w:after="120" w:line="240" w:lineRule="auto"/>
              <w:jc w:val="both"/>
            </w:pPr>
            <w:r w:rsidRPr="00302DC5">
              <w:t xml:space="preserve">At the end, this SRS antenna configuration will be an optional feature and most probably the UE may  support a combo of SRS antenna switching (e.g. {4T6R, 2T6R}) and it will be up to the NW to configure the UE with the proper SRS configuration. </w:t>
            </w:r>
          </w:p>
          <w:p w14:paraId="17202D25" w14:textId="77777777" w:rsidR="00302DC5" w:rsidRPr="00302DC5" w:rsidRDefault="00302DC5" w:rsidP="00302DC5">
            <w:pPr>
              <w:widowControl w:val="0"/>
              <w:snapToGrid w:val="0"/>
              <w:spacing w:before="120" w:after="120" w:line="240" w:lineRule="auto"/>
              <w:jc w:val="both"/>
            </w:pPr>
          </w:p>
          <w:p w14:paraId="2CB10967" w14:textId="4B8A78AD" w:rsidR="00294814" w:rsidRPr="00302DC5" w:rsidRDefault="00302DC5" w:rsidP="00302DC5">
            <w:pPr>
              <w:widowControl w:val="0"/>
              <w:snapToGrid w:val="0"/>
              <w:spacing w:before="120" w:after="120" w:line="240" w:lineRule="auto"/>
              <w:jc w:val="both"/>
            </w:pPr>
            <w:r w:rsidRPr="00302DC5">
              <w:t>We ask the opponent companies for their f</w:t>
            </w:r>
            <w:r w:rsidR="00294814" w:rsidRPr="00302DC5">
              <w:t xml:space="preserve">lexibility to support the proposal </w:t>
            </w:r>
            <w:r>
              <w:t>so that we can more progress and focus our efforts on other discussion.</w:t>
            </w:r>
          </w:p>
          <w:p w14:paraId="166096C3" w14:textId="77777777" w:rsidR="00294814" w:rsidRPr="00302DC5" w:rsidRDefault="00294814" w:rsidP="00864749">
            <w:pPr>
              <w:widowControl w:val="0"/>
              <w:snapToGrid w:val="0"/>
              <w:spacing w:before="120" w:after="120" w:line="240" w:lineRule="auto"/>
            </w:pPr>
          </w:p>
          <w:p w14:paraId="14BA1FAF" w14:textId="77777777" w:rsidR="00302DC5" w:rsidRDefault="00302DC5" w:rsidP="00302DC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w:t>
            </w:r>
            <w:r>
              <w:rPr>
                <w:rFonts w:eastAsia="微软雅黑"/>
                <w:b/>
                <w:i/>
                <w:sz w:val="20"/>
                <w:szCs w:val="20"/>
              </w:rPr>
              <w:t xml:space="preserve"> </w:t>
            </w:r>
            <w:r>
              <w:rPr>
                <w:rFonts w:eastAsia="微软雅黑"/>
                <w:i/>
                <w:sz w:val="20"/>
                <w:szCs w:val="20"/>
              </w:rPr>
              <w:t xml:space="preserve">For antenna switching up to 8Rx, support SRS resource configurations for {1T6R, 1T8R, 2T6R, 2T8R, </w:t>
            </w:r>
            <w:r>
              <w:rPr>
                <w:rFonts w:eastAsia="微软雅黑"/>
                <w:i/>
                <w:sz w:val="20"/>
                <w:szCs w:val="20"/>
                <w:highlight w:val="cyan"/>
              </w:rPr>
              <w:t>4T6R</w:t>
            </w:r>
            <w:r>
              <w:rPr>
                <w:rFonts w:eastAsia="微软雅黑"/>
                <w:i/>
                <w:sz w:val="20"/>
                <w:szCs w:val="20"/>
              </w:rPr>
              <w:t>, 4T8R}.</w:t>
            </w:r>
          </w:p>
          <w:p w14:paraId="18A7974C" w14:textId="0561D4CC" w:rsidR="00AE53EF" w:rsidRPr="00AE53EF" w:rsidRDefault="00AE53EF" w:rsidP="00AE53EF">
            <w:pPr>
              <w:pStyle w:val="aff2"/>
              <w:numPr>
                <w:ilvl w:val="0"/>
                <w:numId w:val="6"/>
              </w:numPr>
              <w:rPr>
                <w:rFonts w:eastAsia="微软雅黑"/>
                <w:i/>
                <w:sz w:val="20"/>
                <w:szCs w:val="20"/>
              </w:rPr>
            </w:pPr>
            <w:r w:rsidRPr="00AE53EF">
              <w:rPr>
                <w:rFonts w:eastAsia="微软雅黑"/>
                <w:i/>
                <w:sz w:val="20"/>
                <w:szCs w:val="20"/>
              </w:rPr>
              <w:t xml:space="preserve">For 4T6R, consider only practical UE implementation for RF switching and mapping between the Tx chains and </w:t>
            </w:r>
            <w:r w:rsidR="00CB0FB5">
              <w:rPr>
                <w:rFonts w:eastAsia="微软雅黑"/>
                <w:i/>
                <w:sz w:val="20"/>
                <w:szCs w:val="20"/>
              </w:rPr>
              <w:t xml:space="preserve">Rx </w:t>
            </w:r>
            <w:r w:rsidRPr="00AE53EF">
              <w:rPr>
                <w:rFonts w:eastAsia="微软雅黑"/>
                <w:i/>
                <w:sz w:val="20"/>
                <w:szCs w:val="20"/>
              </w:rPr>
              <w:t>antennas.</w:t>
            </w:r>
          </w:p>
          <w:p w14:paraId="435E3AB1" w14:textId="77777777" w:rsidR="00302DC5" w:rsidRDefault="00302DC5" w:rsidP="00302DC5">
            <w:pPr>
              <w:pStyle w:val="aff2"/>
              <w:widowControl w:val="0"/>
              <w:numPr>
                <w:ilvl w:val="0"/>
                <w:numId w:val="6"/>
              </w:numPr>
              <w:snapToGrid w:val="0"/>
              <w:spacing w:before="120" w:after="120" w:line="240" w:lineRule="auto"/>
              <w:jc w:val="both"/>
              <w:rPr>
                <w:rFonts w:eastAsia="微软雅黑"/>
                <w:i/>
                <w:sz w:val="20"/>
                <w:szCs w:val="20"/>
              </w:rPr>
            </w:pPr>
            <w:r>
              <w:rPr>
                <w:rFonts w:eastAsia="微软雅黑"/>
                <w:i/>
                <w:sz w:val="20"/>
                <w:szCs w:val="20"/>
              </w:rPr>
              <w:t>Note: companies are encouraged to evaluate directional UE antennas</w:t>
            </w:r>
          </w:p>
          <w:p w14:paraId="4BA790C7" w14:textId="3A81545F" w:rsidR="00294814" w:rsidRPr="00302DC5" w:rsidRDefault="00294814" w:rsidP="00294814">
            <w:pPr>
              <w:widowControl w:val="0"/>
              <w:snapToGrid w:val="0"/>
              <w:spacing w:before="120" w:after="120" w:line="240" w:lineRule="auto"/>
            </w:pPr>
          </w:p>
        </w:tc>
      </w:tr>
      <w:tr w:rsidR="00994D2B" w14:paraId="23AE0817" w14:textId="77777777" w:rsidTr="00864749">
        <w:tc>
          <w:tcPr>
            <w:tcW w:w="2403" w:type="dxa"/>
            <w:shd w:val="clear" w:color="auto" w:fill="auto"/>
          </w:tcPr>
          <w:p w14:paraId="0E228BB3" w14:textId="64574E38" w:rsidR="00994D2B" w:rsidRDefault="00994D2B" w:rsidP="00994D2B">
            <w:pPr>
              <w:widowControl w:val="0"/>
              <w:snapToGrid w:val="0"/>
              <w:spacing w:before="120" w:after="120" w:line="240" w:lineRule="auto"/>
              <w:rPr>
                <w:rFonts w:eastAsia="微软雅黑"/>
                <w:sz w:val="20"/>
                <w:szCs w:val="20"/>
              </w:rPr>
            </w:pPr>
            <w:r>
              <w:rPr>
                <w:rFonts w:eastAsia="微软雅黑"/>
                <w:sz w:val="20"/>
                <w:szCs w:val="20"/>
              </w:rPr>
              <w:lastRenderedPageBreak/>
              <w:t>Nokia/NSB</w:t>
            </w:r>
          </w:p>
        </w:tc>
        <w:tc>
          <w:tcPr>
            <w:tcW w:w="6947" w:type="dxa"/>
            <w:shd w:val="clear" w:color="auto" w:fill="auto"/>
          </w:tcPr>
          <w:p w14:paraId="5E55FBE9" w14:textId="0447A193" w:rsidR="00994D2B" w:rsidRPr="00302DC5" w:rsidRDefault="00994D2B" w:rsidP="00994D2B">
            <w:pPr>
              <w:widowControl w:val="0"/>
              <w:snapToGrid w:val="0"/>
              <w:spacing w:before="120" w:after="120"/>
              <w:jc w:val="both"/>
            </w:pPr>
            <w:r>
              <w:rPr>
                <w:rFonts w:eastAsia="微软雅黑"/>
                <w:sz w:val="20"/>
                <w:szCs w:val="20"/>
              </w:rPr>
              <w:t>Support the FL proposal. We also O.K. with Qualcomm’s modification.</w:t>
            </w:r>
          </w:p>
        </w:tc>
      </w:tr>
      <w:tr w:rsidR="000B2ABC" w14:paraId="0C238DC6" w14:textId="77777777" w:rsidTr="00864749">
        <w:tc>
          <w:tcPr>
            <w:tcW w:w="2403" w:type="dxa"/>
            <w:shd w:val="clear" w:color="auto" w:fill="auto"/>
          </w:tcPr>
          <w:p w14:paraId="7842377F" w14:textId="298C2DE8" w:rsidR="000B2ABC" w:rsidRDefault="000B2ABC" w:rsidP="00994D2B">
            <w:pPr>
              <w:widowControl w:val="0"/>
              <w:snapToGrid w:val="0"/>
              <w:spacing w:before="120" w:after="120" w:line="240" w:lineRule="auto"/>
              <w:rPr>
                <w:rFonts w:eastAsia="微软雅黑"/>
                <w:sz w:val="20"/>
                <w:szCs w:val="20"/>
              </w:rPr>
            </w:pPr>
            <w:r>
              <w:rPr>
                <w:rFonts w:eastAsia="微软雅黑"/>
                <w:sz w:val="20"/>
                <w:szCs w:val="20"/>
              </w:rPr>
              <w:t>Apple</w:t>
            </w:r>
          </w:p>
        </w:tc>
        <w:tc>
          <w:tcPr>
            <w:tcW w:w="6947" w:type="dxa"/>
            <w:shd w:val="clear" w:color="auto" w:fill="auto"/>
          </w:tcPr>
          <w:p w14:paraId="1F57F375" w14:textId="5137460E" w:rsidR="000B2ABC" w:rsidRDefault="000B2ABC" w:rsidP="00994D2B">
            <w:pPr>
              <w:widowControl w:val="0"/>
              <w:snapToGrid w:val="0"/>
              <w:spacing w:before="120" w:after="120"/>
              <w:jc w:val="both"/>
              <w:rPr>
                <w:rFonts w:eastAsia="微软雅黑"/>
                <w:sz w:val="20"/>
                <w:szCs w:val="20"/>
              </w:rPr>
            </w:pPr>
            <w:r>
              <w:rPr>
                <w:rFonts w:eastAsia="微软雅黑"/>
                <w:sz w:val="20"/>
                <w:szCs w:val="20"/>
              </w:rPr>
              <w:t xml:space="preserve">No opinion, all of those </w:t>
            </w:r>
            <w:r w:rsidR="007C773B">
              <w:rPr>
                <w:rFonts w:eastAsia="微软雅黑"/>
                <w:sz w:val="20"/>
                <w:szCs w:val="20"/>
              </w:rPr>
              <w:t>will</w:t>
            </w:r>
            <w:r>
              <w:rPr>
                <w:rFonts w:eastAsia="微软雅黑"/>
                <w:sz w:val="20"/>
                <w:szCs w:val="20"/>
              </w:rPr>
              <w:t xml:space="preserve"> be optional for UE anyway. </w:t>
            </w:r>
          </w:p>
        </w:tc>
      </w:tr>
    </w:tbl>
    <w:p w14:paraId="491D6C80" w14:textId="77777777" w:rsidR="007F1B01" w:rsidRDefault="007F1B01">
      <w:pPr>
        <w:widowControl w:val="0"/>
        <w:snapToGrid w:val="0"/>
        <w:spacing w:before="120" w:after="120" w:line="240" w:lineRule="auto"/>
        <w:jc w:val="both"/>
        <w:rPr>
          <w:rFonts w:eastAsia="微软雅黑"/>
          <w:sz w:val="20"/>
          <w:szCs w:val="20"/>
        </w:rPr>
      </w:pPr>
    </w:p>
    <w:p w14:paraId="08D83FB2"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6B10574B"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We have agreed to support at least one scheme from Class 2 and Class 3. The following two proposals are to collect companies’ input on candidate schemes.</w:t>
      </w:r>
    </w:p>
    <w:p w14:paraId="6CF1CAF5"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6A:</w:t>
      </w:r>
      <w:r>
        <w:rPr>
          <w:rFonts w:eastAsiaTheme="minorEastAsia"/>
          <w:i/>
          <w:sz w:val="20"/>
          <w:szCs w:val="20"/>
        </w:rPr>
        <w:t xml:space="preserve"> Candidate schemes for Class 2 (Increase repetition):</w:t>
      </w:r>
    </w:p>
    <w:p w14:paraId="13041CCE" w14:textId="77777777" w:rsidR="007F1B01" w:rsidRDefault="008F0B14">
      <w:pPr>
        <w:pStyle w:val="aff2"/>
        <w:widowControl w:val="0"/>
        <w:numPr>
          <w:ilvl w:val="0"/>
          <w:numId w:val="7"/>
        </w:numPr>
        <w:snapToGrid w:val="0"/>
        <w:spacing w:before="120" w:after="120" w:line="240" w:lineRule="auto"/>
        <w:jc w:val="both"/>
        <w:rPr>
          <w:ins w:id="5" w:author="ZTE" w:date="2020-11-09T14:51:00Z"/>
          <w:rFonts w:eastAsiaTheme="minorEastAsia"/>
          <w:i/>
          <w:sz w:val="20"/>
          <w:szCs w:val="20"/>
        </w:rPr>
      </w:pPr>
      <w:r>
        <w:rPr>
          <w:rFonts w:eastAsiaTheme="minorEastAsia"/>
          <w:i/>
          <w:sz w:val="20"/>
          <w:szCs w:val="20"/>
        </w:rPr>
        <w:t>Scheme 2-0: Increase the number of repetition symbols in one slot</w:t>
      </w:r>
    </w:p>
    <w:p w14:paraId="5E51CB60" w14:textId="4FC704B1" w:rsidR="00D14540" w:rsidRDefault="00D14540">
      <w:pPr>
        <w:pStyle w:val="aff2"/>
        <w:widowControl w:val="0"/>
        <w:numPr>
          <w:ilvl w:val="0"/>
          <w:numId w:val="7"/>
        </w:numPr>
        <w:snapToGrid w:val="0"/>
        <w:spacing w:before="120" w:after="120" w:line="240" w:lineRule="auto"/>
        <w:jc w:val="both"/>
        <w:rPr>
          <w:rFonts w:eastAsiaTheme="minorEastAsia"/>
          <w:i/>
          <w:sz w:val="20"/>
          <w:szCs w:val="20"/>
        </w:rPr>
      </w:pPr>
      <w:moveToRangeStart w:id="6" w:author="ZTE" w:date="2020-11-09T14:51:00Z" w:name="move55825935"/>
      <w:moveTo w:id="7" w:author="ZTE" w:date="2020-11-09T14:51:00Z">
        <w:r>
          <w:rPr>
            <w:rFonts w:eastAsiaTheme="minorEastAsia"/>
            <w:i/>
            <w:sz w:val="20"/>
            <w:szCs w:val="20"/>
          </w:rPr>
          <w:t>Scheme 2-</w:t>
        </w:r>
        <w:del w:id="8" w:author="ZTE" w:date="2020-11-09T14:52:00Z">
          <w:r w:rsidDel="00D14540">
            <w:rPr>
              <w:rFonts w:eastAsiaTheme="minorEastAsia"/>
              <w:i/>
              <w:sz w:val="20"/>
              <w:szCs w:val="20"/>
            </w:rPr>
            <w:delText>3</w:delText>
          </w:r>
        </w:del>
      </w:moveTo>
      <w:ins w:id="9" w:author="ZTE" w:date="2020-11-09T14:52:00Z">
        <w:r>
          <w:rPr>
            <w:rFonts w:eastAsiaTheme="minorEastAsia"/>
            <w:i/>
            <w:sz w:val="20"/>
            <w:szCs w:val="20"/>
          </w:rPr>
          <w:t>1</w:t>
        </w:r>
      </w:ins>
      <w:moveTo w:id="10" w:author="ZTE" w:date="2020-11-09T14:51:00Z">
        <w:r>
          <w:rPr>
            <w:rFonts w:eastAsiaTheme="minorEastAsia"/>
            <w:i/>
            <w:sz w:val="20"/>
            <w:szCs w:val="20"/>
          </w:rPr>
          <w:t xml:space="preserve">: Support inter-slot repetition </w:t>
        </w:r>
        <w:r>
          <w:rPr>
            <w:rFonts w:eastAsiaTheme="minorEastAsia"/>
            <w:i/>
            <w:iCs/>
            <w:sz w:val="20"/>
            <w:szCs w:val="20"/>
          </w:rPr>
          <w:t>on consecutive symbols or non-consecutive symbols across slots</w:t>
        </w:r>
      </w:moveTo>
      <w:moveToRangeEnd w:id="6"/>
    </w:p>
    <w:p w14:paraId="1FD1D1CC" w14:textId="4866075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1" w:author="ZTE" w:date="2020-11-09T14:52:00Z">
        <w:r w:rsidDel="00D14540">
          <w:rPr>
            <w:rFonts w:eastAsiaTheme="minorEastAsia"/>
            <w:i/>
            <w:sz w:val="20"/>
            <w:szCs w:val="20"/>
          </w:rPr>
          <w:delText>1</w:delText>
        </w:r>
      </w:del>
      <w:ins w:id="12" w:author="ZTE" w:date="2020-11-09T14:52:00Z">
        <w:r w:rsidR="00D14540">
          <w:rPr>
            <w:rFonts w:eastAsiaTheme="minorEastAsia"/>
            <w:i/>
            <w:sz w:val="20"/>
            <w:szCs w:val="20"/>
          </w:rPr>
          <w:t>2</w:t>
        </w:r>
      </w:ins>
      <w:r>
        <w:rPr>
          <w:rFonts w:eastAsiaTheme="minorEastAsia"/>
          <w:i/>
          <w:sz w:val="20"/>
          <w:szCs w:val="20"/>
        </w:rPr>
        <w:t xml:space="preserve">: Support </w:t>
      </w:r>
      <w:r>
        <w:rPr>
          <w:rFonts w:eastAsia="Malgun Gothic"/>
          <w:i/>
          <w:sz w:val="20"/>
          <w:szCs w:val="20"/>
          <w:lang w:eastAsia="ko-KR"/>
        </w:rPr>
        <w:t>repetition with TD-OCC</w:t>
      </w:r>
      <w:ins w:id="13" w:author="ZTE" w:date="2020-11-09T14:52:00Z">
        <w:r w:rsidR="00D97826">
          <w:rPr>
            <w:rFonts w:eastAsia="Malgun Gothic"/>
            <w:i/>
            <w:sz w:val="20"/>
            <w:szCs w:val="20"/>
            <w:lang w:eastAsia="ko-KR"/>
          </w:rPr>
          <w:t xml:space="preserve"> in the case of Scheme 2-0 or 2-1</w:t>
        </w:r>
      </w:ins>
    </w:p>
    <w:p w14:paraId="4F6A331C" w14:textId="28ABEB16"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Scheme 2-</w:t>
      </w:r>
      <w:del w:id="14" w:author="ZTE" w:date="2020-11-09T14:52:00Z">
        <w:r w:rsidDel="00D14540">
          <w:rPr>
            <w:rFonts w:eastAsiaTheme="minorEastAsia"/>
            <w:i/>
            <w:sz w:val="20"/>
            <w:szCs w:val="20"/>
          </w:rPr>
          <w:delText>2</w:delText>
        </w:r>
      </w:del>
      <w:ins w:id="15" w:author="ZTE" w:date="2020-11-09T14:52:00Z">
        <w:r w:rsidR="00D14540">
          <w:rPr>
            <w:rFonts w:eastAsiaTheme="minorEastAsia"/>
            <w:i/>
            <w:sz w:val="20"/>
            <w:szCs w:val="20"/>
          </w:rPr>
          <w:t>3</w:t>
        </w:r>
      </w:ins>
      <w:r>
        <w:rPr>
          <w:rFonts w:eastAsiaTheme="minorEastAsia"/>
          <w:i/>
          <w:sz w:val="20"/>
          <w:szCs w:val="20"/>
        </w:rPr>
        <w:t>: Support repetition with CS hopping</w:t>
      </w:r>
      <w:ins w:id="16" w:author="ZTE" w:date="2020-11-09T14:52:00Z">
        <w:r w:rsidR="00D97826">
          <w:rPr>
            <w:rFonts w:eastAsiaTheme="minorEastAsia"/>
            <w:i/>
            <w:sz w:val="20"/>
            <w:szCs w:val="20"/>
          </w:rPr>
          <w:t xml:space="preserve"> in the case of Scheme 2-0 or 2-1</w:t>
        </w:r>
      </w:ins>
    </w:p>
    <w:p w14:paraId="38379542" w14:textId="0B873D92" w:rsidR="007F1B01" w:rsidRDefault="008F0B14">
      <w:pPr>
        <w:pStyle w:val="aff2"/>
        <w:widowControl w:val="0"/>
        <w:numPr>
          <w:ilvl w:val="0"/>
          <w:numId w:val="7"/>
        </w:numPr>
        <w:snapToGrid w:val="0"/>
        <w:spacing w:before="120" w:after="120" w:line="240" w:lineRule="auto"/>
        <w:jc w:val="both"/>
        <w:rPr>
          <w:rFonts w:eastAsiaTheme="minorEastAsia"/>
          <w:sz w:val="20"/>
          <w:szCs w:val="20"/>
        </w:rPr>
      </w:pPr>
      <w:moveFromRangeStart w:id="17" w:author="ZTE" w:date="2020-11-09T14:51:00Z" w:name="move55825935"/>
      <w:moveFrom w:id="18" w:author="ZTE" w:date="2020-11-09T14:51:00Z">
        <w:r w:rsidDel="00D14540">
          <w:rPr>
            <w:rFonts w:eastAsiaTheme="minorEastAsia"/>
            <w:i/>
            <w:sz w:val="20"/>
            <w:szCs w:val="20"/>
          </w:rPr>
          <w:t xml:space="preserve">Scheme 2-3: Support inter-slot repetition </w:t>
        </w:r>
        <w:r w:rsidDel="00D14540">
          <w:rPr>
            <w:rFonts w:eastAsiaTheme="minorEastAsia"/>
            <w:i/>
            <w:iCs/>
            <w:sz w:val="20"/>
            <w:szCs w:val="20"/>
          </w:rPr>
          <w:t>on consecutive symbols or non-consecutive symbols across slots</w:t>
        </w:r>
      </w:moveFrom>
      <w:moveFromRangeEnd w:id="17"/>
    </w:p>
    <w:p w14:paraId="4765E7E2" w14:textId="77777777" w:rsidR="007F1B01" w:rsidRDefault="007F1B01">
      <w:pPr>
        <w:widowControl w:val="0"/>
        <w:snapToGrid w:val="0"/>
        <w:spacing w:before="120" w:after="120" w:line="240" w:lineRule="auto"/>
        <w:jc w:val="both"/>
        <w:rPr>
          <w:rFonts w:eastAsiaTheme="minorEastAsia"/>
          <w:sz w:val="20"/>
          <w:szCs w:val="20"/>
        </w:rPr>
      </w:pPr>
    </w:p>
    <w:p w14:paraId="2B7D99F3" w14:textId="77777777" w:rsidR="007F1B01" w:rsidRDefault="008F0B14">
      <w:pPr>
        <w:widowControl w:val="0"/>
        <w:snapToGrid w:val="0"/>
        <w:spacing w:before="120" w:after="120" w:line="240" w:lineRule="auto"/>
        <w:jc w:val="both"/>
        <w:rPr>
          <w:rFonts w:eastAsiaTheme="minorEastAsia"/>
          <w:i/>
          <w:sz w:val="20"/>
          <w:szCs w:val="20"/>
        </w:rPr>
      </w:pPr>
      <w:r>
        <w:rPr>
          <w:rFonts w:eastAsiaTheme="minorEastAsia"/>
          <w:b/>
          <w:i/>
          <w:sz w:val="20"/>
          <w:szCs w:val="20"/>
          <w:highlight w:val="yellow"/>
        </w:rPr>
        <w:t>FL Proposal 6B:</w:t>
      </w:r>
      <w:r>
        <w:rPr>
          <w:rFonts w:eastAsiaTheme="minorEastAsia"/>
          <w:i/>
          <w:sz w:val="20"/>
          <w:szCs w:val="20"/>
        </w:rPr>
        <w:t xml:space="preserve"> Candidate schemes for Class 3 (Partial frequency sounding):</w:t>
      </w:r>
    </w:p>
    <w:p w14:paraId="0C87D8BF"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3-1: Support RB-level partial frequency sounding</w:t>
      </w:r>
    </w:p>
    <w:p w14:paraId="5292C637"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3-2: Support subcarrier-level partial frequency sounding</w:t>
      </w:r>
    </w:p>
    <w:p w14:paraId="63CB19F9"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3-3: Support subband-level partial frequency sounding</w:t>
      </w:r>
    </w:p>
    <w:p w14:paraId="01B0582D" w14:textId="4530D134"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3-4: Support partial-frequency sounding schemes assisted with CSI-RS</w:t>
      </w:r>
      <w:ins w:id="19" w:author="ZTE" w:date="2020-11-09T14:51:00Z">
        <w:r w:rsidR="003153F9">
          <w:rPr>
            <w:rFonts w:eastAsiaTheme="minorEastAsia"/>
            <w:i/>
            <w:sz w:val="20"/>
            <w:szCs w:val="20"/>
          </w:rPr>
          <w:t xml:space="preserve"> </w:t>
        </w:r>
        <w:r w:rsidR="003153F9">
          <w:rPr>
            <w:rFonts w:eastAsiaTheme="minorEastAsia"/>
            <w:i/>
            <w:color w:val="FF0000"/>
            <w:sz w:val="20"/>
            <w:szCs w:val="20"/>
          </w:rPr>
          <w:t>in the case of Scheme 3-1</w:t>
        </w:r>
      </w:ins>
    </w:p>
    <w:p w14:paraId="65336D58" w14:textId="55C3F869"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Scheme 3-5: Support dynamic change of SRS bandwidth</w:t>
      </w:r>
      <w:ins w:id="20" w:author="ZTE" w:date="2020-11-09T14:51:00Z">
        <w:r w:rsidR="001B7C57" w:rsidRPr="001B7C57">
          <w:rPr>
            <w:rFonts w:eastAsiaTheme="minorEastAsia"/>
            <w:i/>
            <w:color w:val="FF0000"/>
            <w:sz w:val="20"/>
            <w:szCs w:val="20"/>
          </w:rPr>
          <w:t xml:space="preserve"> </w:t>
        </w:r>
        <w:r w:rsidR="001B7C57">
          <w:rPr>
            <w:rFonts w:eastAsiaTheme="minorEastAsia"/>
            <w:i/>
            <w:color w:val="FF0000"/>
            <w:sz w:val="20"/>
            <w:szCs w:val="20"/>
          </w:rPr>
          <w:t>in the case of</w:t>
        </w:r>
        <w:r w:rsidR="001B7C57">
          <w:rPr>
            <w:rFonts w:eastAsiaTheme="minorEastAsia"/>
            <w:i/>
            <w:sz w:val="20"/>
            <w:szCs w:val="20"/>
          </w:rPr>
          <w:t xml:space="preserve"> </w:t>
        </w:r>
        <w:r w:rsidR="001B7C57">
          <w:rPr>
            <w:rFonts w:eastAsiaTheme="minorEastAsia"/>
            <w:i/>
            <w:color w:val="FF0000"/>
            <w:sz w:val="20"/>
            <w:szCs w:val="20"/>
          </w:rPr>
          <w:t>Scheme 3-1</w:t>
        </w:r>
      </w:ins>
    </w:p>
    <w:p w14:paraId="00F6AF41"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Note: consider the PAPR issues with above schemes</w:t>
      </w:r>
    </w:p>
    <w:p w14:paraId="12ADF269" w14:textId="77777777" w:rsidR="007F1B01" w:rsidRDefault="007F1B01">
      <w:pPr>
        <w:widowControl w:val="0"/>
        <w:snapToGrid w:val="0"/>
        <w:spacing w:before="120" w:after="120" w:line="240" w:lineRule="auto"/>
        <w:jc w:val="both"/>
        <w:rPr>
          <w:rFonts w:eastAsiaTheme="minorEastAsia"/>
          <w:sz w:val="20"/>
          <w:szCs w:val="20"/>
        </w:rPr>
      </w:pPr>
    </w:p>
    <w:p w14:paraId="3639568D" w14:textId="77777777" w:rsidR="007F1B01" w:rsidRDefault="008F0B14">
      <w:pPr>
        <w:widowControl w:val="0"/>
        <w:snapToGrid w:val="0"/>
        <w:spacing w:before="120" w:after="120" w:line="240" w:lineRule="auto"/>
        <w:jc w:val="both"/>
        <w:rPr>
          <w:rFonts w:eastAsiaTheme="minorEastAsia"/>
          <w:sz w:val="20"/>
          <w:szCs w:val="20"/>
        </w:rPr>
      </w:pPr>
      <w:r>
        <w:rPr>
          <w:rFonts w:eastAsiaTheme="minorEastAsia"/>
          <w:sz w:val="20"/>
          <w:szCs w:val="20"/>
        </w:rPr>
        <w:t>Companies are encouraged to share your further input on the above candidate schemes, esp. on the following aspects.</w:t>
      </w:r>
    </w:p>
    <w:p w14:paraId="50BA2B3D"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Your question for better understanding of one or more particular schemes</w:t>
      </w:r>
    </w:p>
    <w:p w14:paraId="11199463" w14:textId="77777777" w:rsidR="007F1B01" w:rsidRDefault="008F0B14">
      <w:pPr>
        <w:pStyle w:val="aff2"/>
        <w:widowControl w:val="0"/>
        <w:numPr>
          <w:ilvl w:val="1"/>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Further, suggestions to better describe one or more particular schemes to avoid misunderstanding</w:t>
      </w:r>
    </w:p>
    <w:p w14:paraId="1D5E498C"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Use cases/benefits of one or more particular schemes</w:t>
      </w:r>
    </w:p>
    <w:p w14:paraId="45384073" w14:textId="77777777" w:rsidR="007F1B01" w:rsidRDefault="008F0B14">
      <w:pPr>
        <w:pStyle w:val="aff2"/>
        <w:widowControl w:val="0"/>
        <w:numPr>
          <w:ilvl w:val="0"/>
          <w:numId w:val="9"/>
        </w:numPr>
        <w:snapToGrid w:val="0"/>
        <w:spacing w:before="120" w:after="120" w:line="240" w:lineRule="auto"/>
        <w:jc w:val="both"/>
        <w:rPr>
          <w:rFonts w:eastAsiaTheme="minorEastAsia"/>
          <w:sz w:val="20"/>
          <w:szCs w:val="20"/>
          <w:u w:val="single"/>
        </w:rPr>
      </w:pPr>
      <w:r>
        <w:rPr>
          <w:rFonts w:eastAsiaTheme="minorEastAsia"/>
          <w:sz w:val="20"/>
          <w:szCs w:val="20"/>
          <w:u w:val="single"/>
        </w:rPr>
        <w:t>Concerns about one or more particular schemes</w:t>
      </w:r>
    </w:p>
    <w:p w14:paraId="1A0D4549" w14:textId="77777777" w:rsidR="007F1B01" w:rsidRDefault="007F1B01">
      <w:pPr>
        <w:widowControl w:val="0"/>
        <w:snapToGrid w:val="0"/>
        <w:spacing w:before="120" w:after="120" w:line="240" w:lineRule="auto"/>
        <w:jc w:val="both"/>
        <w:rPr>
          <w:rFonts w:eastAsiaTheme="minorEastAsia"/>
          <w:sz w:val="20"/>
          <w:szCs w:val="20"/>
        </w:rPr>
      </w:pPr>
    </w:p>
    <w:p w14:paraId="0A27BC44" w14:textId="77777777" w:rsidR="007F1B01" w:rsidRDefault="008F0B1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f4"/>
        <w:tblW w:w="9350" w:type="dxa"/>
        <w:tblLook w:val="04A0" w:firstRow="1" w:lastRow="0" w:firstColumn="1" w:lastColumn="0" w:noHBand="0" w:noVBand="1"/>
      </w:tblPr>
      <w:tblGrid>
        <w:gridCol w:w="2403"/>
        <w:gridCol w:w="6947"/>
      </w:tblGrid>
      <w:tr w:rsidR="007F1B01" w14:paraId="7072603F" w14:textId="77777777" w:rsidTr="00864749">
        <w:tc>
          <w:tcPr>
            <w:tcW w:w="2403" w:type="dxa"/>
            <w:shd w:val="clear" w:color="auto" w:fill="E2EFD9" w:themeFill="accent6" w:themeFillTint="33"/>
          </w:tcPr>
          <w:p w14:paraId="316E3FC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Companies</w:t>
            </w:r>
          </w:p>
        </w:tc>
        <w:tc>
          <w:tcPr>
            <w:tcW w:w="6947" w:type="dxa"/>
            <w:shd w:val="clear" w:color="auto" w:fill="E2EFD9" w:themeFill="accent6" w:themeFillTint="33"/>
          </w:tcPr>
          <w:p w14:paraId="6D910B7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Views</w:t>
            </w:r>
          </w:p>
        </w:tc>
      </w:tr>
      <w:tr w:rsidR="007F1B01" w14:paraId="1CB32874" w14:textId="77777777" w:rsidTr="00864749">
        <w:tc>
          <w:tcPr>
            <w:tcW w:w="2403" w:type="dxa"/>
            <w:shd w:val="clear" w:color="auto" w:fill="auto"/>
          </w:tcPr>
          <w:p w14:paraId="6EE346BF"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7" w:type="dxa"/>
            <w:shd w:val="clear" w:color="auto" w:fill="auto"/>
          </w:tcPr>
          <w:p w14:paraId="201E02F4"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2-1: TD-OCC, is it for intra-slot? What’s the mapping of TD-OCC, is that fixed in frequency domain? How to handle the collision with other channels, such as PUCCH?</w:t>
            </w:r>
          </w:p>
          <w:p w14:paraId="3A63FDF8" w14:textId="77777777" w:rsidR="007F1B01" w:rsidRDefault="008F0B14">
            <w:pPr>
              <w:widowControl w:val="0"/>
              <w:snapToGrid w:val="0"/>
              <w:spacing w:before="120" w:after="120" w:line="240" w:lineRule="auto"/>
              <w:ind w:left="100" w:hanging="100"/>
              <w:rPr>
                <w:rFonts w:eastAsia="微软雅黑"/>
                <w:sz w:val="20"/>
                <w:szCs w:val="20"/>
              </w:rPr>
            </w:pPr>
            <w:r>
              <w:rPr>
                <w:rFonts w:eastAsia="微软雅黑"/>
                <w:sz w:val="20"/>
                <w:szCs w:val="20"/>
              </w:rPr>
              <w:t xml:space="preserve">Questions for Scheme 3-2: how can </w:t>
            </w:r>
            <w:r>
              <w:rPr>
                <w:rFonts w:eastAsiaTheme="minorEastAsia"/>
                <w:sz w:val="20"/>
                <w:szCs w:val="20"/>
              </w:rPr>
              <w:t>subcarrier-level partial frequency sounding</w:t>
            </w:r>
            <w:r>
              <w:rPr>
                <w:rFonts w:eastAsia="微软雅黑"/>
                <w:sz w:val="20"/>
                <w:szCs w:val="20"/>
              </w:rPr>
              <w:t xml:space="preserve"> increase SRS capacity, since larger comb will reduce the orthogonality for cyclic shift?</w:t>
            </w:r>
          </w:p>
          <w:p w14:paraId="2912D6D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3-4: Is that further details after partial sounding is supported?</w:t>
            </w:r>
          </w:p>
          <w:p w14:paraId="52C864A5"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Questions for Scheme 3-5: how can dynamic change the SRS band, introduce new DCI to indicate?</w:t>
            </w:r>
          </w:p>
          <w:p w14:paraId="6CCA01C7" w14:textId="77777777" w:rsidR="007F1B01" w:rsidRDefault="007F1B01">
            <w:pPr>
              <w:widowControl w:val="0"/>
              <w:snapToGrid w:val="0"/>
              <w:spacing w:before="120" w:after="120" w:line="240" w:lineRule="auto"/>
              <w:rPr>
                <w:rFonts w:eastAsia="微软雅黑"/>
                <w:sz w:val="20"/>
                <w:szCs w:val="20"/>
              </w:rPr>
            </w:pPr>
          </w:p>
        </w:tc>
      </w:tr>
      <w:tr w:rsidR="007F1B01" w14:paraId="34B657EA" w14:textId="77777777" w:rsidTr="00864749">
        <w:tc>
          <w:tcPr>
            <w:tcW w:w="2403" w:type="dxa"/>
            <w:shd w:val="clear" w:color="auto" w:fill="auto"/>
          </w:tcPr>
          <w:p w14:paraId="2023B90B"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7" w:type="dxa"/>
            <w:shd w:val="clear" w:color="auto" w:fill="auto"/>
          </w:tcPr>
          <w:p w14:paraId="157E98BD"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Ok to list candidates for further discussion</w:t>
            </w:r>
          </w:p>
        </w:tc>
      </w:tr>
      <w:tr w:rsidR="007F1B01" w14:paraId="024D6F40" w14:textId="77777777" w:rsidTr="00864749">
        <w:tc>
          <w:tcPr>
            <w:tcW w:w="2403" w:type="dxa"/>
            <w:shd w:val="clear" w:color="auto" w:fill="auto"/>
          </w:tcPr>
          <w:p w14:paraId="525769E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ZTE</w:t>
            </w:r>
          </w:p>
        </w:tc>
        <w:tc>
          <w:tcPr>
            <w:tcW w:w="6947" w:type="dxa"/>
            <w:shd w:val="clear" w:color="auto" w:fill="auto"/>
          </w:tcPr>
          <w:p w14:paraId="7E8677BD"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Some reply on TD-OCC questions from HW:</w:t>
            </w:r>
          </w:p>
          <w:p w14:paraId="07AC900A"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TD-OCC is performed for repetition symbols within one slot, then it is intra-slot.</w:t>
            </w:r>
          </w:p>
          <w:p w14:paraId="021E8536"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We think OCC sequence can be configured per UE, or per SRS resource. A same OCC sequence can be used in the whole frequency domain, like TD-OCC for DM-RS.</w:t>
            </w:r>
          </w:p>
          <w:p w14:paraId="67E91738"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If there is collision between the SRS with TD-OCC and other UL channel/signal, we can just drop the whole SRS resource if it is lower priority. The partially transmitted SRS resource is anyway not very helpful in gNB side. Alternatively, we can keep the non-overlapping symbols for one of multiplexing UEs to avoid resource waste. Anyway, this is just next step detail, we are open to further discuss it. </w:t>
            </w:r>
          </w:p>
          <w:p w14:paraId="742CBECC" w14:textId="77777777" w:rsidR="007F1B01" w:rsidRDefault="007F1B01">
            <w:pPr>
              <w:widowControl w:val="0"/>
              <w:snapToGrid w:val="0"/>
              <w:spacing w:before="120" w:after="120" w:line="240" w:lineRule="auto"/>
              <w:rPr>
                <w:rFonts w:eastAsia="微软雅黑"/>
                <w:sz w:val="20"/>
                <w:szCs w:val="20"/>
              </w:rPr>
            </w:pPr>
          </w:p>
          <w:p w14:paraId="73A087D3" w14:textId="77777777" w:rsidR="007F1B01" w:rsidRDefault="008F0B14">
            <w:pPr>
              <w:widowControl w:val="0"/>
              <w:snapToGrid w:val="0"/>
              <w:spacing w:before="120" w:after="120" w:line="240" w:lineRule="auto"/>
              <w:rPr>
                <w:rFonts w:eastAsia="微软雅黑"/>
                <w:sz w:val="20"/>
                <w:szCs w:val="20"/>
                <w:u w:val="single"/>
              </w:rPr>
            </w:pPr>
            <w:r>
              <w:rPr>
                <w:rFonts w:eastAsia="微软雅黑"/>
                <w:sz w:val="20"/>
                <w:szCs w:val="20"/>
                <w:u w:val="single"/>
              </w:rPr>
              <w:t>Our questions and further suggestions:</w:t>
            </w:r>
          </w:p>
          <w:p w14:paraId="7087A342"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scheme 2-0 in Class 2, is this for one SRS resource ? if yes, we prefer to make the proposal clearer:</w:t>
            </w:r>
          </w:p>
          <w:p w14:paraId="1E8F13B0" w14:textId="77777777" w:rsidR="007F1B01" w:rsidRDefault="008F0B14">
            <w:pPr>
              <w:pStyle w:val="aff2"/>
              <w:widowControl w:val="0"/>
              <w:numPr>
                <w:ilvl w:val="0"/>
                <w:numId w:val="7"/>
              </w:numPr>
              <w:snapToGrid w:val="0"/>
              <w:spacing w:before="120" w:after="120" w:line="240" w:lineRule="auto"/>
              <w:jc w:val="both"/>
              <w:rPr>
                <w:rFonts w:eastAsiaTheme="minorEastAsia"/>
                <w:i/>
                <w:sz w:val="20"/>
                <w:szCs w:val="20"/>
              </w:rPr>
            </w:pPr>
            <w:r>
              <w:rPr>
                <w:rFonts w:eastAsiaTheme="minorEastAsia"/>
                <w:i/>
                <w:sz w:val="20"/>
                <w:szCs w:val="20"/>
              </w:rPr>
              <w:t xml:space="preserve">Scheme 2-0: Increase the number of repetition symbols </w:t>
            </w:r>
            <w:r>
              <w:rPr>
                <w:rFonts w:eastAsiaTheme="minorEastAsia"/>
                <w:i/>
                <w:color w:val="FF0000"/>
                <w:sz w:val="20"/>
                <w:szCs w:val="20"/>
              </w:rPr>
              <w:t>for one SRS resource</w:t>
            </w:r>
            <w:r>
              <w:rPr>
                <w:rFonts w:eastAsiaTheme="minorEastAsia"/>
                <w:i/>
                <w:sz w:val="20"/>
                <w:szCs w:val="20"/>
              </w:rPr>
              <w:t xml:space="preserve"> in one slot</w:t>
            </w:r>
          </w:p>
          <w:p w14:paraId="71F31263"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 xml:space="preserve">For Schemes in Class 3, the last two schemes seems not be in the same dimension as the first three. Hence </w:t>
            </w:r>
            <w:r>
              <w:rPr>
                <w:rFonts w:eastAsia="微软雅黑"/>
                <w:sz w:val="20"/>
                <w:szCs w:val="20"/>
                <w:u w:val="single"/>
              </w:rPr>
              <w:t>we would like to ask the proponents on whether only some of the combinations between {3-1, 3-2, 3-3} and {3-4, 3-5} make sense.</w:t>
            </w:r>
          </w:p>
          <w:p w14:paraId="15155CCC" w14:textId="77777777" w:rsidR="007F1B01" w:rsidRDefault="008F0B14">
            <w:pPr>
              <w:widowControl w:val="0"/>
              <w:snapToGrid w:val="0"/>
              <w:spacing w:before="120" w:after="120" w:line="240" w:lineRule="auto"/>
              <w:rPr>
                <w:rFonts w:eastAsia="微软雅黑"/>
                <w:sz w:val="20"/>
                <w:szCs w:val="20"/>
              </w:rPr>
            </w:pPr>
            <w:r>
              <w:rPr>
                <w:rFonts w:eastAsia="微软雅黑"/>
                <w:sz w:val="20"/>
                <w:szCs w:val="20"/>
              </w:rPr>
              <w:t>For example, it seems not relevant between subcarrier-level partial sounding and 3-4 or 3-5. So we suggest to refine the last two schemes as follows.</w:t>
            </w:r>
          </w:p>
          <w:p w14:paraId="6F95C943" w14:textId="77777777" w:rsidR="007F1B01" w:rsidRDefault="008F0B14">
            <w:pPr>
              <w:pStyle w:val="aff2"/>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 xml:space="preserve">Scheme 3-4: Support partial-frequency sounding schemes assisted with CSI-RS </w:t>
            </w:r>
            <w:r>
              <w:rPr>
                <w:rFonts w:eastAsiaTheme="minorEastAsia"/>
                <w:i/>
                <w:color w:val="FF0000"/>
                <w:sz w:val="20"/>
                <w:szCs w:val="20"/>
              </w:rPr>
              <w:t>in the case of Scheme 3-1</w:t>
            </w:r>
          </w:p>
          <w:p w14:paraId="6056F04C" w14:textId="77777777" w:rsidR="007F1B01" w:rsidRDefault="008F0B14">
            <w:pPr>
              <w:widowControl w:val="0"/>
              <w:snapToGrid w:val="0"/>
              <w:spacing w:before="120" w:after="120" w:line="240" w:lineRule="auto"/>
              <w:rPr>
                <w:rFonts w:eastAsia="微软雅黑"/>
                <w:sz w:val="20"/>
                <w:szCs w:val="20"/>
              </w:rPr>
            </w:pPr>
            <w:r>
              <w:rPr>
                <w:rFonts w:eastAsiaTheme="minorEastAsia"/>
                <w:i/>
                <w:sz w:val="20"/>
                <w:szCs w:val="20"/>
              </w:rPr>
              <w:t xml:space="preserve">Scheme 3-5: Support dynamic change of SRS bandwidth </w:t>
            </w:r>
            <w:r>
              <w:rPr>
                <w:rFonts w:eastAsiaTheme="minorEastAsia"/>
                <w:i/>
                <w:color w:val="FF0000"/>
                <w:sz w:val="20"/>
                <w:szCs w:val="20"/>
              </w:rPr>
              <w:t>in the case of</w:t>
            </w:r>
            <w:r>
              <w:rPr>
                <w:rFonts w:eastAsiaTheme="minorEastAsia"/>
                <w:i/>
                <w:sz w:val="20"/>
                <w:szCs w:val="20"/>
              </w:rPr>
              <w:t xml:space="preserve"> </w:t>
            </w:r>
            <w:r>
              <w:rPr>
                <w:rFonts w:eastAsiaTheme="minorEastAsia"/>
                <w:i/>
                <w:color w:val="FF0000"/>
                <w:sz w:val="20"/>
                <w:szCs w:val="20"/>
              </w:rPr>
              <w:t>Scheme 3-1</w:t>
            </w:r>
          </w:p>
        </w:tc>
      </w:tr>
      <w:tr w:rsidR="00864749" w14:paraId="4822D2B7" w14:textId="77777777" w:rsidTr="00864749">
        <w:tc>
          <w:tcPr>
            <w:tcW w:w="2403" w:type="dxa"/>
            <w:shd w:val="clear" w:color="auto" w:fill="auto"/>
          </w:tcPr>
          <w:p w14:paraId="6FB1A358" w14:textId="77777777" w:rsidR="00864749" w:rsidRPr="00102400" w:rsidRDefault="00864749" w:rsidP="00864749">
            <w:pPr>
              <w:widowControl w:val="0"/>
              <w:snapToGrid w:val="0"/>
              <w:spacing w:before="120" w:after="120" w:line="240" w:lineRule="auto"/>
              <w:rPr>
                <w:rFonts w:eastAsia="微软雅黑"/>
                <w:sz w:val="20"/>
                <w:szCs w:val="20"/>
              </w:rPr>
            </w:pPr>
            <w:r w:rsidRPr="00102400">
              <w:rPr>
                <w:rFonts w:eastAsia="微软雅黑" w:hint="eastAsia"/>
                <w:sz w:val="20"/>
                <w:szCs w:val="20"/>
              </w:rPr>
              <w:t>X</w:t>
            </w:r>
            <w:r w:rsidRPr="00102400">
              <w:rPr>
                <w:rFonts w:eastAsia="微软雅黑"/>
                <w:sz w:val="20"/>
                <w:szCs w:val="20"/>
              </w:rPr>
              <w:t>iaomi</w:t>
            </w:r>
          </w:p>
        </w:tc>
        <w:tc>
          <w:tcPr>
            <w:tcW w:w="6947" w:type="dxa"/>
            <w:shd w:val="clear" w:color="auto" w:fill="auto"/>
          </w:tcPr>
          <w:p w14:paraId="0CD4508C" w14:textId="375D8932" w:rsidR="00AE53EF" w:rsidRPr="00102400" w:rsidRDefault="00864749" w:rsidP="00864749">
            <w:pPr>
              <w:widowControl w:val="0"/>
              <w:snapToGrid w:val="0"/>
              <w:spacing w:before="120" w:after="120" w:line="240" w:lineRule="auto"/>
              <w:rPr>
                <w:rFonts w:eastAsia="微软雅黑"/>
                <w:sz w:val="20"/>
                <w:szCs w:val="20"/>
              </w:rPr>
            </w:pPr>
            <w:r>
              <w:rPr>
                <w:rFonts w:eastAsia="微软雅黑"/>
                <w:sz w:val="20"/>
                <w:szCs w:val="20"/>
              </w:rPr>
              <w:t xml:space="preserve">Fine with </w:t>
            </w:r>
            <w:r w:rsidRPr="00102400">
              <w:rPr>
                <w:rFonts w:eastAsia="微软雅黑"/>
                <w:sz w:val="20"/>
                <w:szCs w:val="20"/>
              </w:rPr>
              <w:t xml:space="preserve">the </w:t>
            </w:r>
            <w:r>
              <w:rPr>
                <w:rFonts w:eastAsia="微软雅黑"/>
                <w:sz w:val="20"/>
                <w:szCs w:val="20"/>
              </w:rPr>
              <w:t>candidate schemes list for further input in the next meeting</w:t>
            </w:r>
          </w:p>
        </w:tc>
      </w:tr>
      <w:tr w:rsidR="00B643EB" w14:paraId="6533D4BB" w14:textId="77777777" w:rsidTr="00864749">
        <w:tc>
          <w:tcPr>
            <w:tcW w:w="2403" w:type="dxa"/>
            <w:shd w:val="clear" w:color="auto" w:fill="auto"/>
          </w:tcPr>
          <w:p w14:paraId="16031004" w14:textId="1CA2B288" w:rsidR="00B643EB" w:rsidRPr="00102400" w:rsidRDefault="00B643EB" w:rsidP="00B643EB">
            <w:pPr>
              <w:widowControl w:val="0"/>
              <w:snapToGrid w:val="0"/>
              <w:spacing w:before="120" w:after="120" w:line="240" w:lineRule="auto"/>
              <w:rPr>
                <w:rFonts w:eastAsia="微软雅黑"/>
                <w:sz w:val="20"/>
                <w:szCs w:val="20"/>
              </w:rPr>
            </w:pPr>
            <w:r>
              <w:rPr>
                <w:rFonts w:eastAsia="微软雅黑"/>
                <w:sz w:val="20"/>
                <w:szCs w:val="20"/>
              </w:rPr>
              <w:t>Nokia/NSB</w:t>
            </w:r>
          </w:p>
        </w:tc>
        <w:tc>
          <w:tcPr>
            <w:tcW w:w="6947" w:type="dxa"/>
            <w:shd w:val="clear" w:color="auto" w:fill="auto"/>
          </w:tcPr>
          <w:p w14:paraId="0E8A282C" w14:textId="4FADEE71" w:rsidR="00B643EB" w:rsidRDefault="00B643EB" w:rsidP="00B643EB">
            <w:pPr>
              <w:widowControl w:val="0"/>
              <w:snapToGrid w:val="0"/>
              <w:spacing w:before="120" w:after="120" w:line="240" w:lineRule="auto"/>
              <w:rPr>
                <w:rFonts w:eastAsia="微软雅黑"/>
                <w:sz w:val="20"/>
                <w:szCs w:val="20"/>
              </w:rPr>
            </w:pPr>
            <w:r>
              <w:rPr>
                <w:rFonts w:eastAsia="微软雅黑"/>
                <w:sz w:val="20"/>
                <w:szCs w:val="20"/>
              </w:rPr>
              <w:t>We are generally O.K. with FL proposal. But schemes in class 2 are not exclusive to each other. For class 2, we prefer to decide whether intra- or inter- slot repetition would be supported first.</w:t>
            </w:r>
          </w:p>
        </w:tc>
      </w:tr>
    </w:tbl>
    <w:p w14:paraId="7AFA97BC" w14:textId="77777777" w:rsidR="007F1B01" w:rsidRDefault="007F1B01">
      <w:pPr>
        <w:widowControl w:val="0"/>
        <w:snapToGrid w:val="0"/>
        <w:spacing w:before="120" w:after="120" w:line="240" w:lineRule="auto"/>
        <w:jc w:val="both"/>
        <w:rPr>
          <w:rFonts w:eastAsia="Malgun Gothic"/>
          <w:sz w:val="20"/>
          <w:szCs w:val="20"/>
          <w:lang w:eastAsia="ko-KR"/>
        </w:rPr>
      </w:pPr>
    </w:p>
    <w:p w14:paraId="7A9BFEA8"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D855A82" w14:textId="77777777" w:rsidR="007F1B01" w:rsidRDefault="007F1B01">
      <w:pPr>
        <w:widowControl w:val="0"/>
        <w:snapToGrid w:val="0"/>
        <w:spacing w:before="120" w:after="120" w:line="240" w:lineRule="auto"/>
        <w:jc w:val="both"/>
        <w:rPr>
          <w:rFonts w:eastAsia="微软雅黑"/>
          <w:sz w:val="20"/>
          <w:szCs w:val="20"/>
        </w:rPr>
      </w:pPr>
    </w:p>
    <w:p w14:paraId="1A438426" w14:textId="77777777" w:rsidR="00324426" w:rsidRPr="00E876A9" w:rsidRDefault="00324426">
      <w:pPr>
        <w:widowControl w:val="0"/>
        <w:snapToGrid w:val="0"/>
        <w:spacing w:before="120" w:after="120" w:line="240" w:lineRule="auto"/>
        <w:jc w:val="both"/>
        <w:rPr>
          <w:rFonts w:eastAsia="微软雅黑" w:hint="eastAsia"/>
          <w:sz w:val="20"/>
          <w:szCs w:val="20"/>
        </w:rPr>
      </w:pPr>
      <w:bookmarkStart w:id="21" w:name="_GoBack"/>
      <w:bookmarkEnd w:id="21"/>
    </w:p>
    <w:p w14:paraId="38B1B2F0"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Appendix</w:t>
      </w:r>
    </w:p>
    <w:p w14:paraId="142A62C1" w14:textId="77777777" w:rsidR="007F1B01" w:rsidRDefault="008F0B14">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tbl>
      <w:tblPr>
        <w:tblStyle w:val="aff4"/>
        <w:tblW w:w="9350" w:type="dxa"/>
        <w:tblLook w:val="04A0" w:firstRow="1" w:lastRow="0" w:firstColumn="1" w:lastColumn="0" w:noHBand="0" w:noVBand="1"/>
      </w:tblPr>
      <w:tblGrid>
        <w:gridCol w:w="9350"/>
      </w:tblGrid>
      <w:tr w:rsidR="007F1B01" w14:paraId="497B07F2" w14:textId="77777777">
        <w:tc>
          <w:tcPr>
            <w:tcW w:w="9350" w:type="dxa"/>
            <w:shd w:val="clear" w:color="auto" w:fill="auto"/>
          </w:tcPr>
          <w:p w14:paraId="391B371E" w14:textId="77777777" w:rsidR="007F1B01" w:rsidRDefault="008F0B14">
            <w:pPr>
              <w:spacing w:after="0" w:line="240" w:lineRule="auto"/>
              <w:rPr>
                <w:b/>
                <w:bCs/>
                <w:sz w:val="20"/>
                <w:szCs w:val="20"/>
                <w:u w:val="single"/>
              </w:rPr>
            </w:pPr>
            <w:r>
              <w:rPr>
                <w:b/>
                <w:bCs/>
                <w:sz w:val="20"/>
                <w:szCs w:val="20"/>
                <w:u w:val="single"/>
              </w:rPr>
              <w:t>RAN1#102e</w:t>
            </w:r>
          </w:p>
          <w:p w14:paraId="641E4BCB" w14:textId="77777777" w:rsidR="007F1B01" w:rsidRDefault="008F0B14">
            <w:pPr>
              <w:snapToGrid w:val="0"/>
              <w:spacing w:after="0" w:line="240" w:lineRule="auto"/>
              <w:rPr>
                <w:rFonts w:ascii="Times" w:hAnsi="Times"/>
                <w:b/>
                <w:bCs/>
                <w:sz w:val="20"/>
                <w:szCs w:val="20"/>
              </w:rPr>
            </w:pPr>
            <w:r>
              <w:rPr>
                <w:b/>
                <w:bCs/>
                <w:sz w:val="20"/>
                <w:szCs w:val="20"/>
              </w:rPr>
              <w:t>Agreement</w:t>
            </w:r>
          </w:p>
          <w:p w14:paraId="794E990A" w14:textId="77777777" w:rsidR="007F1B01" w:rsidRDefault="008F0B14">
            <w:pPr>
              <w:widowControl w:val="0"/>
              <w:snapToGrid w:val="0"/>
              <w:spacing w:after="0" w:line="240" w:lineRule="auto"/>
              <w:jc w:val="both"/>
              <w:rPr>
                <w:rFonts w:eastAsia="微软雅黑"/>
                <w:sz w:val="20"/>
                <w:szCs w:val="20"/>
                <w:lang w:eastAsia="en-US"/>
              </w:rPr>
            </w:pPr>
            <w:r>
              <w:rPr>
                <w:rFonts w:eastAsia="微软雅黑"/>
                <w:sz w:val="20"/>
                <w:szCs w:val="20"/>
              </w:rPr>
              <w:t>Enhance the determination of aperiodic SRS triggering offset, with at least one of the following alternatives</w:t>
            </w:r>
          </w:p>
          <w:p w14:paraId="5751FCD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Alt 1: Delay the SRS transmission to an available slot later than the triggering offset defined in current </w:t>
            </w:r>
            <w:r>
              <w:rPr>
                <w:rFonts w:eastAsia="微软雅黑"/>
                <w:sz w:val="20"/>
                <w:szCs w:val="20"/>
              </w:rPr>
              <w:lastRenderedPageBreak/>
              <w:t>specification, including possible re-definition of the triggering offset</w:t>
            </w:r>
          </w:p>
          <w:p w14:paraId="7F5E50D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Indicate triggering offset in DCI explicitly or implicitly</w:t>
            </w:r>
          </w:p>
          <w:p w14:paraId="605169C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3: Update triggering offset in MAC CE</w:t>
            </w:r>
          </w:p>
          <w:p w14:paraId="2E52FCF0"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40BE4546"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5E747036"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Study the following two alternatives in the scope to enhance at least one DCI format for aperiodic SRS triggering </w:t>
            </w:r>
          </w:p>
          <w:p w14:paraId="3401A308"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1: Use UE-specific DCI, e.g., extending DCI 0_1 without uplink data and without CSI</w:t>
            </w:r>
          </w:p>
          <w:p w14:paraId="3DD83476"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Alt 2: Use group-common DCI, e.g., extending DCI 2_3 for cases other than carrier switching</w:t>
            </w:r>
          </w:p>
          <w:p w14:paraId="2A616271"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Further consideration aspects may include simultaneous or CC-specific SRS triggering for multiple CCs, dynamic indication of SRS frequency resources, etc..</w:t>
            </w:r>
          </w:p>
          <w:p w14:paraId="750A5F2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29F0DCF8"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overhead reduction, study reusing same resources among multiple usages, at least for “codebook” and “antenna switching”. Study aspects include</w:t>
            </w:r>
          </w:p>
          <w:p w14:paraId="1859D75C"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Whether implementation approach based on legacy SRS configuration is sufficient</w:t>
            </w:r>
          </w:p>
          <w:p w14:paraId="49A79F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3EAEB664"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4F97E0C3"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For SRS antenna switching up to 8Rx, study the configuration of {1T6R, 1T8R, 2T6R, 2T8R, 4T6R, 4T8R}.</w:t>
            </w:r>
          </w:p>
          <w:p w14:paraId="109668CB"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Study points may include CSI latency, performance considering aspects like insertion loss, use cases, antenna structure, UE power saving, SRS resource configuration, etc..</w:t>
            </w:r>
          </w:p>
          <w:p w14:paraId="753EDFF3" w14:textId="77777777" w:rsidR="007F1B01" w:rsidRDefault="008F0B14">
            <w:pPr>
              <w:snapToGrid w:val="0"/>
              <w:spacing w:after="0" w:line="240" w:lineRule="auto"/>
              <w:rPr>
                <w:rFonts w:cs="Times"/>
                <w:b/>
                <w:bCs/>
                <w:sz w:val="20"/>
                <w:szCs w:val="20"/>
                <w:lang w:eastAsia="ko-KR"/>
              </w:rPr>
            </w:pPr>
            <w:r>
              <w:rPr>
                <w:rFonts w:cs="Times"/>
                <w:b/>
                <w:bCs/>
                <w:sz w:val="20"/>
                <w:szCs w:val="20"/>
              </w:rPr>
              <w:t>Agreement</w:t>
            </w:r>
          </w:p>
          <w:p w14:paraId="082273ED" w14:textId="77777777" w:rsidR="007F1B01" w:rsidRDefault="008F0B14">
            <w:pPr>
              <w:widowControl w:val="0"/>
              <w:snapToGrid w:val="0"/>
              <w:spacing w:after="0" w:line="240" w:lineRule="auto"/>
              <w:jc w:val="both"/>
              <w:rPr>
                <w:rFonts w:eastAsia="微软雅黑"/>
                <w:sz w:val="20"/>
                <w:szCs w:val="20"/>
                <w:lang w:val="en-GB" w:eastAsia="en-US"/>
              </w:rPr>
            </w:pPr>
            <w:r>
              <w:rPr>
                <w:rFonts w:eastAsia="微软雅黑"/>
                <w:sz w:val="20"/>
                <w:szCs w:val="20"/>
              </w:rPr>
              <w:t xml:space="preserve">For SRS coverage/capacity enhancements, evaluate and, if needed, specify one or more from three categories based on the following definition. </w:t>
            </w:r>
          </w:p>
          <w:p w14:paraId="2CC60E4F"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1 (Time bundling): Utilize relationship among two or more occasions of one or more SRS resources in one or more slots to enable joint processing within time domain.</w:t>
            </w:r>
          </w:p>
          <w:p w14:paraId="451FC3EA"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the issue of phase discontinuity, interruption of SRS transmission by other UL signals, etc..</w:t>
            </w:r>
          </w:p>
          <w:p w14:paraId="6EABD254"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 xml:space="preserve">Class 2 (Increase repetition): Change the legacy SRS pattern in one resource and one occasion from time domain by increasing SRS symbols for repetition. </w:t>
            </w:r>
          </w:p>
          <w:p w14:paraId="50B0D70D" w14:textId="77777777" w:rsidR="007F1B01" w:rsidRDefault="008F0B14">
            <w:pPr>
              <w:pStyle w:val="aff2"/>
              <w:widowControl w:val="0"/>
              <w:numPr>
                <w:ilvl w:val="2"/>
                <w:numId w:val="10"/>
              </w:numPr>
              <w:snapToGrid w:val="0"/>
              <w:spacing w:after="0" w:line="240" w:lineRule="auto"/>
              <w:jc w:val="both"/>
              <w:rPr>
                <w:rFonts w:eastAsia="微软雅黑"/>
                <w:sz w:val="20"/>
                <w:szCs w:val="20"/>
              </w:rPr>
            </w:pPr>
            <w:r>
              <w:rPr>
                <w:rFonts w:eastAsia="微软雅黑"/>
                <w:sz w:val="20"/>
                <w:szCs w:val="20"/>
              </w:rPr>
              <w:t>Study aspects include to use TD-OCC to compensate the negative impact on SRS capacity, inter-cell interference randomization, whether these SRS symbols are in one slot or consecutive slots, etc..</w:t>
            </w:r>
          </w:p>
          <w:p w14:paraId="2B36F55A" w14:textId="77777777" w:rsidR="007F1B01" w:rsidRDefault="008F0B14">
            <w:pPr>
              <w:pStyle w:val="aff2"/>
              <w:widowControl w:val="0"/>
              <w:numPr>
                <w:ilvl w:val="1"/>
                <w:numId w:val="10"/>
              </w:numPr>
              <w:snapToGrid w:val="0"/>
              <w:spacing w:after="0" w:line="240" w:lineRule="auto"/>
              <w:jc w:val="both"/>
              <w:rPr>
                <w:rFonts w:eastAsia="微软雅黑"/>
                <w:sz w:val="20"/>
                <w:szCs w:val="20"/>
              </w:rPr>
            </w:pPr>
            <w:r>
              <w:rPr>
                <w:rFonts w:eastAsia="微软雅黑"/>
                <w:sz w:val="20"/>
                <w:szCs w:val="20"/>
              </w:rPr>
              <w:t>Class 3 (Partial frequency sounding): Support more flexibility on SRS frequency resources to allow SRS transmission on partial frequency resources within the legacy SRS frequency resources.</w:t>
            </w:r>
          </w:p>
          <w:p w14:paraId="766F392F" w14:textId="77777777" w:rsidR="007F1B01" w:rsidRDefault="008F0B14">
            <w:pPr>
              <w:pStyle w:val="aff2"/>
              <w:widowControl w:val="0"/>
              <w:numPr>
                <w:ilvl w:val="2"/>
                <w:numId w:val="10"/>
              </w:numPr>
              <w:snapToGrid w:val="0"/>
              <w:spacing w:after="0" w:line="240" w:lineRule="auto"/>
              <w:jc w:val="both"/>
              <w:rPr>
                <w:rFonts w:eastAsia="微软雅黑"/>
                <w:i/>
                <w:sz w:val="20"/>
                <w:szCs w:val="20"/>
              </w:rPr>
            </w:pPr>
            <w:r>
              <w:rPr>
                <w:rFonts w:eastAsia="微软雅黑"/>
                <w:sz w:val="20"/>
                <w:szCs w:val="20"/>
              </w:rPr>
              <w:t>Study aspects include the partial frequency resources are with RB level or subcarrier level (e.g., larger comb, partial bandwidth), PAPR issue, etc..</w:t>
            </w:r>
          </w:p>
          <w:p w14:paraId="23F1C8D2" w14:textId="77777777" w:rsidR="007F1B01" w:rsidRDefault="007F1B01">
            <w:pPr>
              <w:widowControl w:val="0"/>
              <w:snapToGrid w:val="0"/>
              <w:spacing w:after="0" w:line="240" w:lineRule="auto"/>
              <w:jc w:val="both"/>
              <w:rPr>
                <w:rFonts w:eastAsia="微软雅黑"/>
                <w:i/>
                <w:sz w:val="20"/>
                <w:szCs w:val="20"/>
              </w:rPr>
            </w:pPr>
          </w:p>
          <w:p w14:paraId="0DB1E6CD" w14:textId="77777777" w:rsidR="007F1B01" w:rsidRDefault="008F0B14">
            <w:pPr>
              <w:spacing w:after="0" w:line="240" w:lineRule="auto"/>
              <w:rPr>
                <w:b/>
                <w:bCs/>
                <w:sz w:val="20"/>
                <w:szCs w:val="20"/>
                <w:u w:val="single"/>
              </w:rPr>
            </w:pPr>
            <w:r>
              <w:rPr>
                <w:b/>
                <w:bCs/>
                <w:sz w:val="20"/>
                <w:szCs w:val="20"/>
                <w:u w:val="single"/>
              </w:rPr>
              <w:t>RAN1#103e</w:t>
            </w:r>
          </w:p>
          <w:p w14:paraId="7CEFF706" w14:textId="77777777" w:rsidR="007F1B01" w:rsidRDefault="008F0B14">
            <w:pPr>
              <w:widowControl w:val="0"/>
              <w:snapToGrid w:val="0"/>
              <w:spacing w:after="0" w:line="240" w:lineRule="auto"/>
              <w:jc w:val="both"/>
              <w:rPr>
                <w:rFonts w:eastAsia="微软雅黑"/>
                <w:sz w:val="20"/>
                <w:szCs w:val="20"/>
              </w:rPr>
            </w:pPr>
            <w:r>
              <w:rPr>
                <w:rFonts w:eastAsia="微软雅黑"/>
                <w:b/>
                <w:sz w:val="20"/>
                <w:szCs w:val="20"/>
              </w:rPr>
              <w:t>Agreement</w:t>
            </w:r>
          </w:p>
          <w:p w14:paraId="1CE495FF"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A given aperiodic SRS resource set is transmitted in the (t+1)-th available slot counting from a reference slot, where t is indicated from DCI, or RRC (if only one value of t is configured in RRC), and the candidate values of t at least include 0. Adopt at least one of the following options for the reference slot.</w:t>
            </w:r>
          </w:p>
          <w:p w14:paraId="085B1202"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1: Reference slot is the slot with the triggering DCI.</w:t>
            </w:r>
          </w:p>
          <w:p w14:paraId="28CE9D50"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Opt. 2: Reference slot is the slot indicated by the legacy triggering offset.</w:t>
            </w:r>
          </w:p>
          <w:p w14:paraId="1975BD96"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the detailed definition of “available slot” considering UE processing complexity and timeline to determine available slot, potential co-existence with collision handling, etc., e.g.,</w:t>
            </w:r>
          </w:p>
          <w:p w14:paraId="54F6EDD2" w14:textId="77777777" w:rsidR="007F1B01" w:rsidRDefault="008F0B14">
            <w:pPr>
              <w:pStyle w:val="aff2"/>
              <w:widowControl w:val="0"/>
              <w:numPr>
                <w:ilvl w:val="1"/>
                <w:numId w:val="11"/>
              </w:numPr>
              <w:snapToGrid w:val="0"/>
              <w:spacing w:after="0" w:line="240" w:lineRule="auto"/>
              <w:jc w:val="both"/>
              <w:rPr>
                <w:rFonts w:eastAsia="微软雅黑"/>
                <w:sz w:val="20"/>
                <w:szCs w:val="20"/>
              </w:rPr>
            </w:pPr>
            <w:r>
              <w:rPr>
                <w:rFonts w:eastAsia="微软雅黑"/>
                <w:sz w:val="20"/>
                <w:szCs w:val="20"/>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200E7253"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rFonts w:eastAsia="微软雅黑"/>
                <w:sz w:val="20"/>
                <w:szCs w:val="20"/>
              </w:rPr>
              <w:t>FFS explicit or implicit indication of t</w:t>
            </w:r>
          </w:p>
          <w:p w14:paraId="6544963E" w14:textId="77777777" w:rsidR="007F1B01" w:rsidRDefault="008F0B14">
            <w:pPr>
              <w:pStyle w:val="aff2"/>
              <w:widowControl w:val="0"/>
              <w:numPr>
                <w:ilvl w:val="0"/>
                <w:numId w:val="11"/>
              </w:numPr>
              <w:snapToGrid w:val="0"/>
              <w:spacing w:after="0" w:line="240" w:lineRule="auto"/>
              <w:jc w:val="both"/>
              <w:rPr>
                <w:rFonts w:eastAsia="微软雅黑"/>
                <w:sz w:val="20"/>
                <w:szCs w:val="20"/>
              </w:rPr>
            </w:pPr>
            <w:r>
              <w:rPr>
                <w:iCs/>
                <w:sz w:val="20"/>
                <w:szCs w:val="20"/>
              </w:rPr>
              <w:t>FFS whether updating candidate triggering offsets in MAC CE may be beneficial</w:t>
            </w:r>
          </w:p>
          <w:p w14:paraId="1344BC4A" w14:textId="77777777" w:rsidR="007F1B01" w:rsidRDefault="008F0B14">
            <w:pPr>
              <w:widowControl w:val="0"/>
              <w:snapToGrid w:val="0"/>
              <w:spacing w:after="0" w:line="240" w:lineRule="auto"/>
              <w:jc w:val="both"/>
              <w:rPr>
                <w:rFonts w:eastAsia="微软雅黑"/>
                <w:b/>
                <w:sz w:val="20"/>
                <w:szCs w:val="20"/>
              </w:rPr>
            </w:pPr>
            <w:r>
              <w:rPr>
                <w:rFonts w:eastAsia="微软雅黑"/>
                <w:b/>
                <w:sz w:val="20"/>
                <w:szCs w:val="20"/>
              </w:rPr>
              <w:lastRenderedPageBreak/>
              <w:t>Agreement</w:t>
            </w:r>
          </w:p>
          <w:p w14:paraId="4EF82EB6" w14:textId="77777777" w:rsidR="007F1B01" w:rsidRDefault="008F0B14">
            <w:pPr>
              <w:widowControl w:val="0"/>
              <w:snapToGrid w:val="0"/>
              <w:spacing w:after="0" w:line="240" w:lineRule="auto"/>
              <w:jc w:val="both"/>
              <w:rPr>
                <w:rFonts w:eastAsia="微软雅黑"/>
                <w:sz w:val="20"/>
                <w:szCs w:val="20"/>
              </w:rPr>
            </w:pPr>
            <w:r>
              <w:rPr>
                <w:rFonts w:eastAsia="微软雅黑"/>
                <w:sz w:val="20"/>
                <w:szCs w:val="20"/>
              </w:rPr>
              <w:t>Support at least DCI 0_1 and 0_2 to trigger aperiodic SRS without data and without CSI.</w:t>
            </w:r>
          </w:p>
          <w:p w14:paraId="2224CF11"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whether/how to re-purpose the unused fields, e.g., the triggering offset(s) and the frequency resources for triggering A-SRS on one or more component carriers, SFI-index, etc.</w:t>
            </w:r>
          </w:p>
          <w:p w14:paraId="79287592"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FFS UL/DL DCI with data for aperiodic SRS</w:t>
            </w:r>
          </w:p>
          <w:p w14:paraId="20335D4C" w14:textId="77777777" w:rsidR="007F1B01" w:rsidRDefault="008F0B14">
            <w:pPr>
              <w:pStyle w:val="aff2"/>
              <w:widowControl w:val="0"/>
              <w:numPr>
                <w:ilvl w:val="0"/>
                <w:numId w:val="12"/>
              </w:numPr>
              <w:snapToGrid w:val="0"/>
              <w:spacing w:after="0" w:line="240" w:lineRule="auto"/>
              <w:jc w:val="both"/>
              <w:rPr>
                <w:rFonts w:eastAsia="微软雅黑"/>
                <w:sz w:val="20"/>
                <w:szCs w:val="20"/>
              </w:rPr>
            </w:pPr>
            <w:r>
              <w:rPr>
                <w:rFonts w:eastAsia="微软雅黑"/>
                <w:sz w:val="20"/>
                <w:szCs w:val="20"/>
              </w:rPr>
              <w:t xml:space="preserve">FFS group common DCI </w:t>
            </w:r>
          </w:p>
          <w:p w14:paraId="6D8EFECE" w14:textId="77777777" w:rsidR="007F1B01" w:rsidRDefault="008F0B14">
            <w:pPr>
              <w:snapToGrid w:val="0"/>
              <w:spacing w:after="0" w:line="240" w:lineRule="auto"/>
              <w:rPr>
                <w:b/>
                <w:sz w:val="20"/>
                <w:szCs w:val="20"/>
              </w:rPr>
            </w:pPr>
            <w:r>
              <w:rPr>
                <w:b/>
                <w:sz w:val="20"/>
                <w:szCs w:val="20"/>
              </w:rPr>
              <w:t>Agreement</w:t>
            </w:r>
          </w:p>
          <w:p w14:paraId="21D208A5" w14:textId="77777777" w:rsidR="007F1B01" w:rsidRDefault="008F0B14">
            <w:pPr>
              <w:widowControl w:val="0"/>
              <w:snapToGrid w:val="0"/>
              <w:spacing w:after="0" w:line="240" w:lineRule="auto"/>
              <w:jc w:val="both"/>
              <w:rPr>
                <w:rFonts w:eastAsia="Malgun Gothic"/>
                <w:sz w:val="20"/>
                <w:szCs w:val="20"/>
              </w:rPr>
            </w:pPr>
            <w:r>
              <w:rPr>
                <w:rFonts w:eastAsia="Malgun Gothic"/>
                <w:sz w:val="20"/>
                <w:szCs w:val="20"/>
              </w:rPr>
              <w:t>In Rel-17 SRS coverage and capacity enhancement, support at least one scheme from Class 2 and Class 3, and deprioritize Class 1.</w:t>
            </w:r>
          </w:p>
          <w:p w14:paraId="11A25353" w14:textId="77777777" w:rsidR="007F1B01" w:rsidRDefault="008F0B14">
            <w:pPr>
              <w:pStyle w:val="aff2"/>
              <w:widowControl w:val="0"/>
              <w:numPr>
                <w:ilvl w:val="0"/>
                <w:numId w:val="7"/>
              </w:numPr>
              <w:snapToGrid w:val="0"/>
              <w:spacing w:after="0" w:line="240" w:lineRule="auto"/>
              <w:jc w:val="both"/>
              <w:rPr>
                <w:rFonts w:eastAsia="Malgun Gothic"/>
                <w:sz w:val="20"/>
                <w:szCs w:val="20"/>
              </w:rPr>
            </w:pPr>
            <w:r>
              <w:rPr>
                <w:sz w:val="20"/>
                <w:szCs w:val="20"/>
              </w:rPr>
              <w:t>Note: Extensions of Rel-15/16 frequency hopping are included in Classes 2 and 3, e.g. where UE hops once per symbol within a Rel-17 SRS resource.</w:t>
            </w:r>
          </w:p>
          <w:p w14:paraId="1B633F2B" w14:textId="77777777" w:rsidR="007F1B01" w:rsidRDefault="007F1B01">
            <w:pPr>
              <w:widowControl w:val="0"/>
              <w:snapToGrid w:val="0"/>
              <w:spacing w:after="0" w:line="240" w:lineRule="auto"/>
              <w:jc w:val="both"/>
              <w:rPr>
                <w:rFonts w:eastAsia="微软雅黑"/>
                <w:i/>
                <w:sz w:val="20"/>
                <w:szCs w:val="20"/>
              </w:rPr>
            </w:pPr>
          </w:p>
        </w:tc>
      </w:tr>
    </w:tbl>
    <w:p w14:paraId="0FECB904" w14:textId="77777777" w:rsidR="007F1B01" w:rsidRDefault="007F1B01">
      <w:pPr>
        <w:widowControl w:val="0"/>
        <w:snapToGrid w:val="0"/>
        <w:spacing w:before="120" w:after="120" w:line="240" w:lineRule="auto"/>
        <w:jc w:val="both"/>
        <w:rPr>
          <w:rFonts w:eastAsia="微软雅黑"/>
          <w:sz w:val="20"/>
          <w:szCs w:val="20"/>
        </w:rPr>
      </w:pPr>
    </w:p>
    <w:p w14:paraId="078289BA" w14:textId="77777777" w:rsidR="007F1B01" w:rsidRDefault="008F0B14">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35EA4BAF" w14:textId="77777777" w:rsidR="007F1B01" w:rsidRDefault="008F0B14">
      <w:pPr>
        <w:pStyle w:val="NoSpacing1"/>
        <w:snapToGrid w:val="0"/>
        <w:rPr>
          <w:bCs/>
          <w:sz w:val="20"/>
          <w:szCs w:val="20"/>
        </w:rPr>
      </w:pPr>
      <w:r>
        <w:rPr>
          <w:bCs/>
          <w:sz w:val="20"/>
          <w:szCs w:val="20"/>
        </w:rPr>
        <w:t>[1] RP-193133, New WID: Further enhancements on MIMO for NR, Samsung</w:t>
      </w:r>
    </w:p>
    <w:p w14:paraId="78664B5E" w14:textId="77777777" w:rsidR="007F1B01" w:rsidRDefault="008F0B14">
      <w:pPr>
        <w:pStyle w:val="NoSpacing1"/>
        <w:snapToGrid w:val="0"/>
        <w:rPr>
          <w:bCs/>
          <w:sz w:val="20"/>
          <w:szCs w:val="20"/>
          <w:lang w:val="en-GB"/>
        </w:rPr>
      </w:pPr>
      <w:r>
        <w:rPr>
          <w:bCs/>
          <w:sz w:val="20"/>
          <w:szCs w:val="20"/>
        </w:rPr>
        <w:t xml:space="preserve">[2] </w:t>
      </w:r>
      <w:r>
        <w:rPr>
          <w:bCs/>
          <w:sz w:val="20"/>
          <w:szCs w:val="20"/>
          <w:lang w:val="en-GB"/>
        </w:rPr>
        <w:t>R1-2007544, Enhancements on SRS flexibility, coverage and capacity, FUTUREWEI</w:t>
      </w:r>
    </w:p>
    <w:p w14:paraId="07664A57" w14:textId="77777777" w:rsidR="007F1B01" w:rsidRDefault="008F0B14">
      <w:pPr>
        <w:pStyle w:val="NoSpacing1"/>
        <w:snapToGrid w:val="0"/>
        <w:rPr>
          <w:bCs/>
          <w:sz w:val="20"/>
          <w:szCs w:val="20"/>
          <w:lang w:val="en-GB"/>
        </w:rPr>
      </w:pPr>
      <w:r>
        <w:rPr>
          <w:bCs/>
          <w:sz w:val="20"/>
          <w:szCs w:val="20"/>
          <w:lang w:val="en-GB"/>
        </w:rPr>
        <w:t>[4] R1-2007591, Discussion on SRS enhancements for Rel-17, Huawei, HiSilicon</w:t>
      </w:r>
    </w:p>
    <w:p w14:paraId="7A3EA260" w14:textId="77777777" w:rsidR="007F1B01" w:rsidRDefault="008F0B14">
      <w:pPr>
        <w:pStyle w:val="NoSpacing1"/>
        <w:snapToGrid w:val="0"/>
        <w:rPr>
          <w:bCs/>
          <w:sz w:val="20"/>
          <w:szCs w:val="20"/>
          <w:lang w:val="en-GB"/>
        </w:rPr>
      </w:pPr>
      <w:r>
        <w:rPr>
          <w:bCs/>
          <w:sz w:val="20"/>
          <w:szCs w:val="20"/>
          <w:lang w:val="en-GB"/>
        </w:rPr>
        <w:t>[5] R1-2007631, Discussion on SRS Enhancements, InterDigital, Inc.</w:t>
      </w:r>
    </w:p>
    <w:p w14:paraId="4FE8349C" w14:textId="77777777" w:rsidR="007F1B01" w:rsidRDefault="008F0B14">
      <w:pPr>
        <w:pStyle w:val="NoSpacing1"/>
        <w:snapToGrid w:val="0"/>
        <w:rPr>
          <w:bCs/>
          <w:sz w:val="20"/>
          <w:szCs w:val="20"/>
          <w:lang w:val="en-GB"/>
        </w:rPr>
      </w:pPr>
      <w:r>
        <w:rPr>
          <w:bCs/>
          <w:sz w:val="20"/>
          <w:szCs w:val="20"/>
          <w:lang w:val="en-GB"/>
        </w:rPr>
        <w:t>[6] R1-2007649, Further discussion on SRS enhancement, vivo</w:t>
      </w:r>
    </w:p>
    <w:p w14:paraId="1A3728B4" w14:textId="77777777" w:rsidR="007F1B01" w:rsidRDefault="008F0B14">
      <w:pPr>
        <w:pStyle w:val="NoSpacing1"/>
        <w:snapToGrid w:val="0"/>
        <w:rPr>
          <w:bCs/>
          <w:sz w:val="20"/>
          <w:szCs w:val="20"/>
          <w:lang w:val="en-GB"/>
        </w:rPr>
      </w:pPr>
      <w:r>
        <w:rPr>
          <w:bCs/>
          <w:sz w:val="20"/>
          <w:szCs w:val="20"/>
          <w:lang w:val="en-GB"/>
        </w:rPr>
        <w:t>[7] R1-2007768, Enhancements on SRS flexibility, coverage and capacity, ZTE</w:t>
      </w:r>
    </w:p>
    <w:p w14:paraId="512147AC" w14:textId="77777777" w:rsidR="007F1B01" w:rsidRDefault="008F0B14">
      <w:pPr>
        <w:pStyle w:val="NoSpacing1"/>
        <w:snapToGrid w:val="0"/>
        <w:rPr>
          <w:bCs/>
          <w:sz w:val="20"/>
          <w:szCs w:val="20"/>
          <w:lang w:val="en-GB"/>
        </w:rPr>
      </w:pPr>
      <w:r>
        <w:rPr>
          <w:bCs/>
          <w:sz w:val="20"/>
          <w:szCs w:val="20"/>
          <w:lang w:val="en-GB"/>
        </w:rPr>
        <w:t>[8] R1-2007829, On enhancements on SRS flexibility, coverage and capacity, CATT</w:t>
      </w:r>
    </w:p>
    <w:p w14:paraId="04C779DD" w14:textId="77777777" w:rsidR="007F1B01" w:rsidRDefault="008F0B14">
      <w:pPr>
        <w:pStyle w:val="NoSpacing1"/>
        <w:snapToGrid w:val="0"/>
        <w:rPr>
          <w:bCs/>
          <w:sz w:val="20"/>
          <w:szCs w:val="20"/>
          <w:lang w:val="en-GB"/>
        </w:rPr>
      </w:pPr>
      <w:r>
        <w:rPr>
          <w:bCs/>
          <w:sz w:val="20"/>
          <w:szCs w:val="20"/>
          <w:lang w:val="en-GB"/>
        </w:rPr>
        <w:t>[9] R1-2008005, Enhancements on SRS flexibility, coverage and capacity, CMCC</w:t>
      </w:r>
    </w:p>
    <w:p w14:paraId="739AC7BB" w14:textId="77777777" w:rsidR="007F1B01" w:rsidRDefault="008F0B14">
      <w:pPr>
        <w:pStyle w:val="NoSpacing1"/>
        <w:snapToGrid w:val="0"/>
        <w:rPr>
          <w:bCs/>
          <w:sz w:val="20"/>
          <w:szCs w:val="20"/>
          <w:lang w:val="en-GB"/>
        </w:rPr>
      </w:pPr>
      <w:r>
        <w:rPr>
          <w:bCs/>
          <w:sz w:val="20"/>
          <w:szCs w:val="20"/>
          <w:lang w:val="en-GB"/>
        </w:rPr>
        <w:t>[10] R1-2008153, Enhancements on SRS, Samsung</w:t>
      </w:r>
    </w:p>
    <w:p w14:paraId="13ED56D5" w14:textId="77777777" w:rsidR="007F1B01" w:rsidRDefault="008F0B14">
      <w:pPr>
        <w:pStyle w:val="NoSpacing1"/>
        <w:snapToGrid w:val="0"/>
        <w:rPr>
          <w:bCs/>
          <w:sz w:val="20"/>
          <w:szCs w:val="20"/>
          <w:lang w:val="en-GB"/>
        </w:rPr>
      </w:pPr>
      <w:r>
        <w:rPr>
          <w:bCs/>
          <w:sz w:val="20"/>
          <w:szCs w:val="20"/>
          <w:lang w:val="en-GB"/>
        </w:rPr>
        <w:t>[11] R1-2008222, Enhancements on SRS flexibility, coverage and capacity, OPPO</w:t>
      </w:r>
    </w:p>
    <w:p w14:paraId="1328F3A3" w14:textId="77777777" w:rsidR="007F1B01" w:rsidRDefault="008F0B14">
      <w:pPr>
        <w:pStyle w:val="NoSpacing1"/>
        <w:snapToGrid w:val="0"/>
        <w:rPr>
          <w:bCs/>
          <w:sz w:val="20"/>
          <w:szCs w:val="20"/>
          <w:lang w:val="en-GB"/>
        </w:rPr>
      </w:pPr>
      <w:r>
        <w:rPr>
          <w:bCs/>
          <w:sz w:val="20"/>
          <w:szCs w:val="20"/>
          <w:lang w:val="en-GB"/>
        </w:rPr>
        <w:t>[12] R1-2008351, Considerations on SRS flexibility, coverage and capacity, Sony</w:t>
      </w:r>
    </w:p>
    <w:p w14:paraId="251767EB" w14:textId="77777777" w:rsidR="007F1B01" w:rsidRDefault="008F0B14">
      <w:pPr>
        <w:pStyle w:val="NoSpacing1"/>
        <w:snapToGrid w:val="0"/>
        <w:rPr>
          <w:bCs/>
          <w:sz w:val="20"/>
          <w:szCs w:val="20"/>
          <w:lang w:val="en-GB"/>
        </w:rPr>
      </w:pPr>
      <w:r>
        <w:rPr>
          <w:bCs/>
          <w:sz w:val="20"/>
          <w:szCs w:val="20"/>
          <w:lang w:val="en-GB"/>
        </w:rPr>
        <w:t>[13] R1-2008443, Views on Rel-17 SRS enhancement, Apple</w:t>
      </w:r>
    </w:p>
    <w:p w14:paraId="0DFA6297" w14:textId="77777777" w:rsidR="007F1B01" w:rsidRDefault="008F0B14">
      <w:pPr>
        <w:pStyle w:val="NoSpacing1"/>
        <w:snapToGrid w:val="0"/>
        <w:rPr>
          <w:bCs/>
          <w:sz w:val="20"/>
          <w:szCs w:val="20"/>
          <w:lang w:val="en-GB"/>
        </w:rPr>
      </w:pPr>
      <w:r>
        <w:rPr>
          <w:bCs/>
          <w:sz w:val="20"/>
          <w:szCs w:val="20"/>
          <w:lang w:val="en-GB"/>
        </w:rPr>
        <w:t>[14] R1-2008578, Enhancements on SRS flexibility, coverage and capacity, LG Electronics</w:t>
      </w:r>
    </w:p>
    <w:p w14:paraId="59A4E184" w14:textId="77777777" w:rsidR="007F1B01" w:rsidRDefault="008F0B14">
      <w:pPr>
        <w:pStyle w:val="NoSpacing1"/>
        <w:snapToGrid w:val="0"/>
        <w:rPr>
          <w:bCs/>
          <w:sz w:val="20"/>
          <w:szCs w:val="20"/>
          <w:lang w:val="en-GB"/>
        </w:rPr>
      </w:pPr>
      <w:r>
        <w:rPr>
          <w:bCs/>
          <w:sz w:val="20"/>
          <w:szCs w:val="20"/>
          <w:lang w:val="en-GB"/>
        </w:rPr>
        <w:t>[15] R1-2008900, Enhancements on SRS for coverage and capacity, Fraunhofer IIS, Fraunhofer HHI</w:t>
      </w:r>
    </w:p>
    <w:p w14:paraId="256C7AAB" w14:textId="77777777" w:rsidR="007F1B01" w:rsidRDefault="008F0B14">
      <w:pPr>
        <w:pStyle w:val="NoSpacing1"/>
        <w:snapToGrid w:val="0"/>
        <w:rPr>
          <w:bCs/>
          <w:sz w:val="20"/>
          <w:szCs w:val="20"/>
          <w:lang w:val="en-GB"/>
        </w:rPr>
      </w:pPr>
      <w:r>
        <w:rPr>
          <w:bCs/>
          <w:sz w:val="20"/>
          <w:szCs w:val="20"/>
          <w:lang w:val="en-GB"/>
        </w:rPr>
        <w:t>[16] R1-2008908, Enhancements on SRS flexibility, coverage and capacity, Nokia, Nokia Shanghai Bell</w:t>
      </w:r>
    </w:p>
    <w:p w14:paraId="4DAAB34F" w14:textId="77777777" w:rsidR="007F1B01" w:rsidRDefault="008F0B14">
      <w:pPr>
        <w:pStyle w:val="NoSpacing1"/>
        <w:snapToGrid w:val="0"/>
        <w:rPr>
          <w:bCs/>
          <w:sz w:val="20"/>
          <w:szCs w:val="20"/>
          <w:lang w:val="en-GB"/>
        </w:rPr>
      </w:pPr>
      <w:r>
        <w:rPr>
          <w:bCs/>
          <w:sz w:val="20"/>
          <w:szCs w:val="20"/>
          <w:lang w:val="en-GB"/>
        </w:rPr>
        <w:t>[17] R1-2008914, Enhancements on SRS, Lenovo, Motorola Mobility</w:t>
      </w:r>
    </w:p>
    <w:p w14:paraId="28ADB897" w14:textId="77777777" w:rsidR="007F1B01" w:rsidRDefault="008F0B14">
      <w:pPr>
        <w:pStyle w:val="NoSpacing1"/>
        <w:snapToGrid w:val="0"/>
        <w:rPr>
          <w:bCs/>
          <w:sz w:val="20"/>
          <w:szCs w:val="20"/>
          <w:lang w:val="en-GB"/>
        </w:rPr>
      </w:pPr>
      <w:r>
        <w:rPr>
          <w:bCs/>
          <w:sz w:val="20"/>
          <w:szCs w:val="20"/>
          <w:lang w:val="en-GB"/>
        </w:rPr>
        <w:t>[18] R1-2008948, Discussion on SRS enhancement, NEC</w:t>
      </w:r>
    </w:p>
    <w:p w14:paraId="2B8F38FF" w14:textId="77777777" w:rsidR="007F1B01" w:rsidRDefault="008F0B14">
      <w:pPr>
        <w:pStyle w:val="NoSpacing1"/>
        <w:snapToGrid w:val="0"/>
        <w:rPr>
          <w:bCs/>
          <w:sz w:val="20"/>
          <w:szCs w:val="20"/>
          <w:lang w:val="en-GB"/>
        </w:rPr>
      </w:pPr>
      <w:r>
        <w:rPr>
          <w:bCs/>
          <w:sz w:val="20"/>
          <w:szCs w:val="20"/>
          <w:lang w:val="en-GB"/>
        </w:rPr>
        <w:t>[19] R1-2008959, Enhancements on SRS flexibility, coverage and capacity, MediaTek Inc.</w:t>
      </w:r>
    </w:p>
    <w:p w14:paraId="308A54B2" w14:textId="77777777" w:rsidR="007F1B01" w:rsidRDefault="008F0B14">
      <w:pPr>
        <w:pStyle w:val="NoSpacing1"/>
        <w:snapToGrid w:val="0"/>
        <w:rPr>
          <w:bCs/>
          <w:sz w:val="20"/>
          <w:szCs w:val="20"/>
          <w:lang w:val="en-GB"/>
        </w:rPr>
      </w:pPr>
      <w:r>
        <w:rPr>
          <w:bCs/>
          <w:sz w:val="20"/>
          <w:szCs w:val="20"/>
          <w:lang w:val="en-GB"/>
        </w:rPr>
        <w:t>[20] R1-2008982, Discussion on SRS enhancements, Intel Corporation</w:t>
      </w:r>
    </w:p>
    <w:p w14:paraId="45E00422" w14:textId="77777777" w:rsidR="007F1B01" w:rsidRDefault="008F0B14">
      <w:pPr>
        <w:pStyle w:val="NoSpacing1"/>
        <w:snapToGrid w:val="0"/>
        <w:rPr>
          <w:bCs/>
          <w:sz w:val="20"/>
          <w:szCs w:val="20"/>
          <w:lang w:val="en-GB"/>
        </w:rPr>
      </w:pPr>
      <w:r>
        <w:rPr>
          <w:bCs/>
          <w:sz w:val="20"/>
          <w:szCs w:val="20"/>
          <w:lang w:val="en-GB"/>
        </w:rPr>
        <w:t>[21] R1-2009031, Discussion on SRS enhancements, Xiaomi</w:t>
      </w:r>
    </w:p>
    <w:p w14:paraId="3E0B7387" w14:textId="77777777" w:rsidR="007F1B01" w:rsidRDefault="008F0B14">
      <w:pPr>
        <w:pStyle w:val="NoSpacing1"/>
        <w:snapToGrid w:val="0"/>
        <w:rPr>
          <w:bCs/>
          <w:sz w:val="20"/>
          <w:szCs w:val="20"/>
          <w:lang w:val="en-GB"/>
        </w:rPr>
      </w:pPr>
      <w:r>
        <w:rPr>
          <w:bCs/>
          <w:sz w:val="20"/>
          <w:szCs w:val="20"/>
          <w:lang w:val="en-GB"/>
        </w:rPr>
        <w:t>[22] R1-2009131, Enhancements on SRS, Sharp</w:t>
      </w:r>
    </w:p>
    <w:p w14:paraId="585BE074" w14:textId="77777777" w:rsidR="007F1B01" w:rsidRDefault="008F0B14">
      <w:pPr>
        <w:pStyle w:val="NoSpacing1"/>
        <w:snapToGrid w:val="0"/>
        <w:rPr>
          <w:bCs/>
          <w:sz w:val="20"/>
          <w:szCs w:val="20"/>
          <w:lang w:val="en-GB"/>
        </w:rPr>
      </w:pPr>
      <w:r>
        <w:rPr>
          <w:bCs/>
          <w:sz w:val="20"/>
          <w:szCs w:val="20"/>
          <w:lang w:val="en-GB"/>
        </w:rPr>
        <w:t>[23] R1-2009146, Considerations on SRS enhancement, Spreadtrum Communications</w:t>
      </w:r>
    </w:p>
    <w:p w14:paraId="57BE96E2" w14:textId="77777777" w:rsidR="007F1B01" w:rsidRDefault="008F0B14">
      <w:pPr>
        <w:pStyle w:val="NoSpacing1"/>
        <w:snapToGrid w:val="0"/>
        <w:rPr>
          <w:bCs/>
          <w:sz w:val="20"/>
          <w:szCs w:val="20"/>
          <w:lang w:val="en-GB"/>
        </w:rPr>
      </w:pPr>
      <w:r>
        <w:rPr>
          <w:bCs/>
          <w:sz w:val="20"/>
          <w:szCs w:val="20"/>
          <w:lang w:val="en-GB"/>
        </w:rPr>
        <w:t>[24] R1-2009179, Discussion on SRS enhancement, NTT DOCOMO, INC.</w:t>
      </w:r>
    </w:p>
    <w:p w14:paraId="45AF46A6" w14:textId="77777777" w:rsidR="007F1B01" w:rsidRDefault="008F0B14">
      <w:pPr>
        <w:pStyle w:val="NoSpacing1"/>
        <w:snapToGrid w:val="0"/>
        <w:rPr>
          <w:bCs/>
          <w:sz w:val="20"/>
          <w:szCs w:val="20"/>
          <w:lang w:val="en-GB"/>
        </w:rPr>
      </w:pPr>
      <w:r>
        <w:rPr>
          <w:bCs/>
          <w:sz w:val="20"/>
          <w:szCs w:val="20"/>
          <w:lang w:val="en-GB"/>
        </w:rPr>
        <w:t>[25] R1-2009211, SRS Performance and Potential Enhancements, Ericsson LM</w:t>
      </w:r>
    </w:p>
    <w:p w14:paraId="70363361" w14:textId="77777777" w:rsidR="007F1B01" w:rsidRDefault="008F0B14">
      <w:pPr>
        <w:pStyle w:val="NoSpacing1"/>
        <w:snapToGrid w:val="0"/>
        <w:rPr>
          <w:bCs/>
          <w:sz w:val="20"/>
          <w:szCs w:val="20"/>
          <w:lang w:val="en-GB"/>
        </w:rPr>
      </w:pPr>
      <w:r>
        <w:rPr>
          <w:bCs/>
          <w:sz w:val="20"/>
          <w:szCs w:val="20"/>
          <w:lang w:val="en-GB"/>
        </w:rPr>
        <w:t>[26] R1-2009255, Enhancements on SRS flexibility, coverage and capacity, Qualcomm Incorporated</w:t>
      </w:r>
    </w:p>
    <w:p w14:paraId="6A5E11B6" w14:textId="77777777" w:rsidR="007F1B01" w:rsidRDefault="008F0B14">
      <w:pPr>
        <w:pStyle w:val="NoSpacing1"/>
        <w:snapToGrid w:val="0"/>
        <w:rPr>
          <w:bCs/>
          <w:sz w:val="20"/>
          <w:szCs w:val="20"/>
          <w:lang w:val="en-GB"/>
        </w:rPr>
      </w:pPr>
      <w:r>
        <w:rPr>
          <w:bCs/>
          <w:sz w:val="20"/>
          <w:szCs w:val="20"/>
          <w:lang w:val="en-GB"/>
        </w:rPr>
        <w:t>[27] R1-2009286, Discussion on enhancement of SRS in Rel. 17 further enhanced MIMO, CEWiT</w:t>
      </w:r>
    </w:p>
    <w:p w14:paraId="35DA6E86" w14:textId="77777777" w:rsidR="007F1B01" w:rsidRDefault="007F1B01">
      <w:pPr>
        <w:pStyle w:val="NoSpacing1"/>
        <w:snapToGrid w:val="0"/>
      </w:pPr>
    </w:p>
    <w:sectPr w:rsidR="007F1B01">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C0A31" w14:textId="77777777" w:rsidR="00F34A1F" w:rsidRDefault="00F34A1F" w:rsidP="00606776">
      <w:pPr>
        <w:spacing w:after="0" w:line="240" w:lineRule="auto"/>
      </w:pPr>
      <w:r>
        <w:separator/>
      </w:r>
    </w:p>
  </w:endnote>
  <w:endnote w:type="continuationSeparator" w:id="0">
    <w:p w14:paraId="1EB5EE23" w14:textId="77777777" w:rsidR="00F34A1F" w:rsidRDefault="00F34A1F" w:rsidP="0060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C168" w14:textId="77777777" w:rsidR="00F34A1F" w:rsidRDefault="00F34A1F" w:rsidP="00606776">
      <w:pPr>
        <w:spacing w:after="0" w:line="240" w:lineRule="auto"/>
      </w:pPr>
      <w:r>
        <w:separator/>
      </w:r>
    </w:p>
  </w:footnote>
  <w:footnote w:type="continuationSeparator" w:id="0">
    <w:p w14:paraId="1C6EC6DE" w14:textId="77777777" w:rsidR="00F34A1F" w:rsidRDefault="00F34A1F" w:rsidP="0060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D16"/>
    <w:multiLevelType w:val="hybridMultilevel"/>
    <w:tmpl w:val="65504EB8"/>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1">
    <w:nsid w:val="04B67787"/>
    <w:multiLevelType w:val="multilevel"/>
    <w:tmpl w:val="A09C2342"/>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08E911A5"/>
    <w:multiLevelType w:val="multilevel"/>
    <w:tmpl w:val="440AB38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44A0A14"/>
    <w:multiLevelType w:val="multilevel"/>
    <w:tmpl w:val="B380B4E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nsid w:val="1DA31B72"/>
    <w:multiLevelType w:val="hybridMultilevel"/>
    <w:tmpl w:val="28C4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845ECC"/>
    <w:multiLevelType w:val="multilevel"/>
    <w:tmpl w:val="2A6278C0"/>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81D082F"/>
    <w:multiLevelType w:val="hybridMultilevel"/>
    <w:tmpl w:val="339C6AAC"/>
    <w:lvl w:ilvl="0" w:tplc="04090001">
      <w:start w:val="1"/>
      <w:numFmt w:val="bullet"/>
      <w:lvlText w:val=""/>
      <w:lvlJc w:val="left"/>
      <w:pPr>
        <w:ind w:left="3680" w:hanging="400"/>
      </w:pPr>
      <w:rPr>
        <w:rFonts w:ascii="Wingdings" w:hAnsi="Wingdings" w:hint="default"/>
      </w:rPr>
    </w:lvl>
    <w:lvl w:ilvl="1" w:tplc="04090003" w:tentative="1">
      <w:start w:val="1"/>
      <w:numFmt w:val="bullet"/>
      <w:lvlText w:val=""/>
      <w:lvlJc w:val="left"/>
      <w:pPr>
        <w:ind w:left="4080" w:hanging="400"/>
      </w:pPr>
      <w:rPr>
        <w:rFonts w:ascii="Wingdings" w:hAnsi="Wingdings" w:hint="default"/>
      </w:rPr>
    </w:lvl>
    <w:lvl w:ilvl="2" w:tplc="04090005" w:tentative="1">
      <w:start w:val="1"/>
      <w:numFmt w:val="bullet"/>
      <w:lvlText w:val=""/>
      <w:lvlJc w:val="left"/>
      <w:pPr>
        <w:ind w:left="4480" w:hanging="400"/>
      </w:pPr>
      <w:rPr>
        <w:rFonts w:ascii="Wingdings" w:hAnsi="Wingdings" w:hint="default"/>
      </w:rPr>
    </w:lvl>
    <w:lvl w:ilvl="3" w:tplc="04090001" w:tentative="1">
      <w:start w:val="1"/>
      <w:numFmt w:val="bullet"/>
      <w:lvlText w:val=""/>
      <w:lvlJc w:val="left"/>
      <w:pPr>
        <w:ind w:left="4880" w:hanging="400"/>
      </w:pPr>
      <w:rPr>
        <w:rFonts w:ascii="Wingdings" w:hAnsi="Wingdings" w:hint="default"/>
      </w:rPr>
    </w:lvl>
    <w:lvl w:ilvl="4" w:tplc="04090003" w:tentative="1">
      <w:start w:val="1"/>
      <w:numFmt w:val="bullet"/>
      <w:lvlText w:val=""/>
      <w:lvlJc w:val="left"/>
      <w:pPr>
        <w:ind w:left="5280" w:hanging="400"/>
      </w:pPr>
      <w:rPr>
        <w:rFonts w:ascii="Wingdings" w:hAnsi="Wingdings" w:hint="default"/>
      </w:rPr>
    </w:lvl>
    <w:lvl w:ilvl="5" w:tplc="04090005" w:tentative="1">
      <w:start w:val="1"/>
      <w:numFmt w:val="bullet"/>
      <w:lvlText w:val=""/>
      <w:lvlJc w:val="left"/>
      <w:pPr>
        <w:ind w:left="5680" w:hanging="400"/>
      </w:pPr>
      <w:rPr>
        <w:rFonts w:ascii="Wingdings" w:hAnsi="Wingdings" w:hint="default"/>
      </w:rPr>
    </w:lvl>
    <w:lvl w:ilvl="6" w:tplc="04090001" w:tentative="1">
      <w:start w:val="1"/>
      <w:numFmt w:val="bullet"/>
      <w:lvlText w:val=""/>
      <w:lvlJc w:val="left"/>
      <w:pPr>
        <w:ind w:left="6080" w:hanging="400"/>
      </w:pPr>
      <w:rPr>
        <w:rFonts w:ascii="Wingdings" w:hAnsi="Wingdings" w:hint="default"/>
      </w:rPr>
    </w:lvl>
    <w:lvl w:ilvl="7" w:tplc="04090003" w:tentative="1">
      <w:start w:val="1"/>
      <w:numFmt w:val="bullet"/>
      <w:lvlText w:val=""/>
      <w:lvlJc w:val="left"/>
      <w:pPr>
        <w:ind w:left="6480" w:hanging="400"/>
      </w:pPr>
      <w:rPr>
        <w:rFonts w:ascii="Wingdings" w:hAnsi="Wingdings" w:hint="default"/>
      </w:rPr>
    </w:lvl>
    <w:lvl w:ilvl="8" w:tplc="04090005" w:tentative="1">
      <w:start w:val="1"/>
      <w:numFmt w:val="bullet"/>
      <w:lvlText w:val=""/>
      <w:lvlJc w:val="left"/>
      <w:pPr>
        <w:ind w:left="6880" w:hanging="400"/>
      </w:pPr>
      <w:rPr>
        <w:rFonts w:ascii="Wingdings" w:hAnsi="Wingdings" w:hint="default"/>
      </w:rPr>
    </w:lvl>
  </w:abstractNum>
  <w:abstractNum w:abstractNumId="7">
    <w:nsid w:val="29321E41"/>
    <w:multiLevelType w:val="multilevel"/>
    <w:tmpl w:val="D2B63F5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330E65EE"/>
    <w:multiLevelType w:val="hybridMultilevel"/>
    <w:tmpl w:val="3E9426D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C6D6A3D"/>
    <w:multiLevelType w:val="multilevel"/>
    <w:tmpl w:val="D494F1D2"/>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10">
    <w:nsid w:val="3FC36E9E"/>
    <w:multiLevelType w:val="hybridMultilevel"/>
    <w:tmpl w:val="23780E1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B720E50"/>
    <w:multiLevelType w:val="multilevel"/>
    <w:tmpl w:val="7876E020"/>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4C192EC8"/>
    <w:multiLevelType w:val="hybridMultilevel"/>
    <w:tmpl w:val="D3EE06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7022A5C"/>
    <w:multiLevelType w:val="hybridMultilevel"/>
    <w:tmpl w:val="7FE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C3AEB"/>
    <w:multiLevelType w:val="hybridMultilevel"/>
    <w:tmpl w:val="C236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AD7A12"/>
    <w:multiLevelType w:val="multilevel"/>
    <w:tmpl w:val="8A44F7C0"/>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71D07AE9"/>
    <w:multiLevelType w:val="multilevel"/>
    <w:tmpl w:val="4584335A"/>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nsid w:val="74605B2F"/>
    <w:multiLevelType w:val="multilevel"/>
    <w:tmpl w:val="DFFA15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78F0A5C"/>
    <w:multiLevelType w:val="multilevel"/>
    <w:tmpl w:val="461898DE"/>
    <w:lvl w:ilvl="0">
      <w:start w:val="1"/>
      <w:numFmt w:val="bullet"/>
      <w:lvlText w:val=""/>
      <w:lvlJc w:val="left"/>
      <w:pPr>
        <w:ind w:left="1140" w:hanging="420"/>
      </w:pPr>
      <w:rPr>
        <w:rFonts w:ascii="Wingdings" w:hAnsi="Wingdings" w:cs="Wingdings" w:hint="default"/>
        <w:sz w:val="20"/>
      </w:rPr>
    </w:lvl>
    <w:lvl w:ilvl="1">
      <w:start w:val="2"/>
      <w:numFmt w:val="bullet"/>
      <w:lvlText w:val="-"/>
      <w:lvlJc w:val="left"/>
      <w:pPr>
        <w:ind w:left="1560" w:hanging="420"/>
      </w:pPr>
      <w:rPr>
        <w:rFonts w:ascii="Arial" w:hAnsi="Arial" w:cs="Arial" w:hint="default"/>
        <w:sz w:val="20"/>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abstractNum w:abstractNumId="19">
    <w:nsid w:val="7B60547B"/>
    <w:multiLevelType w:val="multilevel"/>
    <w:tmpl w:val="90128076"/>
    <w:lvl w:ilvl="0">
      <w:start w:val="1"/>
      <w:numFmt w:val="bullet"/>
      <w:lvlText w:val=""/>
      <w:lvlJc w:val="left"/>
      <w:pPr>
        <w:ind w:left="1140" w:hanging="420"/>
      </w:pPr>
      <w:rPr>
        <w:rFonts w:ascii="Wingdings" w:hAnsi="Wingdings" w:cs="Wingdings" w:hint="default"/>
        <w:sz w:val="20"/>
      </w:rPr>
    </w:lvl>
    <w:lvl w:ilvl="1">
      <w:start w:val="1"/>
      <w:numFmt w:val="bullet"/>
      <w:lvlText w:val=""/>
      <w:lvlJc w:val="left"/>
      <w:pPr>
        <w:ind w:left="1560" w:hanging="420"/>
      </w:pPr>
      <w:rPr>
        <w:rFonts w:ascii="Wingdings" w:hAnsi="Wingdings" w:cs="Wingdings" w:hint="default"/>
      </w:rPr>
    </w:lvl>
    <w:lvl w:ilvl="2">
      <w:start w:val="1"/>
      <w:numFmt w:val="bullet"/>
      <w:lvlText w:val=""/>
      <w:lvlJc w:val="left"/>
      <w:pPr>
        <w:ind w:left="1980" w:hanging="420"/>
      </w:pPr>
      <w:rPr>
        <w:rFonts w:ascii="Wingdings" w:hAnsi="Wingdings" w:cs="Wingdings" w:hint="default"/>
      </w:rPr>
    </w:lvl>
    <w:lvl w:ilvl="3">
      <w:start w:val="1"/>
      <w:numFmt w:val="bullet"/>
      <w:lvlText w:val=""/>
      <w:lvlJc w:val="left"/>
      <w:pPr>
        <w:ind w:left="2400" w:hanging="420"/>
      </w:pPr>
      <w:rPr>
        <w:rFonts w:ascii="Wingdings" w:hAnsi="Wingdings" w:cs="Wingdings" w:hint="default"/>
      </w:rPr>
    </w:lvl>
    <w:lvl w:ilvl="4">
      <w:start w:val="1"/>
      <w:numFmt w:val="bullet"/>
      <w:lvlText w:val=""/>
      <w:lvlJc w:val="left"/>
      <w:pPr>
        <w:ind w:left="2820" w:hanging="420"/>
      </w:pPr>
      <w:rPr>
        <w:rFonts w:ascii="Wingdings" w:hAnsi="Wingdings" w:cs="Wingdings" w:hint="default"/>
      </w:rPr>
    </w:lvl>
    <w:lvl w:ilvl="5">
      <w:start w:val="1"/>
      <w:numFmt w:val="bullet"/>
      <w:lvlText w:val=""/>
      <w:lvlJc w:val="left"/>
      <w:pPr>
        <w:ind w:left="3240" w:hanging="420"/>
      </w:pPr>
      <w:rPr>
        <w:rFonts w:ascii="Wingdings" w:hAnsi="Wingdings" w:cs="Wingdings" w:hint="default"/>
      </w:rPr>
    </w:lvl>
    <w:lvl w:ilvl="6">
      <w:start w:val="1"/>
      <w:numFmt w:val="bullet"/>
      <w:lvlText w:val=""/>
      <w:lvlJc w:val="left"/>
      <w:pPr>
        <w:ind w:left="3660" w:hanging="420"/>
      </w:pPr>
      <w:rPr>
        <w:rFonts w:ascii="Wingdings" w:hAnsi="Wingdings" w:cs="Wingdings" w:hint="default"/>
      </w:rPr>
    </w:lvl>
    <w:lvl w:ilvl="7">
      <w:start w:val="1"/>
      <w:numFmt w:val="bullet"/>
      <w:lvlText w:val=""/>
      <w:lvlJc w:val="left"/>
      <w:pPr>
        <w:ind w:left="4080" w:hanging="420"/>
      </w:pPr>
      <w:rPr>
        <w:rFonts w:ascii="Wingdings" w:hAnsi="Wingdings" w:cs="Wingdings" w:hint="default"/>
      </w:rPr>
    </w:lvl>
    <w:lvl w:ilvl="8">
      <w:start w:val="1"/>
      <w:numFmt w:val="bullet"/>
      <w:lvlText w:val=""/>
      <w:lvlJc w:val="left"/>
      <w:pPr>
        <w:ind w:left="4500" w:hanging="420"/>
      </w:pPr>
      <w:rPr>
        <w:rFonts w:ascii="Wingdings" w:hAnsi="Wingdings" w:cs="Wingdings" w:hint="default"/>
      </w:rPr>
    </w:lvl>
  </w:abstractNum>
  <w:num w:numId="1">
    <w:abstractNumId w:val="9"/>
  </w:num>
  <w:num w:numId="2">
    <w:abstractNumId w:val="11"/>
  </w:num>
  <w:num w:numId="3">
    <w:abstractNumId w:val="17"/>
  </w:num>
  <w:num w:numId="4">
    <w:abstractNumId w:val="3"/>
  </w:num>
  <w:num w:numId="5">
    <w:abstractNumId w:val="2"/>
  </w:num>
  <w:num w:numId="6">
    <w:abstractNumId w:val="15"/>
  </w:num>
  <w:num w:numId="7">
    <w:abstractNumId w:val="1"/>
  </w:num>
  <w:num w:numId="8">
    <w:abstractNumId w:val="16"/>
  </w:num>
  <w:num w:numId="9">
    <w:abstractNumId w:val="7"/>
  </w:num>
  <w:num w:numId="10">
    <w:abstractNumId w:val="5"/>
  </w:num>
  <w:num w:numId="11">
    <w:abstractNumId w:val="18"/>
  </w:num>
  <w:num w:numId="12">
    <w:abstractNumId w:val="19"/>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0"/>
  </w:num>
  <w:num w:numId="18">
    <w:abstractNumId w:val="6"/>
  </w:num>
  <w:num w:numId="19">
    <w:abstractNumId w:val="12"/>
  </w:num>
  <w:num w:numId="20">
    <w:abstractNumId w:val="8"/>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01"/>
    <w:rsid w:val="00015EF4"/>
    <w:rsid w:val="00053EAA"/>
    <w:rsid w:val="0006207B"/>
    <w:rsid w:val="00084A3A"/>
    <w:rsid w:val="000B2ABC"/>
    <w:rsid w:val="00100E08"/>
    <w:rsid w:val="00197674"/>
    <w:rsid w:val="001B7C57"/>
    <w:rsid w:val="001E6A75"/>
    <w:rsid w:val="00294814"/>
    <w:rsid w:val="002C3D50"/>
    <w:rsid w:val="00302DC5"/>
    <w:rsid w:val="003153F9"/>
    <w:rsid w:val="00324426"/>
    <w:rsid w:val="00367303"/>
    <w:rsid w:val="003714D8"/>
    <w:rsid w:val="003F68A5"/>
    <w:rsid w:val="00457EB5"/>
    <w:rsid w:val="00460360"/>
    <w:rsid w:val="004D7893"/>
    <w:rsid w:val="005253BD"/>
    <w:rsid w:val="005367AE"/>
    <w:rsid w:val="00587BEB"/>
    <w:rsid w:val="00606776"/>
    <w:rsid w:val="00614363"/>
    <w:rsid w:val="00624630"/>
    <w:rsid w:val="00636E80"/>
    <w:rsid w:val="006B4D21"/>
    <w:rsid w:val="006B61E7"/>
    <w:rsid w:val="00767813"/>
    <w:rsid w:val="007C773B"/>
    <w:rsid w:val="007F1B01"/>
    <w:rsid w:val="00864749"/>
    <w:rsid w:val="008E7AB7"/>
    <w:rsid w:val="008F0B14"/>
    <w:rsid w:val="00961C7D"/>
    <w:rsid w:val="00994D2B"/>
    <w:rsid w:val="009A17D0"/>
    <w:rsid w:val="00A242B0"/>
    <w:rsid w:val="00A601E4"/>
    <w:rsid w:val="00A72B79"/>
    <w:rsid w:val="00AC73C3"/>
    <w:rsid w:val="00AE53EF"/>
    <w:rsid w:val="00B643EB"/>
    <w:rsid w:val="00B71E0B"/>
    <w:rsid w:val="00C15CCE"/>
    <w:rsid w:val="00C3023D"/>
    <w:rsid w:val="00C47B46"/>
    <w:rsid w:val="00C613FB"/>
    <w:rsid w:val="00C94630"/>
    <w:rsid w:val="00CB0FB5"/>
    <w:rsid w:val="00CB39FA"/>
    <w:rsid w:val="00D14540"/>
    <w:rsid w:val="00D97826"/>
    <w:rsid w:val="00DD6C51"/>
    <w:rsid w:val="00E876A9"/>
    <w:rsid w:val="00F34A1F"/>
    <w:rsid w:val="00F55636"/>
    <w:rsid w:val="00FD7AA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1FF8"/>
  <w15:docId w15:val="{896C81B0-24AB-42DF-86EB-D0F1971A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51"/>
    <w:pPr>
      <w:spacing w:after="200" w:line="276" w:lineRule="auto"/>
    </w:pPr>
    <w:rPr>
      <w:rFonts w:ascii="Times New Roman" w:eastAsia="宋体" w:hAnsi="Times New Roman" w:cs="Times New Roman"/>
      <w:sz w:val="22"/>
      <w:szCs w:val="22"/>
      <w:lang w:val="en-US" w:bidi="ar-SA"/>
    </w:rPr>
  </w:style>
  <w:style w:type="paragraph" w:styleId="1">
    <w:name w:val="heading 1"/>
    <w:basedOn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uiPriority w:val="9"/>
    <w:qFormat/>
    <w:pPr>
      <w:numPr>
        <w:ilvl w:val="3"/>
        <w:numId w:val="1"/>
      </w:numPr>
      <w:outlineLvl w:val="3"/>
    </w:pPr>
    <w:rPr>
      <w:sz w:val="24"/>
    </w:rPr>
  </w:style>
  <w:style w:type="paragraph" w:styleId="5">
    <w:name w:val="heading 5"/>
    <w:basedOn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page number"/>
    <w:basedOn w:val="a0"/>
    <w:semiHidden/>
    <w:qFormat/>
  </w:style>
  <w:style w:type="character" w:styleId="a5">
    <w:name w:val="FollowedHyperlink"/>
    <w:uiPriority w:val="99"/>
    <w:unhideWhenUsed/>
    <w:qFormat/>
    <w:rPr>
      <w:color w:val="2779B6"/>
      <w:u w:val="single"/>
    </w:rPr>
  </w:style>
  <w:style w:type="character" w:styleId="a6">
    <w:name w:val="Emphasis"/>
    <w:qFormat/>
    <w:rPr>
      <w:i/>
    </w:rPr>
  </w:style>
  <w:style w:type="character" w:styleId="a7">
    <w:name w:val="annotation reference"/>
    <w:unhideWhenUsed/>
    <w:qFormat/>
    <w:rPr>
      <w:sz w:val="16"/>
      <w:szCs w:val="16"/>
    </w:rPr>
  </w:style>
  <w:style w:type="character" w:customStyle="1" w:styleId="a8">
    <w:name w:val="批注框文本 字符"/>
    <w:uiPriority w:val="99"/>
    <w:semiHidden/>
    <w:qFormat/>
    <w:rPr>
      <w:rFonts w:ascii="Tahoma" w:hAnsi="Tahoma" w:cs="Tahoma"/>
      <w:sz w:val="16"/>
      <w:szCs w:val="16"/>
    </w:rPr>
  </w:style>
  <w:style w:type="character" w:customStyle="1" w:styleId="InternetLink">
    <w:name w:val="Internet Link"/>
    <w:basedOn w:val="a0"/>
    <w:uiPriority w:val="99"/>
    <w:unhideWhenUsed/>
    <w:qFormat/>
    <w:rPr>
      <w:color w:val="0563C1" w:themeColor="hyperlink"/>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9">
    <w:name w:val="页眉 字符"/>
    <w:qFormat/>
    <w:rPr>
      <w:rFonts w:ascii="Arial" w:eastAsia="MS Mincho" w:hAnsi="Arial"/>
      <w:b/>
      <w:szCs w:val="24"/>
      <w:lang w:eastAsia="en-US"/>
    </w:rPr>
  </w:style>
  <w:style w:type="character" w:customStyle="1" w:styleId="aa">
    <w:name w:val="批注主题 字符"/>
    <w:uiPriority w:val="99"/>
    <w:semiHidden/>
    <w:qFormat/>
    <w:rPr>
      <w:b/>
      <w:bCs/>
    </w:rPr>
  </w:style>
  <w:style w:type="character" w:customStyle="1" w:styleId="ab">
    <w:name w:val="脚注文本 字符"/>
    <w:semiHidden/>
    <w:qFormat/>
    <w:rPr>
      <w:rFonts w:ascii="Times" w:eastAsia="Batang" w:hAnsi="Times"/>
      <w:lang w:eastAsia="en-US"/>
    </w:rPr>
  </w:style>
  <w:style w:type="character" w:customStyle="1" w:styleId="THChar">
    <w:name w:val="TH Char"/>
    <w:qFormat/>
    <w:rPr>
      <w:rFonts w:ascii="Arial" w:hAnsi="Arial"/>
      <w:b/>
      <w:lang w:val="en-GB" w:eastAsia="en-US"/>
    </w:rPr>
  </w:style>
  <w:style w:type="character" w:customStyle="1" w:styleId="TACChar">
    <w:name w:val="TAC Char"/>
    <w:qFormat/>
    <w:rPr>
      <w:rFonts w:ascii="Arial" w:eastAsia="Times New Roman" w:hAnsi="Arial"/>
      <w:sz w:val="18"/>
      <w:lang w:val="en-GB" w:eastAsia="en-GB"/>
    </w:rPr>
  </w:style>
  <w:style w:type="character" w:customStyle="1" w:styleId="apple-converted-space">
    <w:name w:val="apple-converted-space"/>
    <w:basedOn w:val="a0"/>
    <w:qFormat/>
  </w:style>
  <w:style w:type="character" w:customStyle="1" w:styleId="ac">
    <w:name w:val="题注 字符"/>
    <w:qFormat/>
    <w:rPr>
      <w:rFonts w:ascii="Times New Roman" w:hAnsi="Times New Roman"/>
      <w:b/>
      <w:bCs/>
      <w:lang w:val="en-GB" w:eastAsia="sv-SE"/>
    </w:rPr>
  </w:style>
  <w:style w:type="character" w:customStyle="1" w:styleId="B1">
    <w:name w:val="B1 (文字)"/>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d">
    <w:name w:val="批注文字 字符"/>
    <w:basedOn w:val="a0"/>
    <w:qFormat/>
  </w:style>
  <w:style w:type="character" w:customStyle="1" w:styleId="ae">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qFormat/>
    <w:rPr>
      <w:rFonts w:ascii="Times New Roman" w:eastAsia="Malgun Gothic" w:hAnsi="Times New Roman"/>
      <w:lang w:val="en-GB" w:eastAsia="ko-KR"/>
    </w:rPr>
  </w:style>
  <w:style w:type="character" w:customStyle="1" w:styleId="word">
    <w:name w:val="word"/>
    <w:basedOn w:val="a0"/>
    <w:qFormat/>
  </w:style>
  <w:style w:type="character" w:customStyle="1" w:styleId="af">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qFormat/>
    <w:rPr>
      <w:rFonts w:ascii="Arial" w:eastAsia="Times New Roman" w:hAnsi="Arial"/>
      <w:b/>
      <w:sz w:val="18"/>
      <w:lang w:val="en-GB" w:eastAsia="en-GB"/>
    </w:rPr>
  </w:style>
  <w:style w:type="character" w:customStyle="1" w:styleId="RAN1textChar">
    <w:name w:val="RAN1 text Char"/>
    <w:qFormat/>
    <w:rPr>
      <w:rFonts w:eastAsia="MS Mincho"/>
      <w:color w:val="0000FF"/>
      <w:kern w:val="2"/>
      <w:sz w:val="21"/>
    </w:rPr>
  </w:style>
  <w:style w:type="character" w:customStyle="1" w:styleId="RAN1bullet1Char">
    <w:name w:val="RAN1 bullet1 Char"/>
    <w:qFormat/>
    <w:rPr>
      <w:sz w:val="22"/>
      <w:szCs w:val="22"/>
    </w:rPr>
  </w:style>
  <w:style w:type="character" w:customStyle="1" w:styleId="Char">
    <w:name w:val="列出段落 Char"/>
    <w:uiPriority w:val="34"/>
    <w:qFormat/>
    <w:locked/>
    <w:rPr>
      <w:rFonts w:ascii="Times" w:hAnsi="Times" w:cs="Times"/>
      <w:szCs w:val="24"/>
      <w:lang w:val="en-GB" w:eastAsia="zh-CN"/>
    </w:rPr>
  </w:style>
  <w:style w:type="character" w:customStyle="1" w:styleId="11">
    <w:name w:val="占位符文本1"/>
    <w:basedOn w:val="a0"/>
    <w:uiPriority w:val="99"/>
    <w:unhideWhenUsed/>
    <w:qFormat/>
    <w:rPr>
      <w:color w:val="808080"/>
    </w:rPr>
  </w:style>
  <w:style w:type="character" w:styleId="af0">
    <w:name w:val="Placeholder Text"/>
    <w:basedOn w:val="a0"/>
    <w:uiPriority w:val="99"/>
    <w:semiHidden/>
    <w:qFormat/>
    <w:rPr>
      <w:color w:val="808080"/>
    </w:rPr>
  </w:style>
  <w:style w:type="character" w:customStyle="1" w:styleId="1Char">
    <w:name w:val="样式1 Char"/>
    <w:basedOn w:val="a0"/>
    <w:qFormat/>
    <w:rPr>
      <w:rFonts w:eastAsia="微软雅黑"/>
      <w:b/>
      <w:sz w:val="22"/>
      <w:szCs w:val="22"/>
    </w:rPr>
  </w:style>
  <w:style w:type="character" w:customStyle="1" w:styleId="Style1Char">
    <w:name w:val="Style1 Char"/>
    <w:qFormat/>
    <w:rPr>
      <w:rFonts w:eastAsia="Malgun Gothic" w:cs="Batang"/>
      <w:lang w:val="en-GB" w:eastAsia="en-US"/>
    </w:rPr>
  </w:style>
  <w:style w:type="character" w:customStyle="1" w:styleId="af1">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2">
    <w:name w:val="清單段落 字元"/>
    <w:uiPriority w:val="34"/>
    <w:qFormat/>
    <w:locked/>
    <w:rPr>
      <w:rFonts w:ascii="Times New Roman" w:eastAsia="宋体" w:hAnsi="Times New Roman" w:cs="Times New Roman"/>
      <w:sz w:val="22"/>
      <w:szCs w:val="22"/>
    </w:rPr>
  </w:style>
  <w:style w:type="character" w:customStyle="1" w:styleId="af3">
    <w:name w:val="註解文字 字元"/>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sz w:val="22"/>
      <w:szCs w:val="22"/>
    </w:rPr>
  </w:style>
  <w:style w:type="character" w:customStyle="1" w:styleId="ListLabel138">
    <w:name w:val="ListLabel 138"/>
    <w:qFormat/>
    <w:rPr>
      <w:sz w:val="22"/>
      <w:szCs w:val="22"/>
    </w:rPr>
  </w:style>
  <w:style w:type="character" w:customStyle="1" w:styleId="ListLabel139">
    <w:name w:val="ListLabel 139"/>
    <w:qFormat/>
    <w:rPr>
      <w:rFonts w:cs="Times New Roman"/>
    </w:rPr>
  </w:style>
  <w:style w:type="character" w:customStyle="1" w:styleId="ListLabel140">
    <w:name w:val="ListLabel 140"/>
    <w:qFormat/>
    <w:rPr>
      <w:rFonts w:cs="Wingdings"/>
      <w:sz w:val="20"/>
    </w:rPr>
  </w:style>
  <w:style w:type="character" w:customStyle="1" w:styleId="ListLabel141">
    <w:name w:val="ListLabel 141"/>
    <w:qFormat/>
    <w:rPr>
      <w:rFonts w:cs="Times New Roman"/>
      <w:sz w:val="20"/>
    </w:rPr>
  </w:style>
  <w:style w:type="character" w:customStyle="1" w:styleId="ListLabel142">
    <w:name w:val="ListLabel 142"/>
    <w:qFormat/>
    <w:rPr>
      <w:rFonts w:cs="Microsoft Sans Serif"/>
      <w:sz w:val="20"/>
    </w:rPr>
  </w:style>
  <w:style w:type="character" w:customStyle="1" w:styleId="ListLabel143">
    <w:name w:val="ListLabel 143"/>
    <w:qFormat/>
    <w:rPr>
      <w:sz w:val="16"/>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sz w:val="20"/>
    </w:rPr>
  </w:style>
  <w:style w:type="character" w:customStyle="1" w:styleId="ListLabel150">
    <w:name w:val="ListLabel 150"/>
    <w:qFormat/>
    <w:rPr>
      <w:rFonts w:cs="Times New Roman"/>
      <w:sz w:val="20"/>
    </w:rPr>
  </w:style>
  <w:style w:type="character" w:customStyle="1" w:styleId="ListLabel151">
    <w:name w:val="ListLabel 151"/>
    <w:qFormat/>
    <w:rPr>
      <w:rFonts w:cs="Microsoft Sans Serif"/>
      <w:sz w:val="20"/>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sz w:val="22"/>
      <w:szCs w:val="22"/>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b/>
      <w:sz w:val="20"/>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sz w:val="20"/>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eastAsia="微软雅黑" w:cs="Times New Roman"/>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16"/>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sz w:val="20"/>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af4">
    <w:name w:val="列表段落 字符"/>
    <w:uiPriority w:val="34"/>
    <w:qFormat/>
    <w:locked/>
    <w:rPr>
      <w:rFonts w:ascii="Times New Roman" w:eastAsia="宋体" w:hAnsi="Times New Roman" w:cs="Times New Roman"/>
      <w:sz w:val="22"/>
      <w:szCs w:val="22"/>
    </w:rPr>
  </w:style>
  <w:style w:type="character" w:customStyle="1" w:styleId="ListLabel189">
    <w:name w:val="ListLabel 189"/>
    <w:qFormat/>
    <w:rPr>
      <w:sz w:val="22"/>
      <w:szCs w:val="22"/>
    </w:rPr>
  </w:style>
  <w:style w:type="character" w:customStyle="1" w:styleId="ListLabel190">
    <w:name w:val="ListLabel 190"/>
    <w:qFormat/>
    <w:rPr>
      <w:sz w:val="22"/>
      <w:szCs w:val="22"/>
    </w:rPr>
  </w:style>
  <w:style w:type="character" w:customStyle="1" w:styleId="ListLabel191">
    <w:name w:val="ListLabel 191"/>
    <w:qFormat/>
    <w:rPr>
      <w:rFonts w:cs="Times New Roman"/>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rFonts w:cs="Wingdings"/>
      <w:sz w:val="20"/>
    </w:rPr>
  </w:style>
  <w:style w:type="character" w:customStyle="1" w:styleId="ListLabel199">
    <w:name w:val="ListLabel 199"/>
    <w:qFormat/>
    <w:rPr>
      <w:rFonts w:cs="Times New Roman"/>
      <w:sz w:val="20"/>
    </w:rPr>
  </w:style>
  <w:style w:type="character" w:customStyle="1" w:styleId="ListLabel200">
    <w:name w:val="ListLabel 200"/>
    <w:qFormat/>
    <w:rPr>
      <w:rFonts w:cs="Microsoft Sans Serif"/>
      <w:sz w:val="20"/>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sz w:val="20"/>
    </w:rPr>
  </w:style>
  <w:style w:type="character" w:customStyle="1" w:styleId="ListLabel208">
    <w:name w:val="ListLabel 208"/>
    <w:qFormat/>
    <w:rPr>
      <w:rFonts w:eastAsia="Times New Roman" w:cs="Arial"/>
      <w:sz w:val="20"/>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sz w:val="20"/>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paragraph" w:customStyle="1" w:styleId="Heading">
    <w:name w:val="Heading"/>
    <w:basedOn w:val="a"/>
    <w:next w:val="af5"/>
    <w:qFormat/>
    <w:pPr>
      <w:keepNext/>
      <w:spacing w:before="240" w:after="120"/>
    </w:pPr>
    <w:rPr>
      <w:rFonts w:ascii="Liberation Sans" w:eastAsia="Noto Sans CJK SC Regular" w:hAnsi="Liberation Sans" w:cs="Lohit Devanagari"/>
      <w:sz w:val="28"/>
      <w:szCs w:val="28"/>
    </w:rPr>
  </w:style>
  <w:style w:type="paragraph" w:styleId="af5">
    <w:name w:val="Body Text"/>
    <w:basedOn w:val="a"/>
    <w:qFormat/>
    <w:pPr>
      <w:widowControl w:val="0"/>
      <w:spacing w:after="0" w:line="240" w:lineRule="auto"/>
      <w:jc w:val="both"/>
    </w:pPr>
    <w:rPr>
      <w:color w:val="0000FF"/>
      <w:kern w:val="2"/>
      <w:sz w:val="21"/>
      <w:szCs w:val="20"/>
    </w:rPr>
  </w:style>
  <w:style w:type="paragraph" w:styleId="af6">
    <w:name w:val="List"/>
    <w:basedOn w:val="a"/>
    <w:uiPriority w:val="99"/>
    <w:unhideWhenUsed/>
    <w:qFormat/>
    <w:pPr>
      <w:ind w:left="200" w:hanging="200"/>
      <w:contextualSpacing/>
    </w:pPr>
  </w:style>
  <w:style w:type="paragraph" w:styleId="af7">
    <w:name w:val="caption"/>
    <w:basedOn w:val="a"/>
    <w:qFormat/>
    <w:pPr>
      <w:tabs>
        <w:tab w:val="left" w:pos="1418"/>
      </w:tabs>
      <w:spacing w:before="120" w:after="120" w:line="240" w:lineRule="auto"/>
    </w:pPr>
    <w:rPr>
      <w:b/>
      <w:bCs/>
      <w:sz w:val="20"/>
      <w:szCs w:val="20"/>
      <w:lang w:val="en-GB" w:eastAsia="sv-SE"/>
    </w:rPr>
  </w:style>
  <w:style w:type="paragraph" w:customStyle="1" w:styleId="Index">
    <w:name w:val="Index"/>
    <w:basedOn w:val="a"/>
    <w:qFormat/>
    <w:pPr>
      <w:suppressLineNumbers/>
    </w:pPr>
    <w:rPr>
      <w:rFonts w:cs="Lohit Devanagari"/>
    </w:rPr>
  </w:style>
  <w:style w:type="paragraph" w:styleId="af8">
    <w:name w:val="Normal Indent"/>
    <w:basedOn w:val="a"/>
    <w:qFormat/>
    <w:pPr>
      <w:widowControl w:val="0"/>
      <w:spacing w:after="0" w:line="240" w:lineRule="auto"/>
      <w:ind w:firstLine="420"/>
      <w:jc w:val="both"/>
    </w:pPr>
    <w:rPr>
      <w:kern w:val="2"/>
      <w:sz w:val="21"/>
      <w:szCs w:val="20"/>
    </w:rPr>
  </w:style>
  <w:style w:type="paragraph" w:styleId="af9">
    <w:name w:val="List Bullet"/>
    <w:basedOn w:val="a"/>
    <w:uiPriority w:val="99"/>
    <w:unhideWhenUsed/>
    <w:qFormat/>
    <w:pPr>
      <w:contextualSpacing/>
    </w:pPr>
  </w:style>
  <w:style w:type="paragraph" w:styleId="afa">
    <w:name w:val="Document Map"/>
    <w:basedOn w:val="a"/>
    <w:uiPriority w:val="99"/>
    <w:unhideWhenUsed/>
    <w:qFormat/>
    <w:rPr>
      <w:rFonts w:ascii="宋体" w:hAnsi="宋体"/>
      <w:sz w:val="18"/>
      <w:szCs w:val="18"/>
    </w:rPr>
  </w:style>
  <w:style w:type="paragraph" w:styleId="afb">
    <w:name w:val="annotation text"/>
    <w:basedOn w:val="a"/>
    <w:uiPriority w:val="99"/>
    <w:unhideWhenUsed/>
    <w:qFormat/>
    <w:rPr>
      <w:sz w:val="20"/>
      <w:szCs w:val="20"/>
    </w:rPr>
  </w:style>
  <w:style w:type="paragraph" w:styleId="afc">
    <w:name w:val="Balloon Text"/>
    <w:basedOn w:val="a"/>
    <w:uiPriority w:val="99"/>
    <w:unhideWhenUsed/>
    <w:qFormat/>
    <w:pPr>
      <w:spacing w:after="0" w:line="240" w:lineRule="auto"/>
    </w:pPr>
    <w:rPr>
      <w:rFonts w:ascii="Tahoma" w:hAnsi="Tahoma"/>
      <w:sz w:val="16"/>
      <w:szCs w:val="16"/>
    </w:rPr>
  </w:style>
  <w:style w:type="paragraph" w:styleId="afd">
    <w:name w:val="footer"/>
    <w:basedOn w:val="a"/>
    <w:qFormat/>
    <w:pPr>
      <w:tabs>
        <w:tab w:val="center" w:pos="4153"/>
        <w:tab w:val="right" w:pos="8306"/>
      </w:tabs>
      <w:snapToGrid w:val="0"/>
      <w:spacing w:line="240" w:lineRule="auto"/>
    </w:pPr>
    <w:rPr>
      <w:sz w:val="18"/>
      <w:szCs w:val="18"/>
    </w:rPr>
  </w:style>
  <w:style w:type="paragraph" w:styleId="afe">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ff">
    <w:name w:val="footnote text"/>
    <w:basedOn w:val="a"/>
    <w:semiHidden/>
    <w:qFormat/>
    <w:pPr>
      <w:spacing w:after="0" w:line="240" w:lineRule="auto"/>
      <w:jc w:val="both"/>
    </w:pPr>
    <w:rPr>
      <w:rFonts w:ascii="Times" w:eastAsia="Batang" w:hAnsi="Times"/>
      <w:sz w:val="20"/>
      <w:szCs w:val="20"/>
      <w:lang w:eastAsia="en-US"/>
    </w:rPr>
  </w:style>
  <w:style w:type="paragraph" w:styleId="aff0">
    <w:name w:val="Normal (Web)"/>
    <w:basedOn w:val="a"/>
    <w:uiPriority w:val="99"/>
    <w:unhideWhenUsed/>
    <w:qFormat/>
    <w:pPr>
      <w:spacing w:beforeAutospacing="1" w:afterAutospacing="1" w:line="240" w:lineRule="auto"/>
    </w:pPr>
    <w:rPr>
      <w:rFonts w:ascii="宋体" w:hAnsi="宋体" w:cs="宋体"/>
      <w:sz w:val="24"/>
      <w:szCs w:val="24"/>
    </w:rPr>
  </w:style>
  <w:style w:type="paragraph" w:styleId="aff1">
    <w:name w:val="annotation subject"/>
    <w:basedOn w:val="afb"/>
    <w:uiPriority w:val="99"/>
    <w:unhideWhenUsed/>
    <w:qFormat/>
    <w:rPr>
      <w:b/>
      <w:bCs/>
    </w:rPr>
  </w:style>
  <w:style w:type="paragraph" w:customStyle="1" w:styleId="TH">
    <w:name w:val="TH"/>
    <w:basedOn w:val="a"/>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paragraph" w:customStyle="1" w:styleId="B10">
    <w:name w:val="B1"/>
    <w:basedOn w:val="af6"/>
    <w:qFormat/>
    <w:pPr>
      <w:spacing w:after="180" w:line="240" w:lineRule="auto"/>
      <w:ind w:left="568" w:hanging="284"/>
    </w:pPr>
    <w:rPr>
      <w:sz w:val="20"/>
      <w:szCs w:val="20"/>
      <w:lang w:val="en-GB" w:eastAsia="en-US"/>
    </w:rPr>
  </w:style>
  <w:style w:type="paragraph" w:customStyle="1" w:styleId="Normalwithindent">
    <w:name w:val="Normal with indent"/>
    <w:basedOn w:val="a"/>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qFormat/>
    <w:rPr>
      <w:b/>
    </w:rPr>
  </w:style>
  <w:style w:type="paragraph" w:customStyle="1" w:styleId="RAN1text">
    <w:name w:val="RAN1 text"/>
    <w:basedOn w:val="af5"/>
    <w:qFormat/>
    <w:rPr>
      <w:rFonts w:eastAsia="MS Mincho"/>
    </w:rPr>
  </w:style>
  <w:style w:type="paragraph" w:customStyle="1" w:styleId="RAN1bullet1">
    <w:name w:val="RAN1 bullet1"/>
    <w:basedOn w:val="a"/>
    <w:qFormat/>
  </w:style>
  <w:style w:type="paragraph" w:customStyle="1" w:styleId="12">
    <w:name w:val="无间隔1"/>
    <w:uiPriority w:val="99"/>
    <w:qFormat/>
    <w:rPr>
      <w:rFonts w:ascii="Times New Roman" w:eastAsia="宋体" w:hAnsi="Times New Roman" w:cs="Times New Roman"/>
      <w:sz w:val="22"/>
      <w:szCs w:val="22"/>
      <w:lang w:val="en-US" w:bidi="ar-SA"/>
    </w:rPr>
  </w:style>
  <w:style w:type="paragraph" w:customStyle="1" w:styleId="Style1">
    <w:name w:val="Style1"/>
    <w:basedOn w:val="a"/>
    <w:qFormat/>
    <w:pPr>
      <w:spacing w:after="180" w:line="288" w:lineRule="auto"/>
      <w:ind w:firstLine="360"/>
      <w:jc w:val="both"/>
    </w:pPr>
    <w:rPr>
      <w:rFonts w:eastAsia="Malgun Gothic" w:cs="Batang"/>
      <w:sz w:val="20"/>
      <w:szCs w:val="20"/>
      <w:lang w:val="en-GB" w:eastAsia="en-US"/>
    </w:rPr>
  </w:style>
  <w:style w:type="paragraph" w:customStyle="1" w:styleId="13">
    <w:name w:val="列出段落1"/>
    <w:basedOn w:val="a"/>
    <w:uiPriority w:val="34"/>
    <w:qFormat/>
    <w:pPr>
      <w:spacing w:after="0" w:line="240" w:lineRule="auto"/>
      <w:ind w:left="840" w:hanging="720"/>
    </w:pPr>
    <w:rPr>
      <w:rFonts w:ascii="Times" w:hAnsi="Times" w:cs="Times"/>
      <w:sz w:val="20"/>
      <w:szCs w:val="24"/>
      <w:lang w:val="en-GB"/>
    </w:rPr>
  </w:style>
  <w:style w:type="paragraph" w:styleId="aff2">
    <w:name w:val="List Paragraph"/>
    <w:basedOn w:val="a"/>
    <w:uiPriority w:val="34"/>
    <w:qFormat/>
    <w:pPr>
      <w:ind w:firstLine="420"/>
    </w:p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bidi="ar-SA"/>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lang w:val="en-US" w:bidi="ar-SA"/>
    </w:rPr>
  </w:style>
  <w:style w:type="paragraph" w:customStyle="1" w:styleId="NoSpacing1">
    <w:name w:val="No Spacing1"/>
    <w:uiPriority w:val="1"/>
    <w:qFormat/>
    <w:rPr>
      <w:rFonts w:ascii="Times New Roman" w:eastAsia="宋体" w:hAnsi="Times New Roman" w:cs="Times New Roman"/>
      <w:sz w:val="22"/>
      <w:szCs w:val="22"/>
      <w:lang w:val="en-US" w:bidi="ar-SA"/>
    </w:rPr>
  </w:style>
  <w:style w:type="paragraph" w:customStyle="1" w:styleId="-110">
    <w:name w:val="彩色底纹 - 强调文字颜色 11"/>
    <w:uiPriority w:val="71"/>
    <w:qFormat/>
    <w:rPr>
      <w:rFonts w:ascii="Times New Roman" w:eastAsia="宋体" w:hAnsi="Times New Roman" w:cs="Times New Roman"/>
      <w:sz w:val="22"/>
      <w:szCs w:val="22"/>
      <w:lang w:val="en-US" w:bidi="ar-SA"/>
    </w:rPr>
  </w:style>
  <w:style w:type="paragraph" w:customStyle="1" w:styleId="Style2">
    <w:name w:val="_Style 2"/>
    <w:uiPriority w:val="99"/>
    <w:qFormat/>
    <w:rPr>
      <w:rFonts w:ascii="Times New Roman" w:eastAsia="宋体" w:hAnsi="Times New Roman" w:cs="Times New Roman"/>
      <w:sz w:val="22"/>
      <w:szCs w:val="22"/>
      <w:lang w:val="en-US" w:bidi="ar-SA"/>
    </w:rPr>
  </w:style>
  <w:style w:type="paragraph" w:customStyle="1" w:styleId="Style10">
    <w:name w:val="_Style 1"/>
    <w:uiPriority w:val="99"/>
    <w:qFormat/>
    <w:rPr>
      <w:rFonts w:ascii="Times New Roman" w:eastAsia="宋体" w:hAnsi="Times New Roman" w:cs="Times New Roman"/>
      <w:sz w:val="22"/>
      <w:szCs w:val="22"/>
      <w:lang w:val="en-US" w:bidi="ar-SA"/>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3">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bidi="ar-SA"/>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lang w:val="en-US" w:bidi="ar-SA"/>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lang w:val="en-US" w:bidi="ar-SA"/>
    </w:rPr>
  </w:style>
  <w:style w:type="paragraph" w:customStyle="1" w:styleId="20">
    <w:name w:val="正文2"/>
    <w:qFormat/>
    <w:pPr>
      <w:jc w:val="both"/>
    </w:pPr>
    <w:rPr>
      <w:rFonts w:ascii="Times New Roman" w:eastAsia="宋体" w:hAnsi="Times New Roman" w:cs="Times New Roman"/>
      <w:kern w:val="2"/>
      <w:sz w:val="21"/>
      <w:szCs w:val="21"/>
      <w:lang w:val="en-US" w:bidi="ar-SA"/>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lang w:val="en-US" w:bidi="ar-SA"/>
    </w:rPr>
  </w:style>
  <w:style w:type="table" w:styleId="aff4">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33227">
      <w:bodyDiv w:val="1"/>
      <w:marLeft w:val="0"/>
      <w:marRight w:val="0"/>
      <w:marTop w:val="0"/>
      <w:marBottom w:val="0"/>
      <w:divBdr>
        <w:top w:val="none" w:sz="0" w:space="0" w:color="auto"/>
        <w:left w:val="none" w:sz="0" w:space="0" w:color="auto"/>
        <w:bottom w:val="none" w:sz="0" w:space="0" w:color="auto"/>
        <w:right w:val="none" w:sz="0" w:space="0" w:color="auto"/>
      </w:divBdr>
    </w:div>
    <w:div w:id="1547520533">
      <w:bodyDiv w:val="1"/>
      <w:marLeft w:val="0"/>
      <w:marRight w:val="0"/>
      <w:marTop w:val="0"/>
      <w:marBottom w:val="0"/>
      <w:divBdr>
        <w:top w:val="none" w:sz="0" w:space="0" w:color="auto"/>
        <w:left w:val="none" w:sz="0" w:space="0" w:color="auto"/>
        <w:bottom w:val="none" w:sz="0" w:space="0" w:color="auto"/>
        <w:right w:val="none" w:sz="0" w:space="0" w:color="auto"/>
      </w:divBdr>
    </w:div>
    <w:div w:id="1825462018">
      <w:bodyDiv w:val="1"/>
      <w:marLeft w:val="0"/>
      <w:marRight w:val="0"/>
      <w:marTop w:val="0"/>
      <w:marBottom w:val="0"/>
      <w:divBdr>
        <w:top w:val="none" w:sz="0" w:space="0" w:color="auto"/>
        <w:left w:val="none" w:sz="0" w:space="0" w:color="auto"/>
        <w:bottom w:val="none" w:sz="0" w:space="0" w:color="auto"/>
        <w:right w:val="none" w:sz="0" w:space="0" w:color="auto"/>
      </w:divBdr>
    </w:div>
    <w:div w:id="213643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83F3D466-97F5-4C48-8820-D9BCF7CE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41</cp:revision>
  <dcterms:created xsi:type="dcterms:W3CDTF">2020-11-08T17:26:00Z</dcterms:created>
  <dcterms:modified xsi:type="dcterms:W3CDTF">2020-11-09T07:04:00Z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WM05aa7dab10004e2eac8c43ff5cf3d138">
    <vt:lpwstr>CWMRk4fbHvmPFLIb4+si49T3NMu519ZTcKIG3Ik0+FmuHjyOTltDXCefURI25Jn+r/0NHIoJhPB5/bWFEmFJ67pKQ==</vt:lpwstr>
  </property>
  <property fmtid="{D5CDD505-2E9C-101B-9397-08002B2CF9AE}" pid="9" name="Company">
    <vt:lpwstr>www.zte.com.cn</vt:lpwstr>
  </property>
  <property fmtid="{D5CDD505-2E9C-101B-9397-08002B2CF9AE}" pid="10" name="ContentTypeId">
    <vt:lpwstr>0x010100E148108D9109C944B70D5C8707C65226</vt:lpwstr>
  </property>
  <property fmtid="{D5CDD505-2E9C-101B-9397-08002B2CF9AE}" pid="11" name="DocSecurity">
    <vt:i4>0</vt:i4>
  </property>
  <property fmtid="{D5CDD505-2E9C-101B-9397-08002B2CF9AE}" pid="12" name="HyperlinksChanged">
    <vt:bool>false</vt:bool>
  </property>
  <property fmtid="{D5CDD505-2E9C-101B-9397-08002B2CF9AE}" pid="13" name="KSOProductBuildVer">
    <vt:lpwstr>2052-11.8.2.9022</vt:lpwstr>
  </property>
  <property fmtid="{D5CDD505-2E9C-101B-9397-08002B2CF9AE}" pid="14" name="LinksUpToDate">
    <vt:bool>false</vt:bool>
  </property>
  <property fmtid="{D5CDD505-2E9C-101B-9397-08002B2CF9AE}" pid="15" name="NSCPROP_SA">
    <vt:lpwstr>E:\RAN1102-e\Draft_FL summary on SRS enhancements v004_Mod.docx</vt:lpwstr>
  </property>
  <property fmtid="{D5CDD505-2E9C-101B-9397-08002B2CF9AE}" pid="16" name="ScaleCrop">
    <vt:bool>false</vt:bool>
  </property>
  <property fmtid="{D5CDD505-2E9C-101B-9397-08002B2CF9AE}" pid="17" name="ShareDoc">
    <vt:bool>false</vt:bool>
  </property>
  <property fmtid="{D5CDD505-2E9C-101B-9397-08002B2CF9AE}" pid="18" name="TitusGUID">
    <vt:lpwstr>a1eed39f-051a-4208-8343-1b595c213ab6</vt:lpwstr>
  </property>
  <property fmtid="{D5CDD505-2E9C-101B-9397-08002B2CF9AE}" pid="19"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20"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1" name="_dlc_DocIdItemGuid">
    <vt:lpwstr>8abb3a72-0c78-4afa-a27f-4ffa8d54e2ce</vt:lpwstr>
  </property>
</Properties>
</file>