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91D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Huawei, </w:t>
            </w:r>
            <w:proofErr w:type="spellStart"/>
            <w:r>
              <w:rPr>
                <w:rFonts w:eastAsia="Microsoft YaHei"/>
                <w:sz w:val="20"/>
                <w:szCs w:val="20"/>
              </w:rPr>
              <w:t>HiSilicon</w:t>
            </w:r>
            <w:proofErr w:type="spellEnd"/>
            <w:r>
              <w:rPr>
                <w:rFonts w:eastAsia="Microsoft YaHei"/>
                <w:sz w:val="20"/>
                <w:szCs w:val="20"/>
              </w:rPr>
              <w:t xml:space="preserve">, Qualcomm, OPPO, ZTE, Xiaomi, LG, </w:t>
            </w:r>
            <w:r>
              <w:rPr>
                <w:rFonts w:eastAsia="Microsoft YaHei"/>
                <w:sz w:val="20"/>
                <w:szCs w:val="20"/>
              </w:rPr>
              <w:lastRenderedPageBreak/>
              <w:t xml:space="preserve">Lenovo, </w:t>
            </w:r>
            <w:proofErr w:type="spellStart"/>
            <w:r>
              <w:rPr>
                <w:rFonts w:eastAsia="Microsoft YaHei"/>
                <w:sz w:val="20"/>
                <w:szCs w:val="20"/>
              </w:rPr>
              <w:t>MotM</w:t>
            </w:r>
            <w:proofErr w:type="spellEnd"/>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w:t>
            </w:r>
            <w:proofErr w:type="spellStart"/>
            <w:r>
              <w:rPr>
                <w:rFonts w:eastAsia="Microsoft YaHei"/>
                <w:i/>
                <w:sz w:val="20"/>
                <w:szCs w:val="20"/>
              </w:rPr>
              <w:t>antennaSwitching</w:t>
            </w:r>
            <w:proofErr w:type="spellEnd"/>
            <w:r>
              <w:rPr>
                <w:rFonts w:eastAsia="Microsoft YaHei"/>
                <w:i/>
                <w:sz w:val="20"/>
                <w:szCs w:val="20"/>
              </w:rPr>
              <w:t>’,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w:t>
            </w:r>
            <w:proofErr w:type="spellStart"/>
            <w:r>
              <w:rPr>
                <w:rFonts w:eastAsia="Microsoft YaHei"/>
                <w:sz w:val="20"/>
                <w:szCs w:val="20"/>
              </w:rPr>
              <w:t>gNB</w:t>
            </w:r>
            <w:proofErr w:type="spellEnd"/>
            <w:r>
              <w:rPr>
                <w:rFonts w:eastAsia="Microsoft YaHei"/>
                <w:sz w:val="20"/>
                <w:szCs w:val="20"/>
              </w:rPr>
              <w:t xml:space="preserve">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w:t>
            </w:r>
            <w:proofErr w:type="spellStart"/>
            <w:r>
              <w:rPr>
                <w:rFonts w:eastAsia="Microsoft YaHei"/>
                <w:sz w:val="20"/>
                <w:szCs w:val="20"/>
              </w:rPr>
              <w:t>gNB</w:t>
            </w:r>
            <w:proofErr w:type="spellEnd"/>
            <w:r>
              <w:rPr>
                <w:rFonts w:eastAsia="Microsoft YaHei"/>
                <w:sz w:val="20"/>
                <w:szCs w:val="20"/>
              </w:rPr>
              <w:t xml:space="preserve"> to signal this configuration?  A simple configuration is that </w:t>
            </w:r>
            <w:proofErr w:type="spellStart"/>
            <w:r>
              <w:rPr>
                <w:rFonts w:eastAsia="Microsoft YaHei"/>
                <w:sz w:val="20"/>
                <w:szCs w:val="20"/>
              </w:rPr>
              <w:t>gNB</w:t>
            </w:r>
            <w:proofErr w:type="spellEnd"/>
            <w:r>
              <w:rPr>
                <w:rFonts w:eastAsia="Microsoft YaHei"/>
                <w:sz w:val="20"/>
                <w:szCs w:val="20"/>
              </w:rPr>
              <w:t xml:space="preserve"> signals an SRS resource set with usage=’codebook’. Then, </w:t>
            </w:r>
            <w:proofErr w:type="spellStart"/>
            <w:r>
              <w:rPr>
                <w:rFonts w:eastAsia="Microsoft YaHei"/>
                <w:sz w:val="20"/>
                <w:szCs w:val="20"/>
              </w:rPr>
              <w:t>gNB</w:t>
            </w:r>
            <w:proofErr w:type="spellEnd"/>
            <w:r>
              <w:rPr>
                <w:rFonts w:eastAsia="Microsoft YaHei"/>
                <w:sz w:val="20"/>
                <w:szCs w:val="20"/>
              </w:rPr>
              <w:t xml:space="preserve"> can schedule the codebook-based UL MIMO transmission and also acquire DL CSI based on the same SRS resource.  Even if </w:t>
            </w:r>
            <w:proofErr w:type="spellStart"/>
            <w:r>
              <w:rPr>
                <w:rFonts w:eastAsia="Microsoft YaHei"/>
                <w:sz w:val="20"/>
                <w:szCs w:val="20"/>
              </w:rPr>
              <w:t>gNB</w:t>
            </w:r>
            <w:proofErr w:type="spellEnd"/>
            <w:r>
              <w:rPr>
                <w:rFonts w:eastAsia="Microsoft YaHei"/>
                <w:sz w:val="20"/>
                <w:szCs w:val="20"/>
              </w:rPr>
              <w:t xml:space="preserve"> signals two resource sets respectively, </w:t>
            </w:r>
            <w:proofErr w:type="spellStart"/>
            <w:r>
              <w:rPr>
                <w:rFonts w:eastAsia="Microsoft YaHei"/>
                <w:sz w:val="20"/>
                <w:szCs w:val="20"/>
              </w:rPr>
              <w:t>gNB</w:t>
            </w:r>
            <w:proofErr w:type="spellEnd"/>
            <w:r>
              <w:rPr>
                <w:rFonts w:eastAsia="Microsoft YaHei"/>
                <w:sz w:val="20"/>
                <w:szCs w:val="20"/>
              </w:rPr>
              <w:t xml:space="preserve">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lastRenderedPageBreak/>
              <w:t xml:space="preserve">We think it is sufficient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proofErr w:type="spellStart"/>
            <w:r>
              <w:lastRenderedPageBreak/>
              <w:t>CEWiT</w:t>
            </w:r>
            <w:proofErr w:type="spellEnd"/>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FD6083">
        <w:trPr>
          <w:trHeight w:val="940"/>
        </w:trPr>
        <w:tc>
          <w:tcPr>
            <w:tcW w:w="2403" w:type="dxa"/>
            <w:tcBorders>
              <w:top w:val="nil"/>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Nokia, NSB, Huawei, </w:t>
            </w:r>
            <w:proofErr w:type="spellStart"/>
            <w:r>
              <w:rPr>
                <w:rFonts w:eastAsia="Microsoft YaHei"/>
                <w:sz w:val="20"/>
                <w:szCs w:val="20"/>
              </w:rPr>
              <w:t>HiSilicon</w:t>
            </w:r>
            <w:proofErr w:type="spellEnd"/>
            <w:r>
              <w:rPr>
                <w:rFonts w:eastAsia="Microsoft YaHei"/>
                <w:sz w:val="20"/>
                <w:szCs w:val="20"/>
              </w:rPr>
              <w:t>,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947" w:type="dxa"/>
            <w:shd w:val="clear" w:color="auto" w:fill="auto"/>
          </w:tcPr>
          <w:p w14:paraId="20F55AD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support FL’s proposal. We think it is beneficial to achieve good trade-off between NW performance and UE power saving. If UE supports combined capability of multiple combinations of Tx/Rx antennas, e.g., 1T2R and 2T4R, and </w:t>
            </w:r>
            <w:proofErr w:type="spellStart"/>
            <w:r>
              <w:rPr>
                <w:rFonts w:eastAsia="Microsoft YaHei"/>
                <w:sz w:val="20"/>
                <w:szCs w:val="20"/>
              </w:rPr>
              <w:t>gNB</w:t>
            </w:r>
            <w:proofErr w:type="spellEnd"/>
            <w:r>
              <w:rPr>
                <w:rFonts w:eastAsia="Microsoft YaHei"/>
                <w:sz w:val="20"/>
                <w:szCs w:val="20"/>
              </w:rPr>
              <w:t xml:space="preserve"> is willing to use the smaller number of antennas to assist UE power saving, this is used for NW to control the performance loss. When 4T8R is supported, the performance loss can be even larger if </w:t>
            </w:r>
            <w:proofErr w:type="spellStart"/>
            <w:r>
              <w:rPr>
                <w:rFonts w:eastAsia="Microsoft YaHei"/>
                <w:sz w:val="20"/>
                <w:szCs w:val="20"/>
              </w:rPr>
              <w:t>gNB</w:t>
            </w:r>
            <w:proofErr w:type="spellEnd"/>
            <w:r>
              <w:rPr>
                <w:rFonts w:eastAsia="Microsoft YaHei"/>
                <w:sz w:val="20"/>
                <w:szCs w:val="20"/>
              </w:rPr>
              <w:t xml:space="preserve">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as highlighted by ZTE, it helps with UE power savings where UE can back off from 4 </w:t>
            </w:r>
            <w:r>
              <w:rPr>
                <w:rFonts w:eastAsia="Microsoft YaHei"/>
                <w:sz w:val="20"/>
                <w:szCs w:val="20"/>
              </w:rPr>
              <w:t xml:space="preserve">simultaneous </w:t>
            </w:r>
            <w:r>
              <w:rPr>
                <w:rFonts w:eastAsia="Microsoft YaHei"/>
                <w:sz w:val="20"/>
                <w:szCs w:val="20"/>
              </w:rPr>
              <w:t>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w:t>
            </w:r>
            <w:r>
              <w:rPr>
                <w:rFonts w:eastAsia="Microsoft YaHei"/>
                <w:sz w:val="20"/>
                <w:szCs w:val="20"/>
              </w:rPr>
              <w:t xml:space="preserve">dynamic indication will make the adaption much faster and enable lower overhead </w:t>
            </w:r>
            <w:r>
              <w:rPr>
                <w:rFonts w:eastAsia="Microsoft YaHei"/>
                <w:sz w:val="20"/>
                <w:szCs w:val="20"/>
              </w:rPr>
              <w:t>as compared to</w:t>
            </w:r>
            <w:r>
              <w:rPr>
                <w:rFonts w:eastAsia="Microsoft YaHei"/>
                <w:sz w:val="20"/>
                <w:szCs w:val="20"/>
              </w:rPr>
              <w:t xml:space="preserve"> RRC re-configuration.</w:t>
            </w:r>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lastRenderedPageBreak/>
              <w:t>Note: companies are encouraged to evaluate directional UE antennas</w:t>
            </w:r>
          </w:p>
          <w:p w14:paraId="33194550"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some </w:t>
            </w:r>
            <w:proofErr w:type="spellStart"/>
            <w:r>
              <w:rPr>
                <w:rFonts w:eastAsia="Microsoft YaHei"/>
                <w:sz w:val="20"/>
                <w:szCs w:val="20"/>
              </w:rPr>
              <w:t>gNB</w:t>
            </w:r>
            <w:proofErr w:type="spellEnd"/>
            <w:r>
              <w:rPr>
                <w:rFonts w:eastAsia="Microsoft YaHei"/>
                <w:sz w:val="20"/>
                <w:szCs w:val="20"/>
              </w:rPr>
              <w:t xml:space="preserve"> or UE vendors would not deploy 4T6R, it is fine since all above configurations will be optional UE features anyway. So we think it is at least no harm for specification to support 4T6R. It is future-proof and may give </w:t>
            </w:r>
            <w:proofErr w:type="spellStart"/>
            <w:r>
              <w:rPr>
                <w:rFonts w:eastAsia="Microsoft YaHei"/>
                <w:sz w:val="20"/>
                <w:szCs w:val="20"/>
              </w:rPr>
              <w:t>gNB</w:t>
            </w:r>
            <w:proofErr w:type="spellEnd"/>
            <w:r>
              <w:rPr>
                <w:rFonts w:eastAsia="Microsoft YaHei"/>
                <w:sz w:val="20"/>
                <w:szCs w:val="20"/>
              </w:rPr>
              <w:t xml:space="preserve">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hint="eastAsia"/>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In our views, it is very important to support such SRS antenna switching configuration. One practical use-case is for</w:t>
            </w:r>
            <w:r w:rsidRPr="00302DC5">
              <w:t xml:space="preserve"> UE with</w:t>
            </w:r>
            <w:r w:rsidRPr="00302DC5">
              <w:t xml:space="preserve"> 4Tx </w:t>
            </w:r>
            <w:r w:rsidR="00FD7AA4" w:rsidRPr="00302DC5">
              <w:t xml:space="preserve">chains </w:t>
            </w:r>
            <w:r w:rsidRPr="00302DC5">
              <w:t xml:space="preserve">and </w:t>
            </w:r>
            <w:r w:rsidRPr="00302DC5">
              <w:t xml:space="preserve">8 Rx antennas </w:t>
            </w:r>
            <w:r w:rsidRPr="00302DC5">
              <w:t xml:space="preserve">which </w:t>
            </w:r>
            <w:r w:rsidR="00FD7AA4" w:rsidRPr="00302DC5">
              <w:t xml:space="preserve">can operate in some of the NR bands with 4T8R while it has to </w:t>
            </w:r>
            <w:r w:rsidRPr="00302DC5">
              <w:t>operate in some</w:t>
            </w:r>
            <w:r w:rsidR="00FD7AA4" w:rsidRPr="00302DC5">
              <w:t xml:space="preserve"> other </w:t>
            </w:r>
            <w:r w:rsidRPr="00302DC5">
              <w:t xml:space="preserve">NR </w:t>
            </w:r>
            <w:r w:rsidRPr="00302DC5">
              <w:t>bands with only a subset of antennas</w:t>
            </w:r>
            <w:r w:rsidRPr="00302DC5">
              <w:t xml:space="preserve">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w:t>
            </w:r>
            <w:r w:rsidRPr="00302DC5">
              <w:t>antenna</w:t>
            </w:r>
            <w:r w:rsidRPr="00302DC5">
              <w:t>s</w:t>
            </w:r>
            <w:r w:rsidRPr="00302DC5">
              <w:t xml:space="preserve"> are shared with other RAT (e.g. </w:t>
            </w:r>
            <w:proofErr w:type="spellStart"/>
            <w:r w:rsidRPr="00302DC5">
              <w:t>WiFi</w:t>
            </w:r>
            <w:proofErr w:type="spellEnd"/>
            <w:r w:rsidRPr="00302DC5">
              <w:t xml:space="preserve"> or Bluetooth)</w:t>
            </w:r>
            <w:r w:rsidRPr="00302DC5">
              <w:t xml:space="preserve"> at that </w:t>
            </w:r>
            <w:r w:rsidR="00FD7AA4" w:rsidRPr="00302DC5">
              <w:t xml:space="preserve">frequency </w:t>
            </w:r>
            <w:r w:rsidRPr="00302DC5">
              <w:t xml:space="preserve">band or 2) two </w:t>
            </w:r>
            <w:r w:rsidRPr="00302DC5">
              <w:t xml:space="preserve">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w:t>
            </w:r>
            <w:r w:rsidRPr="00302DC5">
              <w:t xml:space="preserve"> the concern of</w:t>
            </w:r>
            <w:r w:rsidRPr="00302DC5">
              <w:t xml:space="preserve"> </w:t>
            </w:r>
            <w:r w:rsidRPr="00302DC5">
              <w:t xml:space="preserve">non-uniform </w:t>
            </w:r>
            <w:r w:rsidRPr="00302DC5">
              <w:t>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w:t>
            </w:r>
            <w:r>
              <w:t xml:space="preserve">SRS </w:t>
            </w:r>
            <w:r>
              <w:t xml:space="preserve">sounding </w:t>
            </w:r>
            <w:r>
              <w:t>configuration</w:t>
            </w:r>
            <w:r>
              <w:t xml:space="preserve">, we are open to </w:t>
            </w:r>
            <w:r>
              <w:t xml:space="preserve">limit the support to only the practical </w:t>
            </w:r>
            <w:r>
              <w:t>implementation approaches</w:t>
            </w:r>
            <w:r>
              <w:t xml:space="preserve">. For example, one configuration could be a single </w:t>
            </w:r>
            <w:r w:rsidRPr="00302DC5">
              <w:t>SRS resource set with two resources, first resource with 4 ports and 2 resource with 2 ports</w:t>
            </w:r>
            <w:r w:rsidRPr="00302DC5">
              <w:t>.</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w:t>
            </w:r>
            <w:r w:rsidRPr="00302DC5">
              <w:t xml:space="preserve">SRS antenna configuration will be an </w:t>
            </w:r>
            <w:r w:rsidRPr="00302DC5">
              <w:t xml:space="preserve">optional feature and </w:t>
            </w:r>
            <w:r w:rsidRPr="00302DC5">
              <w:t xml:space="preserve">most probably the UE may  support a combo of SRS antenna switching (e.g. {4T6R, 2T6R}) and it will be up to the NW to configure the UE with the </w:t>
            </w:r>
            <w:r w:rsidRPr="00302DC5">
              <w:lastRenderedPageBreak/>
              <w:t xml:space="preserve">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bl>
    <w:p w14:paraId="491D6C80" w14:textId="77777777" w:rsidR="007F1B01"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14:paraId="1FD1D1C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2-1: Support </w:t>
      </w:r>
      <w:r>
        <w:rPr>
          <w:rFonts w:eastAsia="Malgun Gothic"/>
          <w:i/>
          <w:sz w:val="20"/>
          <w:szCs w:val="20"/>
          <w:lang w:eastAsia="ko-KR"/>
        </w:rPr>
        <w:t>repetition with TD-OCC</w:t>
      </w:r>
    </w:p>
    <w:p w14:paraId="4F6A331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14:paraId="38379542" w14:textId="77777777"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consecutive symbols or non-consecutive symbols across slots</w:t>
      </w:r>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3-3: Support </w:t>
      </w:r>
      <w:proofErr w:type="spellStart"/>
      <w:r>
        <w:rPr>
          <w:rFonts w:eastAsiaTheme="minorEastAsia"/>
          <w:i/>
          <w:sz w:val="20"/>
          <w:szCs w:val="20"/>
        </w:rPr>
        <w:t>subband</w:t>
      </w:r>
      <w:proofErr w:type="spellEnd"/>
      <w:r>
        <w:rPr>
          <w:rFonts w:eastAsiaTheme="minorEastAsia"/>
          <w:i/>
          <w:sz w:val="20"/>
          <w:szCs w:val="20"/>
        </w:rPr>
        <w:t>-level partial frequency sounding</w:t>
      </w:r>
    </w:p>
    <w:p w14:paraId="01B0582D"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65336D58"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Microsoft YaHei"/>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w:t>
            </w:r>
            <w:proofErr w:type="spellStart"/>
            <w:r>
              <w:rPr>
                <w:rFonts w:eastAsia="Microsoft YaHei"/>
                <w:sz w:val="20"/>
                <w:szCs w:val="20"/>
              </w:rPr>
              <w:t>gNB</w:t>
            </w:r>
            <w:proofErr w:type="spellEnd"/>
            <w:r>
              <w:rPr>
                <w:rFonts w:eastAsia="Microsoft YaHei"/>
                <w:sz w:val="20"/>
                <w:szCs w:val="20"/>
              </w:rPr>
              <w:t xml:space="preserve">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p>
    <w:p w14:paraId="0FEE0139" w14:textId="77777777" w:rsidR="007F1B01" w:rsidRDefault="007F1B01">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hint="eastAsia"/>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for </w:t>
            </w:r>
            <w:proofErr w:type="spellStart"/>
            <w:r>
              <w:rPr>
                <w:rFonts w:eastAsia="Microsoft YaHei"/>
                <w:sz w:val="20"/>
                <w:szCs w:val="20"/>
              </w:rPr>
              <w:t>gNB</w:t>
            </w:r>
            <w:proofErr w:type="spellEnd"/>
            <w:r>
              <w:rPr>
                <w:rFonts w:eastAsia="Microsoft YaHei"/>
                <w:sz w:val="20"/>
                <w:szCs w:val="20"/>
              </w:rPr>
              <w:t xml:space="preserve">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w:t>
            </w:r>
            <w:proofErr w:type="spellStart"/>
            <w:r>
              <w:rPr>
                <w:rFonts w:eastAsia="Microsoft YaHei"/>
                <w:sz w:val="20"/>
                <w:szCs w:val="20"/>
              </w:rPr>
              <w:t>th</w:t>
            </w:r>
            <w:proofErr w:type="spellEnd"/>
            <w:r>
              <w:rPr>
                <w:rFonts w:eastAsia="Microsoft YaHei"/>
                <w:sz w:val="20"/>
                <w:szCs w:val="20"/>
              </w:rPr>
              <w:t xml:space="preserve"> available slot counting from a reference slot, where </w:t>
            </w:r>
            <w:proofErr w:type="spellStart"/>
            <w:r>
              <w:rPr>
                <w:rFonts w:eastAsia="Microsoft YaHei"/>
                <w:sz w:val="20"/>
                <w:szCs w:val="20"/>
              </w:rPr>
              <w:t>t</w:t>
            </w:r>
            <w:proofErr w:type="spellEnd"/>
            <w:r>
              <w:rPr>
                <w:rFonts w:eastAsia="Microsoft YaHei"/>
                <w:sz w:val="20"/>
                <w:szCs w:val="20"/>
              </w:rPr>
              <w:t xml:space="preserve"> is indicated from DCI, or RRC (if only one value of t is configured in RRC), and the candidate values of t at least </w:t>
            </w:r>
            <w:r>
              <w:rPr>
                <w:rFonts w:eastAsia="Microsoft YaHei"/>
                <w:sz w:val="20"/>
                <w:szCs w:val="20"/>
              </w:rPr>
              <w:lastRenderedPageBreak/>
              <w:t>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7A3EA260" w14:textId="77777777" w:rsidR="007F1B01" w:rsidRDefault="008F0B14">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3037" w14:textId="77777777" w:rsidR="00CB39FA" w:rsidRDefault="00CB39FA" w:rsidP="00606776">
      <w:pPr>
        <w:spacing w:after="0" w:line="240" w:lineRule="auto"/>
      </w:pPr>
      <w:r>
        <w:separator/>
      </w:r>
    </w:p>
  </w:endnote>
  <w:endnote w:type="continuationSeparator" w:id="0">
    <w:p w14:paraId="35BB0234" w14:textId="77777777" w:rsidR="00CB39FA" w:rsidRDefault="00CB39FA"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7B2A" w14:textId="77777777" w:rsidR="00CB39FA" w:rsidRDefault="00CB39FA" w:rsidP="00606776">
      <w:pPr>
        <w:spacing w:after="0" w:line="240" w:lineRule="auto"/>
      </w:pPr>
      <w:r>
        <w:separator/>
      </w:r>
    </w:p>
  </w:footnote>
  <w:footnote w:type="continuationSeparator" w:id="0">
    <w:p w14:paraId="0143A55E" w14:textId="77777777" w:rsidR="00CB39FA" w:rsidRDefault="00CB39FA"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7"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6"/>
  </w:num>
  <w:num w:numId="2">
    <w:abstractNumId w:val="7"/>
  </w:num>
  <w:num w:numId="3">
    <w:abstractNumId w:val="12"/>
  </w:num>
  <w:num w:numId="4">
    <w:abstractNumId w:val="2"/>
  </w:num>
  <w:num w:numId="5">
    <w:abstractNumId w:val="1"/>
  </w:num>
  <w:num w:numId="6">
    <w:abstractNumId w:val="10"/>
  </w:num>
  <w:num w:numId="7">
    <w:abstractNumId w:val="0"/>
  </w:num>
  <w:num w:numId="8">
    <w:abstractNumId w:val="11"/>
  </w:num>
  <w:num w:numId="9">
    <w:abstractNumId w:val="5"/>
  </w:num>
  <w:num w:numId="10">
    <w:abstractNumId w:val="4"/>
  </w:num>
  <w:num w:numId="11">
    <w:abstractNumId w:val="13"/>
  </w:num>
  <w:num w:numId="12">
    <w:abstractNumId w:val="1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53EAA"/>
    <w:rsid w:val="00084A3A"/>
    <w:rsid w:val="00294814"/>
    <w:rsid w:val="00302DC5"/>
    <w:rsid w:val="00367303"/>
    <w:rsid w:val="00457EB5"/>
    <w:rsid w:val="00606776"/>
    <w:rsid w:val="00624630"/>
    <w:rsid w:val="00767813"/>
    <w:rsid w:val="007F1B01"/>
    <w:rsid w:val="00864749"/>
    <w:rsid w:val="008F0B14"/>
    <w:rsid w:val="00A72B79"/>
    <w:rsid w:val="00AE53EF"/>
    <w:rsid w:val="00B71E0B"/>
    <w:rsid w:val="00C15CCE"/>
    <w:rsid w:val="00C613FB"/>
    <w:rsid w:val="00C94630"/>
    <w:rsid w:val="00CB0FB5"/>
    <w:rsid w:val="00CB39FA"/>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9B73460-863C-4ECB-9C45-70C9573C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Muhammad Abdelghaffar (Khairy)</cp:lastModifiedBy>
  <cp:revision>12</cp:revision>
  <dcterms:created xsi:type="dcterms:W3CDTF">2020-11-05T14:45:00Z</dcterms:created>
  <dcterms:modified xsi:type="dcterms:W3CDTF">2020-11-05T23:57:00Z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