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snapToGrid w:val="false"/>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0xxxx</w:t>
      </w:r>
    </w:p>
    <w:p>
      <w:pPr>
        <w:pStyle w:val="Normal"/>
        <w:snapToGrid w:val="false"/>
        <w:spacing w:lineRule="auto" w:line="240"/>
        <w:rPr>
          <w:rFonts w:ascii="Arial" w:hAnsi="Arial" w:eastAsia="MS Mincho"/>
          <w:b/>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cs="Arial" w:ascii="Arial" w:hAnsi="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pPr>
        <w:pStyle w:val="Normal"/>
        <w:snapToGrid w:val="false"/>
        <w:spacing w:lineRule="auto" w:line="240" w:before="0" w:after="0"/>
        <w:rPr>
          <w:rFonts w:ascii="Arial" w:hAnsi="Arial" w:eastAsia="MS Mincho"/>
          <w:b/>
          <w:b/>
          <w:lang w:eastAsia="ja-JP"/>
        </w:rPr>
      </w:pPr>
      <w:r>
        <w:rPr>
          <w:rFonts w:eastAsia="MS Mincho" w:ascii="Arial" w:hAnsi="Arial"/>
          <w:b/>
          <w:lang w:eastAsia="ja-JP"/>
        </w:rPr>
        <w:t>Source:              Moderator (ZTE)</w:t>
      </w:r>
    </w:p>
    <w:p>
      <w:pPr>
        <w:pStyle w:val="Header"/>
        <w:snapToGrid w:val="false"/>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pPr>
        <w:pStyle w:val="Header"/>
        <w:snapToGrid w:val="false"/>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pPr>
        <w:pStyle w:val="Header"/>
        <w:snapToGrid w:val="false"/>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pPr>
        <w:pStyle w:val="Header"/>
        <w:snapToGrid w:val="false"/>
        <w:rPr>
          <w:rFonts w:eastAsia="宋体"/>
          <w:szCs w:val="20"/>
          <w:lang w:eastAsia="zh-CN"/>
        </w:rPr>
      </w:pPr>
      <w:r>
        <w:rPr>
          <w:rFonts w:eastAsia="宋体"/>
          <w:szCs w:val="20"/>
          <w:lang w:eastAsia="zh-CN"/>
        </w:rPr>
      </w:r>
    </w:p>
    <w:p>
      <w:pPr>
        <w:pStyle w:val="Normal"/>
        <w:pBdr>
          <w:bottom w:val="single" w:sz="4" w:space="1" w:color="000000"/>
        </w:pBdr>
        <w:tabs>
          <w:tab w:val="left" w:pos="2552" w:leader="none"/>
        </w:tabs>
        <w:snapToGrid w:val="false"/>
        <w:spacing w:lineRule="auto" w:line="240"/>
        <w:rPr>
          <w:sz w:val="4"/>
          <w:szCs w:val="4"/>
        </w:rPr>
      </w:pPr>
      <w:r>
        <w:rPr>
          <w:sz w:val="4"/>
          <w:szCs w:val="4"/>
        </w:rPr>
      </w:r>
    </w:p>
    <w:p>
      <w:pPr>
        <w:pStyle w:val="Heading1"/>
        <w:numPr>
          <w:ilvl w:val="0"/>
          <w:numId w:val="2"/>
        </w:numPr>
        <w:tabs>
          <w:tab w:val="clear" w:pos="432"/>
        </w:tabs>
        <w:snapToGrid w:val="false"/>
        <w:spacing w:before="120" w:after="120"/>
        <w:ind w:left="431" w:hanging="431"/>
        <w:rPr>
          <w:sz w:val="28"/>
          <w:lang w:val="en-US"/>
        </w:rPr>
      </w:pPr>
      <w:r>
        <w:rPr>
          <w:sz w:val="28"/>
          <w:lang w:val="en-US"/>
        </w:rPr>
        <w:t>Introduction</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pPr>
        <w:pStyle w:val="Normal"/>
        <w:snapToGrid w:val="false"/>
        <w:spacing w:lineRule="auto" w:line="240" w:before="120" w:after="120"/>
        <w:jc w:val="both"/>
        <w:rPr>
          <w:rFonts w:eastAsia="微软雅黑"/>
          <w:i/>
          <w:i/>
          <w:sz w:val="20"/>
          <w:szCs w:val="20"/>
          <w:lang w:val="en-GB"/>
        </w:rPr>
      </w:pPr>
      <w:r>
        <w:rPr>
          <w:rFonts w:eastAsia="微软雅黑"/>
          <w:i/>
          <w:sz w:val="20"/>
          <w:szCs w:val="20"/>
          <w:lang w:val="en-GB"/>
        </w:rPr>
        <w:t>3. Enhancement on SRS, targeting both FR1 and FR2:</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Specify SRS switching for up to 8 antennas (e.g., xTyR, x = {1, 2, 4} and y = {6, 8})</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The relevant agreements made in previous RAN1 meetings are given in Appendix.</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r>
    </w:p>
    <w:p>
      <w:pPr>
        <w:pStyle w:val="Heading1"/>
        <w:numPr>
          <w:ilvl w:val="0"/>
          <w:numId w:val="2"/>
        </w:numPr>
        <w:tabs>
          <w:tab w:val="clear" w:pos="432"/>
        </w:tabs>
        <w:snapToGrid w:val="false"/>
        <w:spacing w:before="120" w:after="120"/>
        <w:ind w:left="431" w:hanging="431"/>
        <w:rPr>
          <w:sz w:val="28"/>
          <w:lang w:val="en-US"/>
        </w:rPr>
      </w:pPr>
      <w:r>
        <w:rPr>
          <w:sz w:val="28"/>
          <w:lang w:val="en-US"/>
        </w:rPr>
        <w:t>Flexibility enhancements</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SRS triggering offset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Void.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Flexible DCI</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Void.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Usage/overhead reduction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pPr>
        <w:pStyle w:val="Normal"/>
        <w:widowControl w:val="false"/>
        <w:snapToGrid w:val="false"/>
        <w:spacing w:lineRule="auto" w:line="240" w:before="120" w:after="120"/>
        <w:jc w:val="center"/>
        <w:rPr>
          <w:rFonts w:eastAsia="微软雅黑"/>
          <w:sz w:val="20"/>
          <w:szCs w:val="20"/>
        </w:rPr>
      </w:pPr>
      <w:r>
        <w:rPr>
          <w:rFonts w:eastAsia="微软雅黑"/>
          <w:sz w:val="20"/>
          <w:szCs w:val="20"/>
        </w:rPr>
        <w:t>Table 2-3 Summary of companies’ views on SRS resource reuse enhancement</w:t>
      </w:r>
    </w:p>
    <w:tbl>
      <w:tblPr>
        <w:tblStyle w:val="25"/>
        <w:tblW w:w="9350" w:type="dxa"/>
        <w:jc w:val="center"/>
        <w:tblInd w:w="0" w:type="dxa"/>
        <w:tblCellMar>
          <w:top w:w="0" w:type="dxa"/>
          <w:left w:w="108" w:type="dxa"/>
          <w:bottom w:w="0" w:type="dxa"/>
          <w:right w:w="108" w:type="dxa"/>
        </w:tblCellMar>
      </w:tblPr>
      <w:tblGrid>
        <w:gridCol w:w="2312"/>
        <w:gridCol w:w="872"/>
        <w:gridCol w:w="6166"/>
      </w:tblGrid>
      <w:tr>
        <w:trPr/>
        <w:tc>
          <w:tcPr>
            <w:tcW w:w="231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Number</w:t>
            </w:r>
          </w:p>
        </w:tc>
        <w:tc>
          <w:tcPr>
            <w:tcW w:w="616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r>
      <w:tr>
        <w:trPr/>
        <w:tc>
          <w:tcPr>
            <w:tcW w:w="231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specification solution to reuse same SRS resource(s) for multiple usages</w:t>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12</w:t>
            </w:r>
          </w:p>
        </w:tc>
        <w:tc>
          <w:tcPr>
            <w:tcW w:w="616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trPr/>
        <w:tc>
          <w:tcPr>
            <w:tcW w:w="231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Do not support or need further study</w:t>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10</w:t>
            </w:r>
          </w:p>
        </w:tc>
        <w:tc>
          <w:tcPr>
            <w:tcW w:w="616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Futurewei, Huawei, HiSilicon, Qualcomm, OPPO, ZTE, Xiaomi, LG, Lenovo, MotM</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It seems more input and discussion are needed to draw conclusion for this issue.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pPr>
        <w:pStyle w:val="Normal"/>
        <w:widowControl w:val="false"/>
        <w:snapToGrid w:val="false"/>
        <w:spacing w:lineRule="auto" w:line="240" w:before="120" w:after="120"/>
        <w:jc w:val="both"/>
        <w:rPr>
          <w:rFonts w:eastAsia="微软雅黑"/>
          <w:b/>
          <w:b/>
          <w:i/>
          <w:i/>
          <w:sz w:val="20"/>
          <w:szCs w:val="20"/>
        </w:rPr>
      </w:pPr>
      <w:r>
        <w:rPr>
          <w:rFonts w:eastAsia="微软雅黑"/>
          <w:b/>
          <w:i/>
          <w:sz w:val="20"/>
          <w:szCs w:val="20"/>
          <w:highlight w:val="yellow"/>
        </w:rPr>
        <w:t>Proposed conclusion:</w:t>
      </w:r>
    </w:p>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are encouraged to provide feedback on this proposed conclusion, esp. on the following questions</w:t>
      </w:r>
    </w:p>
    <w:p>
      <w:pPr>
        <w:pStyle w:val="ListParagraph"/>
        <w:widowControl w:val="false"/>
        <w:numPr>
          <w:ilvl w:val="0"/>
          <w:numId w:val="4"/>
        </w:numPr>
        <w:snapToGrid w:val="false"/>
        <w:spacing w:lineRule="auto" w:line="240" w:before="120" w:after="120"/>
        <w:jc w:val="both"/>
        <w:rPr>
          <w:rFonts w:eastAsia="微软雅黑"/>
          <w:sz w:val="20"/>
          <w:szCs w:val="20"/>
          <w:u w:val="single"/>
        </w:rPr>
      </w:pPr>
      <w:r>
        <w:rPr>
          <w:rFonts w:eastAsia="微软雅黑"/>
          <w:sz w:val="20"/>
          <w:szCs w:val="20"/>
          <w:u w:val="single"/>
        </w:rPr>
        <w:t>Whether you can agree with the proposed conclusion</w:t>
      </w:r>
    </w:p>
    <w:p>
      <w:pPr>
        <w:pStyle w:val="ListParagraph"/>
        <w:widowControl w:val="false"/>
        <w:numPr>
          <w:ilvl w:val="1"/>
          <w:numId w:val="4"/>
        </w:numPr>
        <w:snapToGrid w:val="false"/>
        <w:spacing w:lineRule="auto" w:line="240" w:before="120" w:after="120"/>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pPr>
        <w:pStyle w:val="ListParagraph"/>
        <w:widowControl w:val="false"/>
        <w:numPr>
          <w:ilvl w:val="1"/>
          <w:numId w:val="4"/>
        </w:numPr>
        <w:snapToGrid w:val="false"/>
        <w:spacing w:lineRule="auto" w:line="240" w:before="120" w:after="120"/>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25"/>
        <w:tblW w:w="9350" w:type="dxa"/>
        <w:jc w:val="left"/>
        <w:tblInd w:w="0" w:type="dxa"/>
        <w:tblCellMar>
          <w:top w:w="0" w:type="dxa"/>
          <w:left w:w="108" w:type="dxa"/>
          <w:bottom w:w="0" w:type="dxa"/>
          <w:right w:w="108" w:type="dxa"/>
        </w:tblCellMar>
      </w:tblPr>
      <w:tblGrid>
        <w:gridCol w:w="2403"/>
        <w:gridCol w:w="6946"/>
      </w:tblGrid>
      <w:tr>
        <w:trPr/>
        <w:tc>
          <w:tcPr>
            <w:tcW w:w="2403"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c>
          <w:tcPr>
            <w:tcW w:w="6946"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Views</w:t>
            </w:r>
          </w:p>
        </w:tc>
      </w:tr>
      <w:tr>
        <w:trPr/>
        <w:tc>
          <w:tcPr>
            <w:tcW w:w="2403"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Huawei, HiSilicon</w:t>
            </w:r>
          </w:p>
        </w:tc>
        <w:tc>
          <w:tcPr>
            <w:tcW w:w="6946"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trPr/>
        <w:tc>
          <w:tcPr>
            <w:tcW w:w="2403"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OPPO</w:t>
            </w:r>
          </w:p>
        </w:tc>
        <w:tc>
          <w:tcPr>
            <w:tcW w:w="6946"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pPr>
              <w:pStyle w:val="Normal"/>
              <w:widowControl w:val="false"/>
              <w:snapToGrid w:val="false"/>
              <w:spacing w:lineRule="auto" w:line="240" w:before="120" w:after="120"/>
              <w:rPr>
                <w:rFonts w:eastAsia="微软雅黑"/>
                <w:sz w:val="20"/>
                <w:szCs w:val="20"/>
              </w:rPr>
            </w:pPr>
            <w:r>
              <w:rPr>
                <w:rFonts w:eastAsia="微软雅黑"/>
                <w:sz w:val="20"/>
                <w:szCs w:val="20"/>
              </w:rPr>
            </w:r>
          </w:p>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pPr>
              <w:pStyle w:val="Normal"/>
              <w:widowControl w:val="false"/>
              <w:snapToGrid w:val="false"/>
              <w:spacing w:lineRule="auto" w:line="240" w:before="120" w:after="120"/>
              <w:rPr>
                <w:rFonts w:eastAsia="微软雅黑"/>
                <w:sz w:val="20"/>
                <w:szCs w:val="20"/>
              </w:rPr>
            </w:pPr>
            <w:r>
              <w:rPr>
                <w:rFonts w:eastAsia="微软雅黑"/>
                <w:sz w:val="20"/>
                <w:szCs w:val="20"/>
              </w:rPr>
            </w:r>
          </w:p>
        </w:tc>
      </w:tr>
      <w:tr>
        <w:trPr/>
        <w:tc>
          <w:tcPr>
            <w:tcW w:w="2403" w:type="dxa"/>
            <w:tcBorders/>
            <w:shd w:color="auto" w:fill="FFFFFF" w:themeFill="background1" w:val="clear"/>
          </w:tcPr>
          <w:p>
            <w:pPr>
              <w:pStyle w:val="Normal"/>
              <w:widowControl w:val="false"/>
              <w:snapToGrid w:val="false"/>
              <w:spacing w:lineRule="auto" w:line="240" w:before="120" w:after="120"/>
              <w:rPr>
                <w:rFonts w:ascii="Times New Roman" w:hAnsi="Times New Roman" w:eastAsia="微软雅黑" w:cs="Times New Roman"/>
                <w:sz w:val="20"/>
                <w:szCs w:val="20"/>
                <w:lang w:val="en-US" w:eastAsia="zh-CN" w:bidi="ar-SA"/>
              </w:rPr>
            </w:pPr>
            <w:r>
              <w:rPr>
                <w:rFonts w:eastAsia="微软雅黑"/>
                <w:sz w:val="20"/>
                <w:szCs w:val="20"/>
              </w:rPr>
              <w:t>ZTE</w:t>
            </w:r>
          </w:p>
        </w:tc>
        <w:tc>
          <w:tcPr>
            <w:tcW w:w="6946"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We agree with the proposed conclusion. </w:t>
            </w:r>
          </w:p>
          <w:p>
            <w:pPr>
              <w:pStyle w:val="ListParagraph"/>
              <w:widowControl w:val="false"/>
              <w:numPr>
                <w:ilvl w:val="0"/>
                <w:numId w:val="4"/>
              </w:numPr>
              <w:snapToGrid w:val="false"/>
              <w:spacing w:lineRule="auto" w:line="240" w:before="120" w:after="120"/>
              <w:rPr>
                <w:rFonts w:eastAsia="微软雅黑"/>
                <w:sz w:val="20"/>
                <w:szCs w:val="20"/>
              </w:rPr>
            </w:pPr>
            <w:r>
              <w:rPr>
                <w:rFonts w:eastAsia="微软雅黑"/>
                <w:sz w:val="20"/>
                <w:szCs w:val="20"/>
              </w:rPr>
              <w:t>We think it is sufficient to support reusing same nT=nR SRS resource for multiple usages based on this conclusion.</w:t>
            </w:r>
            <w:r>
              <w:rPr>
                <w:rFonts w:eastAsia="微软雅黑"/>
                <w:sz w:val="20"/>
                <w:szCs w:val="20"/>
                <w:lang w:val="en-US" w:eastAsia="zh-CN"/>
              </w:rPr>
              <w:t xml:space="preserve"> E</w:t>
            </w:r>
            <w:r>
              <w:rPr>
                <w:rFonts w:eastAsia="微软雅黑"/>
                <w:color w:val="auto"/>
                <w:sz w:val="20"/>
                <w:szCs w:val="20"/>
                <w:lang w:val="en-US" w:eastAsia="zh-CN"/>
              </w:rPr>
              <w:t xml:space="preserve">xcept saving a bit RRC overhead, we fail to see the clear benefit of spec effort for this case.  </w:t>
            </w:r>
            <w:r>
              <w:rPr>
                <w:rFonts w:eastAsia="微软雅黑"/>
                <w:color w:val="C00000"/>
                <w:sz w:val="20"/>
                <w:szCs w:val="20"/>
                <w:lang w:val="en-US" w:eastAsia="zh-CN"/>
              </w:rPr>
              <w:t xml:space="preserve">   </w:t>
            </w:r>
          </w:p>
          <w:p>
            <w:pPr>
              <w:pStyle w:val="Normal"/>
              <w:widowControl w:val="false"/>
              <w:snapToGrid w:val="false"/>
              <w:spacing w:lineRule="auto" w:line="240" w:before="120" w:after="120"/>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pPr>
              <w:pStyle w:val="Normal"/>
              <w:widowControl w:val="false"/>
              <w:snapToGrid w:val="false"/>
              <w:spacing w:lineRule="auto" w:line="240" w:before="120" w:after="120"/>
              <w:rPr>
                <w:rFonts w:eastAsia="微软雅黑"/>
                <w:sz w:val="20"/>
                <w:szCs w:val="20"/>
                <w:lang w:val="en-US" w:eastAsia="zh-CN"/>
              </w:rPr>
            </w:pPr>
            <w:r>
              <w:rPr>
                <w:rFonts w:eastAsia="微软雅黑"/>
                <w:sz w:val="20"/>
                <w:szCs w:val="20"/>
                <w:lang w:val="en-US" w:eastAsia="zh-CN"/>
              </w:rPr>
            </w:r>
          </w:p>
        </w:tc>
      </w:tr>
      <w:tr>
        <w:trPr/>
        <w:tc>
          <w:tcPr>
            <w:tcW w:w="2403" w:type="dxa"/>
            <w:tcBorders>
              <w:top w:val="nil"/>
            </w:tcBorders>
            <w:shd w:color="auto" w:fill="FFFFFF" w:themeFill="background1" w:val="clear"/>
          </w:tcPr>
          <w:p>
            <w:pPr>
              <w:pStyle w:val="Normal"/>
              <w:widowControl w:val="false"/>
              <w:snapToGrid w:val="false"/>
              <w:spacing w:lineRule="auto" w:line="240" w:before="120" w:after="120"/>
              <w:rPr/>
            </w:pPr>
            <w:r>
              <w:rPr/>
              <w:t>CEWiT</w:t>
            </w:r>
          </w:p>
        </w:tc>
        <w:tc>
          <w:tcPr>
            <w:tcW w:w="6946" w:type="dxa"/>
            <w:tcBorders>
              <w:top w:val="nil"/>
            </w:tcBorders>
            <w:shd w:color="auto" w:fill="FFFFFF" w:themeFill="background1" w:val="clear"/>
          </w:tcPr>
          <w:p>
            <w:pPr>
              <w:pStyle w:val="Normal"/>
              <w:widowControl w:val="false"/>
              <w:snapToGrid w:val="false"/>
              <w:spacing w:lineRule="auto" w:line="240" w:before="120" w:after="120"/>
              <w:rPr>
                <w:rFonts w:ascii="Times New Roman" w:hAnsi="Times New Roman" w:eastAsia="微软雅黑" w:cs="Times New Roman"/>
                <w:sz w:val="20"/>
                <w:szCs w:val="20"/>
                <w:lang w:val="en-US" w:eastAsia="zh-CN" w:bidi="ar-SA"/>
              </w:rPr>
            </w:pPr>
            <w:r>
              <w:rPr>
                <w:rFonts w:eastAsia="微软雅黑" w:cs="Times New Roman"/>
                <w:sz w:val="20"/>
                <w:szCs w:val="20"/>
                <w:lang w:val="en-US" w:eastAsia="zh-CN" w:bidi="ar-SA"/>
              </w:rPr>
              <w:t>T</w:t>
            </w:r>
            <w:r>
              <w:rPr>
                <w:rFonts w:eastAsia="微软雅黑" w:cs="Times New Roman"/>
                <w:sz w:val="20"/>
                <w:szCs w:val="20"/>
                <w:lang w:val="en-US" w:eastAsia="zh-CN" w:bidi="ar-SA"/>
              </w:rPr>
              <w:t>his proposal only captures a very specific scenario for "</w:t>
            </w:r>
            <w:r>
              <w:rPr>
                <w:rFonts w:eastAsia="微软雅黑" w:cs="Times New Roman"/>
                <w:color w:val="000000"/>
                <w:sz w:val="20"/>
                <w:szCs w:val="20"/>
                <w:u w:val="single"/>
                <w:lang w:val="en-US" w:eastAsia="zh-CN" w:bidi="ar-SA"/>
              </w:rPr>
              <w:t>reusing same SRS resource(s) for multiple usages</w:t>
            </w:r>
            <w:r>
              <w:rPr>
                <w:rFonts w:eastAsia="微软雅黑" w:cs="Times New Roman"/>
                <w:sz w:val="20"/>
                <w:szCs w:val="20"/>
                <w:lang w:val="en-US" w:eastAsia="zh-CN" w:bidi="ar-SA"/>
              </w:rPr>
              <w:t xml:space="preserve">". However, there are other scenarios (eg. reciprocity/multi-TRP etc) where reduction of SRS resources is possible by reusing and it can be under any usage category </w:t>
            </w:r>
            <w:r>
              <w:rPr>
                <w:rFonts w:eastAsia="微软雅黑" w:cs="Times New Roman"/>
                <w:sz w:val="20"/>
                <w:szCs w:val="20"/>
                <w:lang w:val="en-US" w:eastAsia="zh-CN" w:bidi="ar-SA"/>
              </w:rPr>
              <w:t>(like beam management/non-codebook)</w:t>
            </w:r>
            <w:r>
              <w:rPr>
                <w:rFonts w:eastAsia="微软雅黑" w:cs="Times New Roman"/>
                <w:sz w:val="20"/>
                <w:szCs w:val="20"/>
                <w:lang w:val="en-US" w:eastAsia="zh-CN" w:bidi="ar-SA"/>
              </w:rPr>
              <w:t>. Thus, we do not support the down-selection of usage. There should be a provision to accommodate other applicable usages as well wh</w:t>
            </w:r>
            <w:r>
              <w:rPr>
                <w:rFonts w:eastAsia="微软雅黑" w:cs="Times New Roman"/>
                <w:sz w:val="20"/>
                <w:szCs w:val="20"/>
                <w:lang w:val="en-US" w:eastAsia="zh-CN" w:bidi="ar-SA"/>
              </w:rPr>
              <w:t>ere overhead can be reduced</w:t>
            </w:r>
            <w:r>
              <w:rPr>
                <w:rFonts w:eastAsia="微软雅黑" w:cs="Times New Roman"/>
                <w:sz w:val="20"/>
                <w:szCs w:val="20"/>
                <w:lang w:val="en-US" w:eastAsia="zh-CN" w:bidi="ar-SA"/>
              </w:rPr>
              <w:t xml:space="preserve">. </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Flexible antenna switching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pPr>
        <w:pStyle w:val="Normal"/>
        <w:widowControl w:val="false"/>
        <w:snapToGrid w:val="false"/>
        <w:spacing w:lineRule="auto" w:line="240" w:before="120" w:after="120"/>
        <w:jc w:val="center"/>
        <w:rPr>
          <w:rFonts w:eastAsia="微软雅黑"/>
          <w:sz w:val="20"/>
          <w:szCs w:val="20"/>
        </w:rPr>
      </w:pPr>
      <w:r>
        <w:rPr>
          <w:rFonts w:eastAsia="微软雅黑"/>
          <w:sz w:val="20"/>
          <w:szCs w:val="20"/>
        </w:rPr>
        <w:t>Table 2-4 Summary of companies’ views on antenna switching flexibility enhancement</w:t>
      </w:r>
    </w:p>
    <w:tbl>
      <w:tblPr>
        <w:tblStyle w:val="25"/>
        <w:tblW w:w="9350" w:type="dxa"/>
        <w:jc w:val="center"/>
        <w:tblInd w:w="0" w:type="dxa"/>
        <w:tblCellMar>
          <w:top w:w="0" w:type="dxa"/>
          <w:left w:w="108" w:type="dxa"/>
          <w:bottom w:w="0" w:type="dxa"/>
          <w:right w:w="108" w:type="dxa"/>
        </w:tblCellMar>
      </w:tblPr>
      <w:tblGrid>
        <w:gridCol w:w="4987"/>
        <w:gridCol w:w="872"/>
        <w:gridCol w:w="3491"/>
      </w:tblGrid>
      <w:tr>
        <w:trPr/>
        <w:tc>
          <w:tcPr>
            <w:tcW w:w="498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Number</w:t>
            </w:r>
          </w:p>
        </w:tc>
        <w:tc>
          <w:tcPr>
            <w:tcW w:w="3491"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r>
      <w:tr>
        <w:trPr/>
        <w:tc>
          <w:tcPr>
            <w:tcW w:w="498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indicating a subset of Tx/Rx antennas for SRS antenna switching via MAC CE or DCI</w:t>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6</w:t>
            </w:r>
          </w:p>
        </w:tc>
        <w:tc>
          <w:tcPr>
            <w:tcW w:w="3491"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Qualcomm, ZTE, Intel, Samsung, Lenovo, Motorola Mobility</w:t>
            </w:r>
          </w:p>
        </w:tc>
      </w:tr>
      <w:tr>
        <w:trPr/>
        <w:tc>
          <w:tcPr>
            <w:tcW w:w="498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Not supportive</w:t>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5</w:t>
            </w:r>
          </w:p>
        </w:tc>
        <w:tc>
          <w:tcPr>
            <w:tcW w:w="3491"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Nokia, NSB, Huawei, HiSilicon, LG, CATT</w:t>
            </w:r>
          </w:p>
        </w:tc>
      </w:tr>
    </w:tbl>
    <w:p>
      <w:pPr>
        <w:pStyle w:val="Normal"/>
        <w:widowControl w:val="false"/>
        <w:snapToGrid w:val="false"/>
        <w:spacing w:lineRule="auto" w:line="240" w:before="120" w:after="120"/>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 via MAC CE or DCI.</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i/>
          <w:sz w:val="20"/>
          <w:szCs w:val="20"/>
        </w:rPr>
        <w:t>Study aspects include use cases/benefits, detailed signaling design, etc..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25"/>
        <w:tblW w:w="9350" w:type="dxa"/>
        <w:jc w:val="left"/>
        <w:tblInd w:w="0" w:type="dxa"/>
        <w:tblCellMar>
          <w:top w:w="0" w:type="dxa"/>
          <w:left w:w="108" w:type="dxa"/>
          <w:bottom w:w="0" w:type="dxa"/>
          <w:right w:w="108" w:type="dxa"/>
        </w:tblCellMar>
      </w:tblPr>
      <w:tblGrid>
        <w:gridCol w:w="2403"/>
        <w:gridCol w:w="6946"/>
      </w:tblGrid>
      <w:tr>
        <w:trPr/>
        <w:tc>
          <w:tcPr>
            <w:tcW w:w="2403"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c>
          <w:tcPr>
            <w:tcW w:w="6946"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Views</w:t>
            </w:r>
          </w:p>
        </w:tc>
      </w:tr>
      <w:tr>
        <w:trPr/>
        <w:tc>
          <w:tcPr>
            <w:tcW w:w="2403"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Huawei, HiSilicon</w:t>
            </w:r>
          </w:p>
        </w:tc>
        <w:tc>
          <w:tcPr>
            <w:tcW w:w="694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trPr/>
        <w:tc>
          <w:tcPr>
            <w:tcW w:w="2403" w:type="dxa"/>
            <w:tcBorders/>
            <w:shd w:fill="auto" w:val="clear"/>
          </w:tcPr>
          <w:p>
            <w:pPr>
              <w:pStyle w:val="Normal"/>
              <w:widowControl w:val="false"/>
              <w:snapToGrid w:val="false"/>
              <w:spacing w:lineRule="auto" w:line="240" w:before="120" w:after="120"/>
              <w:rPr>
                <w:rFonts w:ascii="Times New Roman" w:hAnsi="Times New Roman" w:eastAsia="微软雅黑" w:cs="Times New Roman"/>
                <w:sz w:val="20"/>
                <w:szCs w:val="20"/>
                <w:lang w:val="en-US" w:eastAsia="zh-CN" w:bidi="ar-SA"/>
              </w:rPr>
            </w:pPr>
            <w:r>
              <w:rPr>
                <w:rFonts w:eastAsia="微软雅黑"/>
                <w:sz w:val="20"/>
                <w:szCs w:val="20"/>
              </w:rPr>
              <w:t>ZTE</w:t>
            </w:r>
          </w:p>
        </w:tc>
        <w:tc>
          <w:tcPr>
            <w:tcW w:w="6946" w:type="dxa"/>
            <w:tcBorders/>
            <w:shd w:fill="auto" w:val="clear"/>
          </w:tcPr>
          <w:p>
            <w:pPr>
              <w:pStyle w:val="Normal"/>
              <w:widowControl w:val="false"/>
              <w:snapToGrid w:val="false"/>
              <w:spacing w:lineRule="auto" w:line="240" w:before="120" w:after="120"/>
              <w:rPr>
                <w:rFonts w:ascii="Times New Roman" w:hAnsi="Times New Roman" w:eastAsia="微软雅黑" w:cs="Times New Roman"/>
                <w:sz w:val="20"/>
                <w:szCs w:val="20"/>
                <w:lang w:val="en-US" w:eastAsia="zh-CN" w:bidi="ar-SA"/>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trPr/>
        <w:tc>
          <w:tcPr>
            <w:tcW w:w="2403"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r>
          </w:p>
        </w:tc>
        <w:tc>
          <w:tcPr>
            <w:tcW w:w="6946"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Antenna switching up to 8Rx</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Supported configurations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pPr>
        <w:pStyle w:val="ListParagraph"/>
        <w:widowControl w:val="false"/>
        <w:numPr>
          <w:ilvl w:val="0"/>
          <w:numId w:val="6"/>
        </w:numPr>
        <w:snapToGrid w:val="false"/>
        <w:spacing w:lineRule="auto" w:line="240" w:before="120" w:after="120"/>
        <w:jc w:val="both"/>
        <w:rPr>
          <w:rFonts w:eastAsia="微软雅黑"/>
          <w:i/>
          <w:i/>
          <w:sz w:val="20"/>
          <w:szCs w:val="20"/>
        </w:rPr>
      </w:pPr>
      <w:r>
        <w:rPr>
          <w:rFonts w:eastAsia="微软雅黑"/>
          <w:i/>
          <w:sz w:val="20"/>
          <w:szCs w:val="20"/>
        </w:rPr>
        <w:t>Note: companies are encouraged to evaluate directional UE antennas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25"/>
        <w:tblW w:w="9350" w:type="dxa"/>
        <w:jc w:val="left"/>
        <w:tblInd w:w="0" w:type="dxa"/>
        <w:tblCellMar>
          <w:top w:w="0" w:type="dxa"/>
          <w:left w:w="108" w:type="dxa"/>
          <w:bottom w:w="0" w:type="dxa"/>
          <w:right w:w="108" w:type="dxa"/>
        </w:tblCellMar>
      </w:tblPr>
      <w:tblGrid>
        <w:gridCol w:w="2403"/>
        <w:gridCol w:w="6946"/>
      </w:tblGrid>
      <w:tr>
        <w:trPr/>
        <w:tc>
          <w:tcPr>
            <w:tcW w:w="2403"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c>
          <w:tcPr>
            <w:tcW w:w="6946"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Views</w:t>
            </w:r>
          </w:p>
        </w:tc>
      </w:tr>
      <w:tr>
        <w:trPr/>
        <w:tc>
          <w:tcPr>
            <w:tcW w:w="2403"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Huawei, HiSilicon</w:t>
            </w:r>
          </w:p>
        </w:tc>
        <w:tc>
          <w:tcPr>
            <w:tcW w:w="694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pPr>
              <w:pStyle w:val="Normal"/>
              <w:widowControl w:val="false"/>
              <w:snapToGrid w:val="false"/>
              <w:spacing w:lineRule="auto" w:line="240" w:before="120" w:after="120"/>
              <w:rPr>
                <w:rFonts w:eastAsia="微软雅黑"/>
                <w:b/>
                <w:b/>
                <w:sz w:val="20"/>
                <w:szCs w:val="20"/>
              </w:rPr>
            </w:pPr>
            <w:r>
              <w:rPr>
                <w:rFonts w:eastAsia="微软雅黑"/>
                <w:b/>
                <w:sz w:val="20"/>
                <w:szCs w:val="20"/>
              </w:rPr>
              <w:t>A possible revision is that:</w:t>
            </w:r>
          </w:p>
          <w:p>
            <w:pPr>
              <w:pStyle w:val="Normal"/>
              <w:widowControl w:val="false"/>
              <w:snapToGrid w:val="false"/>
              <w:spacing w:lineRule="auto" w:line="240" w:before="120" w:after="120"/>
              <w:jc w:val="both"/>
              <w:rPr>
                <w:rFonts w:eastAsia="微软雅黑"/>
                <w:i/>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pPr>
              <w:pStyle w:val="ListParagraph"/>
              <w:widowControl w:val="false"/>
              <w:numPr>
                <w:ilvl w:val="0"/>
                <w:numId w:val="6"/>
              </w:numPr>
              <w:snapToGrid w:val="false"/>
              <w:spacing w:lineRule="auto" w:line="240" w:before="120" w:after="120"/>
              <w:jc w:val="both"/>
              <w:rPr>
                <w:rFonts w:eastAsia="微软雅黑"/>
                <w:i/>
                <w:i/>
                <w:sz w:val="20"/>
                <w:szCs w:val="20"/>
              </w:rPr>
            </w:pPr>
            <w:r>
              <w:rPr>
                <w:rFonts w:eastAsia="微软雅黑"/>
                <w:i/>
                <w:sz w:val="20"/>
                <w:szCs w:val="20"/>
              </w:rPr>
              <w:t>Note: companies are encouraged to evaluate directional UE antennas</w:t>
            </w:r>
          </w:p>
          <w:p>
            <w:pPr>
              <w:pStyle w:val="ListParagraph"/>
              <w:widowControl w:val="false"/>
              <w:numPr>
                <w:ilvl w:val="0"/>
                <w:numId w:val="6"/>
              </w:numPr>
              <w:snapToGrid w:val="false"/>
              <w:spacing w:lineRule="auto" w:line="240" w:before="120" w:after="120"/>
              <w:jc w:val="both"/>
              <w:rPr>
                <w:rFonts w:eastAsia="微软雅黑"/>
                <w:i/>
                <w:i/>
                <w:color w:val="FF0000"/>
                <w:sz w:val="20"/>
                <w:szCs w:val="20"/>
              </w:rPr>
            </w:pPr>
            <w:r>
              <w:rPr>
                <w:rFonts w:eastAsia="微软雅黑"/>
                <w:i/>
                <w:color w:val="FF0000"/>
                <w:sz w:val="20"/>
                <w:szCs w:val="20"/>
              </w:rPr>
              <w:t>Study the practical physical antenna mappings and workable switching for 4T6R, and decide whether support 4T6R in RAN1#104-e.</w:t>
            </w:r>
          </w:p>
        </w:tc>
      </w:tr>
      <w:tr>
        <w:trPr/>
        <w:tc>
          <w:tcPr>
            <w:tcW w:w="2403"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OPPO</w:t>
            </w:r>
          </w:p>
        </w:tc>
        <w:tc>
          <w:tcPr>
            <w:tcW w:w="694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We don’t support 4T6R, but can keep open and follow majority view on 4T6R.</w:t>
            </w:r>
          </w:p>
        </w:tc>
      </w:tr>
      <w:tr>
        <w:trPr/>
        <w:tc>
          <w:tcPr>
            <w:tcW w:w="2403" w:type="dxa"/>
            <w:tcBorders/>
            <w:shd w:fill="auto" w:val="clear"/>
          </w:tcPr>
          <w:p>
            <w:pPr>
              <w:pStyle w:val="Normal"/>
              <w:widowControl w:val="false"/>
              <w:snapToGrid w:val="false"/>
              <w:spacing w:lineRule="auto" w:line="240" w:before="120" w:after="120"/>
              <w:rPr>
                <w:rFonts w:ascii="Times New Roman" w:hAnsi="Times New Roman" w:eastAsia="微软雅黑" w:cs="Times New Roman"/>
                <w:sz w:val="20"/>
                <w:szCs w:val="20"/>
                <w:lang w:val="en-US" w:eastAsia="zh-CN" w:bidi="ar-SA"/>
              </w:rPr>
            </w:pPr>
            <w:r>
              <w:rPr>
                <w:rFonts w:eastAsia="微软雅黑"/>
                <w:sz w:val="20"/>
                <w:szCs w:val="20"/>
              </w:rPr>
              <w:t>ZTE</w:t>
            </w:r>
          </w:p>
        </w:tc>
        <w:tc>
          <w:tcPr>
            <w:tcW w:w="6946" w:type="dxa"/>
            <w:tcBorders/>
            <w:shd w:fill="auto" w:val="clear"/>
          </w:tcPr>
          <w:p>
            <w:pPr>
              <w:pStyle w:val="Normal"/>
              <w:widowControl w:val="false"/>
              <w:snapToGrid w:val="false"/>
              <w:spacing w:lineRule="auto" w:line="240" w:before="120" w:after="120"/>
              <w:rPr>
                <w:rFonts w:eastAsia="微软雅黑"/>
                <w:sz w:val="20"/>
                <w:szCs w:val="20"/>
                <w:lang w:val="en-US" w:eastAsia="zh-CN"/>
              </w:rPr>
            </w:pPr>
            <w:r>
              <w:rPr>
                <w:rFonts w:eastAsia="微软雅黑"/>
                <w:sz w:val="20"/>
                <w:szCs w:val="20"/>
                <w:lang w:val="en-US" w:eastAsia="zh-CN"/>
              </w:rPr>
              <w:t xml:space="preserve">Support the FL proposal. </w:t>
            </w:r>
          </w:p>
          <w:p>
            <w:pPr>
              <w:pStyle w:val="Normal"/>
              <w:widowControl w:val="false"/>
              <w:snapToGrid w:val="false"/>
              <w:spacing w:lineRule="auto" w:line="240" w:before="120" w:after="120"/>
              <w:rPr>
                <w:rFonts w:ascii="Times New Roman" w:hAnsi="Times New Roman" w:eastAsia="微软雅黑" w:cs="Times New Roman"/>
                <w:sz w:val="20"/>
                <w:szCs w:val="20"/>
                <w:lang w:val="en-US" w:eastAsia="zh-CN" w:bidi="ar-SA"/>
              </w:rPr>
            </w:pPr>
            <w:r>
              <w:rPr>
                <w:rFonts w:eastAsia="微软雅黑"/>
                <w:sz w:val="20"/>
                <w:szCs w:val="20"/>
                <w:lang w:val="en-US" w:eastAsia="zh-CN"/>
              </w:rPr>
              <w:t>If some gNB or UE vendors would not deploy 4T6R, it is fine since all above configurations will be optional UE features anyway. So w</w:t>
            </w:r>
            <w:r>
              <w:rPr>
                <w:rFonts w:eastAsia="微软雅黑"/>
                <w:sz w:val="20"/>
                <w:szCs w:val="20"/>
              </w:rPr>
              <w:t>e think it is at least no harm for specification to support 4T6R. It is future-proof and may give gNB vendors more flexibility to do antenna switching.</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Coverage and capacity enhancements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We have agreed to support at least one scheme from Class 2 and Class 3. The following two proposals are to collect companies’ input on candidate schemes.</w:t>
      </w:r>
    </w:p>
    <w:p>
      <w:pPr>
        <w:pStyle w:val="Normal"/>
        <w:widowControl w:val="false"/>
        <w:snapToGrid w:val="false"/>
        <w:spacing w:lineRule="auto" w:line="240" w:before="120" w:after="120"/>
        <w:jc w:val="both"/>
        <w:rPr>
          <w:rFonts w:eastAsia="" w:eastAsiaTheme="minorEastAsia"/>
          <w:i/>
          <w:i/>
          <w:sz w:val="20"/>
          <w:szCs w:val="20"/>
        </w:rPr>
      </w:pPr>
      <w:r>
        <w:rPr>
          <w:rFonts w:eastAsia="" w:eastAsiaTheme="minorEastAsia"/>
          <w:b/>
          <w:i/>
          <w:sz w:val="20"/>
          <w:szCs w:val="20"/>
          <w:highlight w:val="yellow"/>
        </w:rPr>
        <w:t>FL Proposal 6A:</w:t>
      </w:r>
      <w:r>
        <w:rPr>
          <w:rFonts w:eastAsia="" w:eastAsiaTheme="minorEastAsia"/>
          <w:i/>
          <w:sz w:val="20"/>
          <w:szCs w:val="20"/>
        </w:rPr>
        <w:t xml:space="preserve"> Candidate schemes for Class 2 (Increase repetition):</w:t>
      </w:r>
    </w:p>
    <w:p>
      <w:pPr>
        <w:pStyle w:val="ListParagraph"/>
        <w:widowControl w:val="false"/>
        <w:numPr>
          <w:ilvl w:val="0"/>
          <w:numId w:val="7"/>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2-0: Increase the number of repetition symbols in one slot</w:t>
      </w:r>
    </w:p>
    <w:p>
      <w:pPr>
        <w:pStyle w:val="ListParagraph"/>
        <w:widowControl w:val="false"/>
        <w:numPr>
          <w:ilvl w:val="0"/>
          <w:numId w:val="7"/>
        </w:numPr>
        <w:snapToGrid w:val="false"/>
        <w:spacing w:lineRule="auto" w:line="240" w:before="120" w:after="120"/>
        <w:jc w:val="both"/>
        <w:rPr>
          <w:rFonts w:eastAsia="" w:eastAsiaTheme="minorEastAsia"/>
          <w:i/>
          <w:i/>
          <w:sz w:val="20"/>
          <w:szCs w:val="20"/>
        </w:rPr>
      </w:pPr>
      <w:r>
        <w:rPr>
          <w:rFonts w:eastAsia="" w:eastAsiaTheme="minorEastAsia"/>
          <w:i/>
          <w:sz w:val="20"/>
          <w:szCs w:val="20"/>
        </w:rPr>
        <w:t xml:space="preserve">Scheme 2-1: Support </w:t>
      </w:r>
      <w:r>
        <w:rPr>
          <w:rFonts w:eastAsia="Malgun Gothic"/>
          <w:i/>
          <w:sz w:val="20"/>
          <w:szCs w:val="20"/>
          <w:lang w:eastAsia="ko-KR"/>
        </w:rPr>
        <w:t>repetition with TD-OCC</w:t>
      </w:r>
    </w:p>
    <w:p>
      <w:pPr>
        <w:pStyle w:val="ListParagraph"/>
        <w:widowControl w:val="false"/>
        <w:numPr>
          <w:ilvl w:val="0"/>
          <w:numId w:val="7"/>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2-2: Support repetition with CS hopping</w:t>
      </w:r>
    </w:p>
    <w:p>
      <w:pPr>
        <w:pStyle w:val="ListParagraph"/>
        <w:widowControl w:val="false"/>
        <w:numPr>
          <w:ilvl w:val="0"/>
          <w:numId w:val="7"/>
        </w:numPr>
        <w:snapToGrid w:val="false"/>
        <w:spacing w:lineRule="auto" w:line="240" w:before="120" w:after="120"/>
        <w:jc w:val="both"/>
        <w:rPr>
          <w:rFonts w:eastAsia="" w:eastAsiaTheme="minorEastAsia"/>
          <w:sz w:val="20"/>
          <w:szCs w:val="20"/>
        </w:rPr>
      </w:pPr>
      <w:r>
        <w:rPr>
          <w:rFonts w:eastAsia="" w:eastAsiaTheme="minorEastAsia"/>
          <w:i/>
          <w:sz w:val="20"/>
          <w:szCs w:val="20"/>
        </w:rPr>
        <w:t xml:space="preserve">Scheme 2-3: Support inter-slot repetition </w:t>
      </w:r>
      <w:r>
        <w:rPr>
          <w:rFonts w:eastAsia="" w:eastAsiaTheme="minorEastAsia"/>
          <w:i/>
          <w:iCs/>
          <w:sz w:val="20"/>
          <w:szCs w:val="20"/>
        </w:rPr>
        <w:t>on consecutive symbols or non-consecutive symbols across slots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r>
    </w:p>
    <w:p>
      <w:pPr>
        <w:pStyle w:val="Normal"/>
        <w:widowControl w:val="false"/>
        <w:snapToGrid w:val="false"/>
        <w:spacing w:lineRule="auto" w:line="240" w:before="120" w:after="120"/>
        <w:jc w:val="both"/>
        <w:rPr>
          <w:rFonts w:eastAsia="" w:eastAsiaTheme="minorEastAsia"/>
          <w:i/>
          <w:i/>
          <w:sz w:val="20"/>
          <w:szCs w:val="20"/>
        </w:rPr>
      </w:pPr>
      <w:r>
        <w:rPr>
          <w:rFonts w:eastAsia="" w:eastAsiaTheme="minorEastAsia"/>
          <w:b/>
          <w:i/>
          <w:sz w:val="20"/>
          <w:szCs w:val="20"/>
          <w:highlight w:val="yellow"/>
        </w:rPr>
        <w:t>FL Proposal 6B:</w:t>
      </w:r>
      <w:r>
        <w:rPr>
          <w:rFonts w:eastAsia="" w:eastAsiaTheme="minorEastAsia"/>
          <w:i/>
          <w:sz w:val="20"/>
          <w:szCs w:val="20"/>
        </w:rPr>
        <w:t xml:space="preserve"> Candidate schemes for Class 3 (Partial frequency sounding):</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3-1: Support RB-level partial frequency sounding</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3-2: Support subcarrier-level partial frequency sounding</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3-3: Support subband-level partial frequency sounding</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3-4: Support partial-frequency sounding schemes assisted with CSI-RS</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3-5: Support dynamic change of SRS bandwidth</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Note: consider the PAPR issues with above schemes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Companies are encouraged to share your further input on the above candidate schemes, esp. on the following aspects.</w:t>
      </w:r>
    </w:p>
    <w:p>
      <w:pPr>
        <w:pStyle w:val="ListParagraph"/>
        <w:widowControl w:val="false"/>
        <w:numPr>
          <w:ilvl w:val="0"/>
          <w:numId w:val="9"/>
        </w:numPr>
        <w:snapToGrid w:val="false"/>
        <w:spacing w:lineRule="auto" w:line="240" w:before="120" w:after="120"/>
        <w:jc w:val="both"/>
        <w:rPr>
          <w:rFonts w:eastAsia="" w:eastAsiaTheme="minorEastAsia"/>
          <w:sz w:val="20"/>
          <w:szCs w:val="20"/>
          <w:u w:val="single"/>
        </w:rPr>
      </w:pPr>
      <w:r>
        <w:rPr>
          <w:rFonts w:eastAsia="" w:eastAsiaTheme="minorEastAsia"/>
          <w:sz w:val="20"/>
          <w:szCs w:val="20"/>
          <w:u w:val="single"/>
        </w:rPr>
        <w:t>Your question for better understanding of one or more particular schemes</w:t>
      </w:r>
    </w:p>
    <w:p>
      <w:pPr>
        <w:pStyle w:val="ListParagraph"/>
        <w:widowControl w:val="false"/>
        <w:numPr>
          <w:ilvl w:val="1"/>
          <w:numId w:val="9"/>
        </w:numPr>
        <w:snapToGrid w:val="false"/>
        <w:spacing w:lineRule="auto" w:line="240" w:before="120" w:after="120"/>
        <w:jc w:val="both"/>
        <w:rPr>
          <w:rFonts w:eastAsia="" w:eastAsiaTheme="minorEastAsia"/>
          <w:sz w:val="20"/>
          <w:szCs w:val="20"/>
          <w:u w:val="single"/>
        </w:rPr>
      </w:pPr>
      <w:r>
        <w:rPr>
          <w:rFonts w:eastAsia="" w:eastAsiaTheme="minorEastAsia"/>
          <w:sz w:val="20"/>
          <w:szCs w:val="20"/>
          <w:u w:val="single"/>
        </w:rPr>
        <w:t>Further, suggestions to better describe one or more particular schemes to avoid misunderstanding</w:t>
      </w:r>
    </w:p>
    <w:p>
      <w:pPr>
        <w:pStyle w:val="ListParagraph"/>
        <w:widowControl w:val="false"/>
        <w:numPr>
          <w:ilvl w:val="0"/>
          <w:numId w:val="9"/>
        </w:numPr>
        <w:snapToGrid w:val="false"/>
        <w:spacing w:lineRule="auto" w:line="240" w:before="120" w:after="120"/>
        <w:jc w:val="both"/>
        <w:rPr>
          <w:rFonts w:eastAsia="" w:eastAsiaTheme="minorEastAsia"/>
          <w:sz w:val="20"/>
          <w:szCs w:val="20"/>
          <w:u w:val="single"/>
        </w:rPr>
      </w:pPr>
      <w:r>
        <w:rPr>
          <w:rFonts w:eastAsia="" w:eastAsiaTheme="minorEastAsia"/>
          <w:sz w:val="20"/>
          <w:szCs w:val="20"/>
          <w:u w:val="single"/>
        </w:rPr>
        <w:t>Use cases/benefits of one or more particular schemes</w:t>
      </w:r>
    </w:p>
    <w:p>
      <w:pPr>
        <w:pStyle w:val="ListParagraph"/>
        <w:widowControl w:val="false"/>
        <w:numPr>
          <w:ilvl w:val="0"/>
          <w:numId w:val="9"/>
        </w:numPr>
        <w:snapToGrid w:val="false"/>
        <w:spacing w:lineRule="auto" w:line="240" w:before="120" w:after="120"/>
        <w:jc w:val="both"/>
        <w:rPr>
          <w:rFonts w:eastAsia="" w:eastAsiaTheme="minorEastAsia"/>
          <w:sz w:val="20"/>
          <w:szCs w:val="20"/>
          <w:u w:val="single"/>
        </w:rPr>
      </w:pPr>
      <w:r>
        <w:rPr>
          <w:rFonts w:eastAsia="" w:eastAsiaTheme="minorEastAsia"/>
          <w:sz w:val="20"/>
          <w:szCs w:val="20"/>
          <w:u w:val="single"/>
        </w:rPr>
        <w:t>Concerns about one or more particular schemes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25"/>
        <w:tblW w:w="9350" w:type="dxa"/>
        <w:jc w:val="left"/>
        <w:tblInd w:w="0" w:type="dxa"/>
        <w:tblCellMar>
          <w:top w:w="0" w:type="dxa"/>
          <w:left w:w="108" w:type="dxa"/>
          <w:bottom w:w="0" w:type="dxa"/>
          <w:right w:w="108" w:type="dxa"/>
        </w:tblCellMar>
      </w:tblPr>
      <w:tblGrid>
        <w:gridCol w:w="2403"/>
        <w:gridCol w:w="6946"/>
      </w:tblGrid>
      <w:tr>
        <w:trPr/>
        <w:tc>
          <w:tcPr>
            <w:tcW w:w="2403"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c>
          <w:tcPr>
            <w:tcW w:w="6946"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Views</w:t>
            </w:r>
          </w:p>
        </w:tc>
      </w:tr>
      <w:tr>
        <w:trPr/>
        <w:tc>
          <w:tcPr>
            <w:tcW w:w="2403"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Huawei, HiSilicon</w:t>
            </w:r>
          </w:p>
        </w:tc>
        <w:tc>
          <w:tcPr>
            <w:tcW w:w="694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pPr>
              <w:pStyle w:val="Normal"/>
              <w:widowControl w:val="false"/>
              <w:snapToGrid w:val="false"/>
              <w:spacing w:lineRule="auto" w:line="240" w:before="120" w:after="120"/>
              <w:ind w:left="100" w:hanging="100"/>
              <w:rPr>
                <w:rFonts w:eastAsia="微软雅黑"/>
                <w:sz w:val="20"/>
                <w:szCs w:val="20"/>
              </w:rPr>
            </w:pPr>
            <w:r>
              <w:rPr>
                <w:rFonts w:eastAsia="微软雅黑"/>
                <w:sz w:val="20"/>
                <w:szCs w:val="20"/>
              </w:rPr>
              <w:t xml:space="preserve">Questions for Scheme 3-2: how can </w:t>
            </w:r>
            <w:r>
              <w:rPr>
                <w:rFonts w:eastAsia=""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pPr>
              <w:pStyle w:val="Normal"/>
              <w:widowControl w:val="false"/>
              <w:snapToGrid w:val="false"/>
              <w:spacing w:lineRule="auto" w:line="240" w:before="120" w:after="120"/>
              <w:rPr>
                <w:rFonts w:eastAsia="微软雅黑"/>
                <w:sz w:val="20"/>
                <w:szCs w:val="20"/>
              </w:rPr>
            </w:pPr>
            <w:r>
              <w:rPr>
                <w:rFonts w:eastAsia="微软雅黑"/>
                <w:sz w:val="20"/>
                <w:szCs w:val="20"/>
              </w:rPr>
              <w:t>Questions for Scheme 3-4: Is that further details after partial sounding is supported?</w:t>
            </w:r>
          </w:p>
          <w:p>
            <w:pPr>
              <w:pStyle w:val="Normal"/>
              <w:widowControl w:val="false"/>
              <w:snapToGrid w:val="false"/>
              <w:spacing w:lineRule="auto" w:line="240" w:before="120" w:after="120"/>
              <w:rPr>
                <w:rFonts w:eastAsia="微软雅黑"/>
                <w:sz w:val="20"/>
                <w:szCs w:val="20"/>
              </w:rPr>
            </w:pPr>
            <w:r>
              <w:rPr>
                <w:rFonts w:eastAsia="微软雅黑"/>
                <w:sz w:val="20"/>
                <w:szCs w:val="20"/>
              </w:rPr>
              <w:t>Questions for Scheme 3-5: how can dynamic change the SRS band, introduce new DCI to indicate?</w:t>
            </w:r>
          </w:p>
          <w:p>
            <w:pPr>
              <w:pStyle w:val="Normal"/>
              <w:widowControl w:val="false"/>
              <w:snapToGrid w:val="false"/>
              <w:spacing w:lineRule="auto" w:line="240" w:before="120" w:after="120"/>
              <w:rPr>
                <w:rFonts w:eastAsia="微软雅黑"/>
                <w:sz w:val="20"/>
                <w:szCs w:val="20"/>
              </w:rPr>
            </w:pPr>
            <w:r>
              <w:rPr>
                <w:rFonts w:eastAsia="微软雅黑"/>
                <w:sz w:val="20"/>
                <w:szCs w:val="20"/>
              </w:rPr>
            </w:r>
          </w:p>
        </w:tc>
      </w:tr>
      <w:tr>
        <w:trPr/>
        <w:tc>
          <w:tcPr>
            <w:tcW w:w="2403"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OPPO</w:t>
            </w:r>
          </w:p>
        </w:tc>
        <w:tc>
          <w:tcPr>
            <w:tcW w:w="694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Ok to list candidates for further discussion</w:t>
            </w:r>
          </w:p>
        </w:tc>
      </w:tr>
      <w:tr>
        <w:trPr/>
        <w:tc>
          <w:tcPr>
            <w:tcW w:w="2403" w:type="dxa"/>
            <w:tcBorders/>
            <w:shd w:fill="auto" w:val="clear"/>
          </w:tcPr>
          <w:p>
            <w:pPr>
              <w:pStyle w:val="Normal"/>
              <w:widowControl w:val="false"/>
              <w:snapToGrid w:val="false"/>
              <w:spacing w:lineRule="auto" w:line="240" w:before="120" w:after="120"/>
              <w:rPr>
                <w:rFonts w:eastAsia="微软雅黑"/>
                <w:sz w:val="20"/>
                <w:szCs w:val="20"/>
                <w:lang w:val="en-US" w:eastAsia="zh-CN"/>
              </w:rPr>
            </w:pPr>
            <w:r>
              <w:rPr>
                <w:rFonts w:eastAsia="微软雅黑"/>
                <w:sz w:val="20"/>
                <w:szCs w:val="20"/>
                <w:lang w:val="en-US" w:eastAsia="zh-CN"/>
              </w:rPr>
              <w:t>ZTE</w:t>
            </w:r>
          </w:p>
        </w:tc>
        <w:tc>
          <w:tcPr>
            <w:tcW w:w="6946" w:type="dxa"/>
            <w:tcBorders/>
            <w:shd w:fill="auto" w:val="clear"/>
          </w:tcPr>
          <w:p>
            <w:pPr>
              <w:pStyle w:val="Normal"/>
              <w:widowControl w:val="false"/>
              <w:snapToGrid w:val="false"/>
              <w:spacing w:lineRule="auto" w:line="240" w:before="120" w:after="120"/>
              <w:rPr>
                <w:rFonts w:eastAsia="微软雅黑"/>
                <w:sz w:val="20"/>
                <w:szCs w:val="20"/>
                <w:u w:val="single"/>
              </w:rPr>
            </w:pPr>
            <w:r>
              <w:rPr>
                <w:rFonts w:eastAsia="微软雅黑"/>
                <w:sz w:val="20"/>
                <w:szCs w:val="20"/>
                <w:u w:val="single"/>
              </w:rPr>
              <w:t>Some reply on TD-OCC questions from HW:</w:t>
            </w:r>
          </w:p>
          <w:p>
            <w:pPr>
              <w:pStyle w:val="Normal"/>
              <w:widowControl w:val="false"/>
              <w:snapToGrid w:val="false"/>
              <w:spacing w:lineRule="auto" w:line="240" w:before="120" w:after="120"/>
              <w:rPr>
                <w:rFonts w:eastAsia="微软雅黑"/>
                <w:sz w:val="20"/>
                <w:szCs w:val="20"/>
              </w:rPr>
            </w:pPr>
            <w:r>
              <w:rPr>
                <w:rFonts w:eastAsia="微软雅黑"/>
                <w:sz w:val="20"/>
                <w:szCs w:val="20"/>
              </w:rPr>
              <w:t>We think TD-OCC is performed for repetition symbols</w:t>
            </w:r>
            <w:r>
              <w:rPr>
                <w:rFonts w:eastAsia="微软雅黑"/>
                <w:sz w:val="20"/>
                <w:szCs w:val="20"/>
                <w:lang w:val="en-US" w:eastAsia="zh-CN"/>
              </w:rPr>
              <w:t xml:space="preserve"> </w:t>
            </w:r>
            <w:r>
              <w:rPr>
                <w:rFonts w:eastAsia="微软雅黑"/>
                <w:sz w:val="20"/>
                <w:szCs w:val="20"/>
              </w:rPr>
              <w:t>within one slot, then it is intra-slot.</w:t>
            </w:r>
          </w:p>
          <w:p>
            <w:pPr>
              <w:pStyle w:val="Normal"/>
              <w:widowControl w:val="false"/>
              <w:snapToGrid w:val="false"/>
              <w:spacing w:lineRule="auto" w:line="240" w:before="120" w:after="120"/>
              <w:rPr>
                <w:rFonts w:eastAsia="微软雅黑"/>
                <w:sz w:val="20"/>
                <w:szCs w:val="20"/>
                <w:lang w:val="en-US" w:eastAsia="zh-CN"/>
              </w:rPr>
            </w:pPr>
            <w:r>
              <w:rPr>
                <w:rFonts w:eastAsia="微软雅黑"/>
                <w:sz w:val="20"/>
                <w:szCs w:val="20"/>
              </w:rPr>
              <w:t>We think OCC sequence can be configured per UE, or per SRS resource. A same OCC sequence can be used in the whole frequency domain</w:t>
            </w:r>
            <w:r>
              <w:rPr>
                <w:rFonts w:eastAsia="微软雅黑"/>
                <w:sz w:val="20"/>
                <w:szCs w:val="20"/>
                <w:lang w:val="en-US" w:eastAsia="zh-CN"/>
              </w:rPr>
              <w:t>, like TD-OCC for DM-RS.</w:t>
            </w:r>
          </w:p>
          <w:p>
            <w:pPr>
              <w:pStyle w:val="Normal"/>
              <w:widowControl w:val="false"/>
              <w:snapToGrid w:val="false"/>
              <w:spacing w:lineRule="auto" w:line="240" w:before="120" w:after="120"/>
              <w:rPr>
                <w:rFonts w:eastAsia="微软雅黑"/>
                <w:sz w:val="20"/>
                <w:szCs w:val="20"/>
                <w:lang w:val="en-US" w:eastAsia="zh-CN"/>
              </w:rPr>
            </w:pPr>
            <w:r>
              <w:rPr>
                <w:rFonts w:eastAsia="微软雅黑"/>
                <w:sz w:val="20"/>
                <w:szCs w:val="20"/>
              </w:rPr>
              <w:t>If there is collision between the SRS with TD-OCC and other UL channel/signal, we can just drop the whole SRS resource if it is lower priority. The partially transmitted SRS resource is anyway not very helpful in gNB side.</w:t>
            </w:r>
            <w:r>
              <w:rPr>
                <w:rFonts w:eastAsia="微软雅黑"/>
                <w:color w:val="auto"/>
                <w:sz w:val="20"/>
                <w:szCs w:val="20"/>
                <w:lang w:val="en-US" w:eastAsia="zh-CN"/>
              </w:rPr>
              <w:t xml:space="preserve"> Alternatively, we can keep the non-overlapping symbols for one of multiplexing UEs to avoid resource waste. Anyway, this is just next step detail, we are open to further discuss it. </w:t>
            </w:r>
          </w:p>
          <w:p>
            <w:pPr>
              <w:pStyle w:val="Normal"/>
              <w:widowControl w:val="false"/>
              <w:snapToGrid w:val="false"/>
              <w:spacing w:lineRule="auto" w:line="240" w:before="120" w:after="120"/>
              <w:rPr>
                <w:rFonts w:eastAsia="微软雅黑"/>
                <w:sz w:val="20"/>
                <w:szCs w:val="20"/>
              </w:rPr>
            </w:pPr>
            <w:r>
              <w:rPr>
                <w:rFonts w:eastAsia="微软雅黑"/>
                <w:sz w:val="20"/>
                <w:szCs w:val="20"/>
              </w:rPr>
            </w:r>
          </w:p>
          <w:p>
            <w:pPr>
              <w:pStyle w:val="Normal"/>
              <w:widowControl w:val="false"/>
              <w:snapToGrid w:val="false"/>
              <w:spacing w:lineRule="auto" w:line="240" w:before="120" w:after="120"/>
              <w:rPr>
                <w:rFonts w:eastAsia="微软雅黑"/>
                <w:sz w:val="20"/>
                <w:szCs w:val="20"/>
                <w:u w:val="single"/>
              </w:rPr>
            </w:pPr>
            <w:r>
              <w:rPr>
                <w:rFonts w:eastAsia="微软雅黑"/>
                <w:sz w:val="20"/>
                <w:szCs w:val="20"/>
                <w:u w:val="single"/>
              </w:rPr>
              <w:t>Our questions and further suggestions:</w:t>
            </w:r>
          </w:p>
          <w:p>
            <w:pPr>
              <w:pStyle w:val="Normal"/>
              <w:widowControl w:val="false"/>
              <w:snapToGrid w:val="false"/>
              <w:spacing w:lineRule="auto" w:line="240" w:before="120" w:after="120"/>
              <w:rPr>
                <w:rFonts w:eastAsia="微软雅黑"/>
                <w:sz w:val="20"/>
                <w:szCs w:val="20"/>
                <w:u w:val="none"/>
                <w:lang w:val="en-US" w:eastAsia="zh-CN"/>
              </w:rPr>
            </w:pPr>
            <w:r>
              <w:rPr>
                <w:rFonts w:eastAsia="微软雅黑"/>
                <w:sz w:val="20"/>
                <w:szCs w:val="20"/>
                <w:u w:val="none"/>
                <w:lang w:val="en-US" w:eastAsia="zh-CN"/>
              </w:rPr>
              <w:t>For scheme 2-0 in Class 2, is this for one SRS resource ? if yes, we prefer to make the proposal clearer:</w:t>
            </w:r>
          </w:p>
          <w:p>
            <w:pPr>
              <w:pStyle w:val="ListParagraph"/>
              <w:widowControl w:val="false"/>
              <w:numPr>
                <w:ilvl w:val="0"/>
                <w:numId w:val="7"/>
              </w:numPr>
              <w:snapToGrid w:val="false"/>
              <w:spacing w:lineRule="auto" w:line="240" w:before="120" w:after="120"/>
              <w:jc w:val="both"/>
              <w:rPr>
                <w:rFonts w:eastAsia="" w:eastAsiaTheme="minorEastAsia"/>
                <w:i/>
                <w:i/>
                <w:sz w:val="20"/>
                <w:szCs w:val="20"/>
              </w:rPr>
            </w:pPr>
            <w:r>
              <w:rPr>
                <w:rFonts w:eastAsia="" w:eastAsiaTheme="minorEastAsia"/>
                <w:i/>
                <w:sz w:val="20"/>
                <w:szCs w:val="20"/>
              </w:rPr>
              <w:t xml:space="preserve">Scheme 2-0: Increase the number of repetition symbols </w:t>
            </w:r>
            <w:r>
              <w:rPr>
                <w:rFonts w:eastAsia="" w:cs="Times New Roman" w:eastAsiaTheme="minorEastAsia"/>
                <w:i/>
                <w:color w:val="FF0000"/>
                <w:sz w:val="20"/>
                <w:szCs w:val="20"/>
                <w:lang w:val="en-US" w:eastAsia="zh-CN" w:bidi="ar-SA"/>
              </w:rPr>
              <w:t>for one SRS resource</w:t>
            </w:r>
            <w:r>
              <w:rPr>
                <w:rFonts w:eastAsia="" w:eastAsiaTheme="minorEastAsia"/>
                <w:i/>
                <w:sz w:val="20"/>
                <w:szCs w:val="20"/>
                <w:lang w:val="en-US" w:eastAsia="zh-CN"/>
              </w:rPr>
              <w:t xml:space="preserve"> </w:t>
            </w:r>
            <w:r>
              <w:rPr>
                <w:rFonts w:eastAsia="" w:eastAsiaTheme="minorEastAsia"/>
                <w:i/>
                <w:sz w:val="20"/>
                <w:szCs w:val="20"/>
              </w:rPr>
              <w:t>in one slot</w:t>
            </w:r>
            <w:bookmarkStart w:id="2" w:name="_GoBack"/>
            <w:bookmarkEnd w:id="2"/>
          </w:p>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pPr>
              <w:pStyle w:val="Normal"/>
              <w:widowControl w:val="false"/>
              <w:snapToGrid w:val="false"/>
              <w:spacing w:lineRule="auto" w:line="240" w:before="120" w:after="120"/>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 xml:space="preserve">Scheme 3-4: Support partial-frequency sounding schemes assisted with CSI-RS </w:t>
            </w:r>
            <w:r>
              <w:rPr>
                <w:rFonts w:eastAsia="" w:eastAsiaTheme="minorEastAsia"/>
                <w:i/>
                <w:color w:val="FF0000"/>
                <w:sz w:val="20"/>
                <w:szCs w:val="20"/>
              </w:rPr>
              <w:t>in the case of Scheme 3-1</w:t>
            </w:r>
          </w:p>
          <w:p>
            <w:pPr>
              <w:pStyle w:val="Normal"/>
              <w:widowControl w:val="false"/>
              <w:snapToGrid w:val="false"/>
              <w:spacing w:lineRule="auto" w:line="240" w:before="120" w:after="120"/>
              <w:rPr>
                <w:rFonts w:eastAsia="微软雅黑"/>
                <w:sz w:val="20"/>
                <w:szCs w:val="20"/>
              </w:rPr>
            </w:pPr>
            <w:r>
              <w:rPr>
                <w:rFonts w:eastAsia="" w:eastAsiaTheme="minorEastAsia"/>
                <w:i/>
                <w:sz w:val="20"/>
                <w:szCs w:val="20"/>
              </w:rPr>
              <w:t xml:space="preserve">Scheme 3-5: Support dynamic change of SRS bandwidth </w:t>
            </w:r>
            <w:r>
              <w:rPr>
                <w:rFonts w:eastAsia="" w:eastAsiaTheme="minorEastAsia"/>
                <w:i/>
                <w:color w:val="FF0000"/>
                <w:sz w:val="20"/>
                <w:szCs w:val="20"/>
              </w:rPr>
              <w:t>in the case of</w:t>
            </w:r>
            <w:r>
              <w:rPr>
                <w:rFonts w:eastAsia="" w:eastAsiaTheme="minorEastAsia"/>
                <w:i/>
                <w:sz w:val="20"/>
                <w:szCs w:val="20"/>
              </w:rPr>
              <w:t xml:space="preserve"> </w:t>
            </w:r>
            <w:r>
              <w:rPr>
                <w:rFonts w:eastAsia="" w:eastAsiaTheme="minorEastAsia"/>
                <w:i/>
                <w:color w:val="FF0000"/>
                <w:sz w:val="20"/>
                <w:szCs w:val="20"/>
              </w:rPr>
              <w:t>Scheme 3-1</w:t>
            </w:r>
          </w:p>
        </w:tc>
      </w:tr>
    </w:tbl>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p>
      <w:pPr>
        <w:pStyle w:val="Heading1"/>
        <w:numPr>
          <w:ilvl w:val="0"/>
          <w:numId w:val="2"/>
        </w:numPr>
        <w:tabs>
          <w:tab w:val="clear" w:pos="432"/>
        </w:tabs>
        <w:snapToGrid w:val="false"/>
        <w:spacing w:before="120" w:after="120"/>
        <w:ind w:left="431" w:hanging="431"/>
        <w:rPr>
          <w:sz w:val="28"/>
          <w:lang w:val="en-US"/>
        </w:rPr>
      </w:pPr>
      <w:r>
        <w:rPr>
          <w:sz w:val="28"/>
          <w:lang w:val="en-US"/>
        </w:rPr>
        <w:t>Conclusion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Appendix</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Previous agreements</w:t>
      </w:r>
    </w:p>
    <w:tbl>
      <w:tblPr>
        <w:tblStyle w:val="25"/>
        <w:tblW w:w="9350" w:type="dxa"/>
        <w:jc w:val="left"/>
        <w:tblInd w:w="0" w:type="dxa"/>
        <w:tblCellMar>
          <w:top w:w="0" w:type="dxa"/>
          <w:left w:w="108" w:type="dxa"/>
          <w:bottom w:w="0" w:type="dxa"/>
          <w:right w:w="108" w:type="dxa"/>
        </w:tblCellMar>
      </w:tblPr>
      <w:tblGrid>
        <w:gridCol w:w="9350"/>
      </w:tblGrid>
      <w:tr>
        <w:trPr/>
        <w:tc>
          <w:tcPr>
            <w:tcW w:w="9350" w:type="dxa"/>
            <w:tcBorders/>
            <w:shd w:fill="auto" w:val="clear"/>
          </w:tcPr>
          <w:p>
            <w:pPr>
              <w:pStyle w:val="Normal"/>
              <w:spacing w:lineRule="auto" w:line="240" w:before="0" w:after="0"/>
              <w:rPr>
                <w:b/>
                <w:b/>
                <w:bCs/>
                <w:sz w:val="20"/>
                <w:szCs w:val="20"/>
                <w:u w:val="single"/>
              </w:rPr>
            </w:pPr>
            <w:r>
              <w:rPr>
                <w:b/>
                <w:bCs/>
                <w:sz w:val="20"/>
                <w:szCs w:val="20"/>
                <w:u w:val="single"/>
              </w:rPr>
              <w:t>RAN1#102e</w:t>
            </w:r>
          </w:p>
          <w:p>
            <w:pPr>
              <w:pStyle w:val="Normal"/>
              <w:snapToGrid w:val="false"/>
              <w:spacing w:lineRule="auto" w:line="240" w:before="0" w:after="0"/>
              <w:rPr>
                <w:rFonts w:ascii="Times" w:hAnsi="Times"/>
                <w:b/>
                <w:b/>
                <w:bCs/>
                <w:sz w:val="20"/>
                <w:szCs w:val="20"/>
                <w:lang w:eastAsia="zh-CN"/>
              </w:rPr>
            </w:pPr>
            <w:r>
              <w:rPr>
                <w:b/>
                <w:bCs/>
                <w:sz w:val="20"/>
                <w:szCs w:val="20"/>
                <w:lang w:eastAsia="zh-CN"/>
              </w:rPr>
              <w:t>Agreement</w:t>
            </w:r>
          </w:p>
          <w:p>
            <w:pPr>
              <w:pStyle w:val="Normal"/>
              <w:widowControl w:val="false"/>
              <w:snapToGrid w:val="false"/>
              <w:spacing w:lineRule="auto" w:line="240" w:before="0" w:after="0"/>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2: Indicate triggering offset in DCI explicitly or implicitly</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3: Update triggering offset in MAC CE</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pPr>
              <w:pStyle w:val="Normal"/>
              <w:snapToGrid w:val="false"/>
              <w:spacing w:lineRule="auto" w:line="240" w:before="0" w:after="0"/>
              <w:rPr>
                <w:rFonts w:cs="Times"/>
                <w:b/>
                <w:b/>
                <w:bCs/>
                <w:sz w:val="20"/>
                <w:szCs w:val="20"/>
                <w:lang w:eastAsia="ko-KR"/>
              </w:rPr>
            </w:pPr>
            <w:r>
              <w:rPr>
                <w:rFonts w:cs="Times"/>
                <w:b/>
                <w:bCs/>
                <w:sz w:val="20"/>
                <w:szCs w:val="20"/>
              </w:rPr>
              <w:t>Agreement</w:t>
            </w:r>
          </w:p>
          <w:p>
            <w:pPr>
              <w:pStyle w:val="Normal"/>
              <w:widowControl w:val="false"/>
              <w:snapToGrid w:val="false"/>
              <w:spacing w:lineRule="auto" w:line="240" w:before="0" w:after="0"/>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1: Use UE-specific DCI, e.g., extending DCI 0_1 without uplink data and without CSI</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2: Use group-common DCI, e.g., extending DCI 2_3 for cases other than carrier switching</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pPr>
              <w:pStyle w:val="Normal"/>
              <w:snapToGrid w:val="false"/>
              <w:spacing w:lineRule="auto" w:line="240" w:before="0" w:after="0"/>
              <w:rPr>
                <w:rFonts w:cs="Times"/>
                <w:b/>
                <w:b/>
                <w:bCs/>
                <w:sz w:val="20"/>
                <w:szCs w:val="20"/>
                <w:lang w:eastAsia="ko-KR"/>
              </w:rPr>
            </w:pPr>
            <w:r>
              <w:rPr>
                <w:rFonts w:cs="Times"/>
                <w:b/>
                <w:bCs/>
                <w:sz w:val="20"/>
                <w:szCs w:val="20"/>
              </w:rPr>
              <w:t>Agreement</w:t>
            </w:r>
          </w:p>
          <w:p>
            <w:pPr>
              <w:pStyle w:val="Normal"/>
              <w:widowControl w:val="false"/>
              <w:snapToGrid w:val="false"/>
              <w:spacing w:lineRule="auto" w:line="240" w:before="0" w:after="0"/>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Whether implementation approach based on legacy SRS configuration is sufficient</w:t>
            </w:r>
          </w:p>
          <w:p>
            <w:pPr>
              <w:pStyle w:val="ListParagraph"/>
              <w:widowControl w:val="false"/>
              <w:numPr>
                <w:ilvl w:val="2"/>
                <w:numId w:val="10"/>
              </w:numPr>
              <w:snapToGrid w:val="false"/>
              <w:spacing w:lineRule="auto" w:line="240" w:before="0" w:after="0"/>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pPr>
              <w:pStyle w:val="Normal"/>
              <w:snapToGrid w:val="false"/>
              <w:spacing w:lineRule="auto" w:line="240" w:before="0" w:after="0"/>
              <w:rPr>
                <w:rFonts w:cs="Times"/>
                <w:b/>
                <w:b/>
                <w:bCs/>
                <w:sz w:val="20"/>
                <w:szCs w:val="20"/>
                <w:lang w:eastAsia="ko-KR"/>
              </w:rPr>
            </w:pPr>
            <w:r>
              <w:rPr>
                <w:rFonts w:cs="Times"/>
                <w:b/>
                <w:bCs/>
                <w:sz w:val="20"/>
                <w:szCs w:val="20"/>
              </w:rPr>
              <w:t>Agreement</w:t>
            </w:r>
          </w:p>
          <w:p>
            <w:pPr>
              <w:pStyle w:val="Normal"/>
              <w:widowControl w:val="false"/>
              <w:snapToGrid w:val="false"/>
              <w:spacing w:lineRule="auto" w:line="240" w:before="0" w:after="0"/>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pPr>
              <w:pStyle w:val="Normal"/>
              <w:snapToGrid w:val="false"/>
              <w:spacing w:lineRule="auto" w:line="240" w:before="0" w:after="0"/>
              <w:rPr>
                <w:rFonts w:cs="Times"/>
                <w:b/>
                <w:b/>
                <w:bCs/>
                <w:sz w:val="20"/>
                <w:szCs w:val="20"/>
                <w:lang w:eastAsia="ko-KR"/>
              </w:rPr>
            </w:pPr>
            <w:r>
              <w:rPr>
                <w:rFonts w:cs="Times"/>
                <w:b/>
                <w:bCs/>
                <w:sz w:val="20"/>
                <w:szCs w:val="20"/>
              </w:rPr>
              <w:t>Agreement</w:t>
            </w:r>
          </w:p>
          <w:p>
            <w:pPr>
              <w:pStyle w:val="Normal"/>
              <w:widowControl w:val="false"/>
              <w:snapToGrid w:val="false"/>
              <w:spacing w:lineRule="auto" w:line="240" w:before="0" w:after="0"/>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pPr>
              <w:pStyle w:val="ListParagraph"/>
              <w:widowControl w:val="false"/>
              <w:numPr>
                <w:ilvl w:val="2"/>
                <w:numId w:val="10"/>
              </w:numPr>
              <w:snapToGrid w:val="false"/>
              <w:spacing w:lineRule="auto" w:line="240" w:before="0" w:after="0"/>
              <w:jc w:val="both"/>
              <w:rPr>
                <w:rFonts w:eastAsia="微软雅黑"/>
                <w:sz w:val="20"/>
                <w:szCs w:val="20"/>
              </w:rPr>
            </w:pPr>
            <w:r>
              <w:rPr>
                <w:rFonts w:eastAsia="微软雅黑"/>
                <w:sz w:val="20"/>
                <w:szCs w:val="20"/>
              </w:rPr>
              <w:t>Study aspects include the issue of phase discontinuity, interruption of SRS transmission by other UL signals, etc..</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pPr>
              <w:pStyle w:val="ListParagraph"/>
              <w:widowControl w:val="false"/>
              <w:numPr>
                <w:ilvl w:val="2"/>
                <w:numId w:val="10"/>
              </w:numPr>
              <w:snapToGrid w:val="false"/>
              <w:spacing w:lineRule="auto" w:line="240" w:before="0" w:after="0"/>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pPr>
              <w:pStyle w:val="ListParagraph"/>
              <w:widowControl w:val="false"/>
              <w:numPr>
                <w:ilvl w:val="2"/>
                <w:numId w:val="10"/>
              </w:numPr>
              <w:snapToGrid w:val="false"/>
              <w:spacing w:lineRule="auto" w:line="240" w:before="0" w:after="0"/>
              <w:jc w:val="both"/>
              <w:rPr>
                <w:rFonts w:eastAsia="微软雅黑"/>
                <w:i/>
                <w:i/>
                <w:sz w:val="20"/>
                <w:szCs w:val="20"/>
              </w:rPr>
            </w:pPr>
            <w:r>
              <w:rPr>
                <w:rFonts w:eastAsia="微软雅黑"/>
                <w:sz w:val="20"/>
                <w:szCs w:val="20"/>
              </w:rPr>
              <w:t>Study aspects include the partial frequency resources are with RB level or subcarrier level (e.g., larger comb, partial bandwidth), PAPR issue, etc..</w:t>
            </w:r>
          </w:p>
          <w:p>
            <w:pPr>
              <w:pStyle w:val="Normal"/>
              <w:widowControl w:val="false"/>
              <w:snapToGrid w:val="false"/>
              <w:spacing w:lineRule="auto" w:line="240" w:before="0" w:after="0"/>
              <w:jc w:val="both"/>
              <w:rPr>
                <w:rFonts w:eastAsia="微软雅黑"/>
                <w:i/>
                <w:i/>
                <w:sz w:val="20"/>
                <w:szCs w:val="20"/>
              </w:rPr>
            </w:pPr>
            <w:r>
              <w:rPr>
                <w:rFonts w:eastAsia="微软雅黑"/>
                <w:i/>
                <w:sz w:val="20"/>
                <w:szCs w:val="20"/>
              </w:rPr>
            </w:r>
          </w:p>
          <w:p>
            <w:pPr>
              <w:pStyle w:val="Normal"/>
              <w:spacing w:lineRule="auto" w:line="240" w:before="0" w:after="0"/>
              <w:rPr>
                <w:b/>
                <w:b/>
                <w:bCs/>
                <w:sz w:val="20"/>
                <w:szCs w:val="20"/>
                <w:u w:val="single"/>
              </w:rPr>
            </w:pPr>
            <w:r>
              <w:rPr>
                <w:b/>
                <w:bCs/>
                <w:sz w:val="20"/>
                <w:szCs w:val="20"/>
                <w:u w:val="single"/>
              </w:rPr>
              <w:t>RAN1#103e</w:t>
            </w:r>
          </w:p>
          <w:p>
            <w:pPr>
              <w:pStyle w:val="Normal"/>
              <w:widowControl w:val="false"/>
              <w:snapToGrid w:val="false"/>
              <w:spacing w:lineRule="auto" w:line="240" w:before="0" w:after="0"/>
              <w:jc w:val="both"/>
              <w:rPr>
                <w:rFonts w:eastAsia="微软雅黑"/>
                <w:sz w:val="20"/>
                <w:szCs w:val="20"/>
              </w:rPr>
            </w:pPr>
            <w:r>
              <w:rPr>
                <w:rFonts w:eastAsia="微软雅黑"/>
                <w:b/>
                <w:sz w:val="20"/>
                <w:szCs w:val="20"/>
              </w:rPr>
              <w:t>Agreement</w:t>
            </w:r>
          </w:p>
          <w:p>
            <w:pPr>
              <w:pStyle w:val="Normal"/>
              <w:widowControl w:val="false"/>
              <w:snapToGrid w:val="false"/>
              <w:spacing w:lineRule="auto" w:line="240" w:before="0" w:after="0"/>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pPr>
              <w:pStyle w:val="ListParagraph"/>
              <w:widowControl w:val="false"/>
              <w:numPr>
                <w:ilvl w:val="0"/>
                <w:numId w:val="11"/>
              </w:numPr>
              <w:snapToGrid w:val="false"/>
              <w:spacing w:lineRule="auto" w:line="240" w:before="0" w:after="0"/>
              <w:jc w:val="both"/>
              <w:rPr>
                <w:rFonts w:eastAsia="微软雅黑"/>
                <w:sz w:val="20"/>
                <w:szCs w:val="20"/>
              </w:rPr>
            </w:pPr>
            <w:r>
              <w:rPr>
                <w:rFonts w:eastAsia="微软雅黑"/>
                <w:sz w:val="20"/>
                <w:szCs w:val="20"/>
              </w:rPr>
              <w:t>Opt. 1: Reference slot is the slot with the triggering DCI.</w:t>
            </w:r>
          </w:p>
          <w:p>
            <w:pPr>
              <w:pStyle w:val="ListParagraph"/>
              <w:widowControl w:val="false"/>
              <w:numPr>
                <w:ilvl w:val="0"/>
                <w:numId w:val="11"/>
              </w:numPr>
              <w:snapToGrid w:val="false"/>
              <w:spacing w:lineRule="auto" w:line="240" w:before="0" w:after="0"/>
              <w:jc w:val="both"/>
              <w:rPr>
                <w:rFonts w:eastAsia="微软雅黑"/>
                <w:sz w:val="20"/>
                <w:szCs w:val="20"/>
              </w:rPr>
            </w:pPr>
            <w:r>
              <w:rPr>
                <w:rFonts w:eastAsia="微软雅黑"/>
                <w:sz w:val="20"/>
                <w:szCs w:val="20"/>
              </w:rPr>
              <w:t>Opt. 2: Reference slot is the slot indicated by the legacy triggering offset.</w:t>
            </w:r>
          </w:p>
          <w:p>
            <w:pPr>
              <w:pStyle w:val="ListParagraph"/>
              <w:widowControl w:val="false"/>
              <w:numPr>
                <w:ilvl w:val="0"/>
                <w:numId w:val="11"/>
              </w:numPr>
              <w:snapToGrid w:val="false"/>
              <w:spacing w:lineRule="auto" w:line="240" w:before="0" w:after="0"/>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pPr>
              <w:pStyle w:val="ListParagraph"/>
              <w:widowControl w:val="false"/>
              <w:numPr>
                <w:ilvl w:val="1"/>
                <w:numId w:val="11"/>
              </w:numPr>
              <w:snapToGrid w:val="false"/>
              <w:spacing w:lineRule="auto" w:line="240" w:before="0" w:after="0"/>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pPr>
              <w:pStyle w:val="ListParagraph"/>
              <w:widowControl w:val="false"/>
              <w:numPr>
                <w:ilvl w:val="0"/>
                <w:numId w:val="11"/>
              </w:numPr>
              <w:snapToGrid w:val="false"/>
              <w:spacing w:lineRule="auto" w:line="240" w:before="0" w:after="0"/>
              <w:jc w:val="both"/>
              <w:rPr>
                <w:rFonts w:eastAsia="微软雅黑"/>
                <w:sz w:val="20"/>
                <w:szCs w:val="20"/>
              </w:rPr>
            </w:pPr>
            <w:r>
              <w:rPr>
                <w:rFonts w:eastAsia="微软雅黑"/>
                <w:sz w:val="20"/>
                <w:szCs w:val="20"/>
              </w:rPr>
              <w:t>FFS explicit or implicit indication of t</w:t>
            </w:r>
          </w:p>
          <w:p>
            <w:pPr>
              <w:pStyle w:val="ListParagraph"/>
              <w:widowControl w:val="false"/>
              <w:numPr>
                <w:ilvl w:val="0"/>
                <w:numId w:val="11"/>
              </w:numPr>
              <w:snapToGrid w:val="false"/>
              <w:spacing w:lineRule="auto" w:line="240" w:before="0" w:after="0"/>
              <w:jc w:val="both"/>
              <w:rPr>
                <w:rFonts w:eastAsia="微软雅黑"/>
                <w:sz w:val="20"/>
                <w:szCs w:val="20"/>
              </w:rPr>
            </w:pPr>
            <w:r>
              <w:rPr>
                <w:iCs/>
                <w:sz w:val="20"/>
                <w:szCs w:val="20"/>
              </w:rPr>
              <w:t>FFS whether updating candidate triggering offsets in MAC CE may be beneficial</w:t>
            </w:r>
          </w:p>
          <w:p>
            <w:pPr>
              <w:pStyle w:val="Normal"/>
              <w:widowControl w:val="false"/>
              <w:snapToGrid w:val="false"/>
              <w:spacing w:lineRule="auto" w:line="240" w:before="0" w:after="0"/>
              <w:jc w:val="both"/>
              <w:rPr>
                <w:rFonts w:eastAsia="微软雅黑"/>
                <w:b/>
                <w:b/>
                <w:sz w:val="20"/>
                <w:szCs w:val="20"/>
              </w:rPr>
            </w:pPr>
            <w:r>
              <w:rPr>
                <w:rFonts w:eastAsia="微软雅黑"/>
                <w:b/>
                <w:sz w:val="20"/>
                <w:szCs w:val="20"/>
              </w:rPr>
              <w:t>Agreement</w:t>
            </w:r>
          </w:p>
          <w:p>
            <w:pPr>
              <w:pStyle w:val="Normal"/>
              <w:widowControl w:val="false"/>
              <w:snapToGrid w:val="false"/>
              <w:spacing w:lineRule="auto" w:line="240" w:before="0" w:after="0"/>
              <w:jc w:val="both"/>
              <w:rPr>
                <w:rFonts w:eastAsia="微软雅黑"/>
                <w:sz w:val="20"/>
                <w:szCs w:val="20"/>
              </w:rPr>
            </w:pPr>
            <w:r>
              <w:rPr>
                <w:rFonts w:eastAsia="微软雅黑"/>
                <w:sz w:val="20"/>
                <w:szCs w:val="20"/>
              </w:rPr>
              <w:t>Support at least DCI 0_1 and 0_2 to trigger aperiodic SRS without data and without CSI.</w:t>
            </w:r>
          </w:p>
          <w:p>
            <w:pPr>
              <w:pStyle w:val="ListParagraph"/>
              <w:widowControl w:val="false"/>
              <w:numPr>
                <w:ilvl w:val="0"/>
                <w:numId w:val="12"/>
              </w:numPr>
              <w:snapToGrid w:val="false"/>
              <w:spacing w:lineRule="auto" w:line="240" w:before="0" w:after="0"/>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pPr>
              <w:pStyle w:val="ListParagraph"/>
              <w:widowControl w:val="false"/>
              <w:numPr>
                <w:ilvl w:val="0"/>
                <w:numId w:val="12"/>
              </w:numPr>
              <w:snapToGrid w:val="false"/>
              <w:spacing w:lineRule="auto" w:line="240" w:before="0" w:after="0"/>
              <w:jc w:val="both"/>
              <w:rPr>
                <w:rFonts w:eastAsia="微软雅黑"/>
                <w:sz w:val="20"/>
                <w:szCs w:val="20"/>
              </w:rPr>
            </w:pPr>
            <w:r>
              <w:rPr>
                <w:rFonts w:eastAsia="微软雅黑"/>
                <w:sz w:val="20"/>
                <w:szCs w:val="20"/>
              </w:rPr>
              <w:t>FFS UL/DL DCI with data for aperiodic SRS</w:t>
            </w:r>
          </w:p>
          <w:p>
            <w:pPr>
              <w:pStyle w:val="ListParagraph"/>
              <w:widowControl w:val="false"/>
              <w:numPr>
                <w:ilvl w:val="0"/>
                <w:numId w:val="12"/>
              </w:numPr>
              <w:snapToGrid w:val="false"/>
              <w:spacing w:lineRule="auto" w:line="240" w:before="0" w:after="0"/>
              <w:jc w:val="both"/>
              <w:rPr>
                <w:rFonts w:eastAsia="微软雅黑"/>
                <w:sz w:val="20"/>
                <w:szCs w:val="20"/>
              </w:rPr>
            </w:pPr>
            <w:r>
              <w:rPr>
                <w:rFonts w:eastAsia="微软雅黑"/>
                <w:sz w:val="20"/>
                <w:szCs w:val="20"/>
              </w:rPr>
              <w:t xml:space="preserve">FFS group common DCI </w:t>
            </w:r>
          </w:p>
          <w:p>
            <w:pPr>
              <w:pStyle w:val="Normal"/>
              <w:snapToGrid w:val="false"/>
              <w:spacing w:lineRule="auto" w:line="240" w:before="0" w:after="0"/>
              <w:rPr>
                <w:b/>
                <w:b/>
                <w:sz w:val="20"/>
                <w:szCs w:val="20"/>
              </w:rPr>
            </w:pPr>
            <w:r>
              <w:rPr>
                <w:b/>
                <w:sz w:val="20"/>
                <w:szCs w:val="20"/>
              </w:rPr>
              <w:t>Agreement</w:t>
            </w:r>
          </w:p>
          <w:p>
            <w:pPr>
              <w:pStyle w:val="Normal"/>
              <w:widowControl w:val="false"/>
              <w:snapToGrid w:val="false"/>
              <w:spacing w:lineRule="auto" w:line="240" w:before="0" w:after="0"/>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pPr>
              <w:pStyle w:val="ListParagraph"/>
              <w:widowControl w:val="false"/>
              <w:numPr>
                <w:ilvl w:val="0"/>
                <w:numId w:val="7"/>
              </w:numPr>
              <w:snapToGrid w:val="false"/>
              <w:spacing w:lineRule="auto" w:line="240" w:before="0" w:after="0"/>
              <w:jc w:val="both"/>
              <w:rPr>
                <w:rFonts w:eastAsia="Malgun Gothic"/>
                <w:sz w:val="20"/>
                <w:szCs w:val="20"/>
              </w:rPr>
            </w:pPr>
            <w:r>
              <w:rPr>
                <w:sz w:val="20"/>
                <w:szCs w:val="20"/>
              </w:rPr>
              <w:t>Note: Extensions of Rel-15/16 frequency hopping are included in Classes 2 and 3, e.g. where UE hops once per symbol within a Rel-17 SRS resource.</w:t>
            </w:r>
          </w:p>
          <w:p>
            <w:pPr>
              <w:pStyle w:val="Normal"/>
              <w:widowControl w:val="false"/>
              <w:snapToGrid w:val="false"/>
              <w:spacing w:lineRule="auto" w:line="240" w:before="0" w:after="0"/>
              <w:jc w:val="both"/>
              <w:rPr>
                <w:rFonts w:eastAsia="微软雅黑"/>
                <w:i/>
                <w:i/>
                <w:sz w:val="20"/>
                <w:szCs w:val="20"/>
              </w:rPr>
            </w:pPr>
            <w:r>
              <w:rPr>
                <w:rFonts w:eastAsia="微软雅黑"/>
                <w:i/>
                <w:sz w:val="20"/>
                <w:szCs w:val="20"/>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References</w:t>
      </w:r>
    </w:p>
    <w:p>
      <w:pPr>
        <w:pStyle w:val="NoSpacing1"/>
        <w:snapToGrid w:val="false"/>
        <w:rPr>
          <w:bCs/>
          <w:sz w:val="20"/>
          <w:szCs w:val="20"/>
        </w:rPr>
      </w:pPr>
      <w:r>
        <w:rPr>
          <w:bCs/>
          <w:sz w:val="20"/>
          <w:szCs w:val="20"/>
        </w:rPr>
        <w:t>[1] RP-193133, New WID: Further enhancements on MIMO for NR, Samsung</w:t>
      </w:r>
    </w:p>
    <w:p>
      <w:pPr>
        <w:pStyle w:val="NoSpacing1"/>
        <w:snapToGrid w:val="false"/>
        <w:rPr>
          <w:bCs/>
          <w:sz w:val="20"/>
          <w:szCs w:val="20"/>
          <w:lang w:val="en-GB"/>
        </w:rPr>
      </w:pPr>
      <w:r>
        <w:rPr>
          <w:bCs/>
          <w:sz w:val="20"/>
          <w:szCs w:val="20"/>
        </w:rPr>
        <w:t xml:space="preserve">[2] </w:t>
      </w:r>
      <w:r>
        <w:rPr>
          <w:bCs/>
          <w:sz w:val="20"/>
          <w:szCs w:val="20"/>
          <w:lang w:val="en-GB"/>
        </w:rPr>
        <w:t>R1-2007544, Enhancements on SRS flexibility, coverage and capacity, FUTUREWEI</w:t>
      </w:r>
    </w:p>
    <w:p>
      <w:pPr>
        <w:pStyle w:val="NoSpacing1"/>
        <w:snapToGrid w:val="false"/>
        <w:rPr>
          <w:bCs/>
          <w:sz w:val="20"/>
          <w:szCs w:val="20"/>
          <w:lang w:val="en-GB"/>
        </w:rPr>
      </w:pPr>
      <w:r>
        <w:rPr>
          <w:bCs/>
          <w:sz w:val="20"/>
          <w:szCs w:val="20"/>
          <w:lang w:val="en-GB"/>
        </w:rPr>
        <w:t>[4] R1-2007591, Discussion on SRS enhancements for Rel-17, Huawei, HiSilicon</w:t>
      </w:r>
    </w:p>
    <w:p>
      <w:pPr>
        <w:pStyle w:val="NoSpacing1"/>
        <w:snapToGrid w:val="false"/>
        <w:rPr>
          <w:bCs/>
          <w:sz w:val="20"/>
          <w:szCs w:val="20"/>
          <w:lang w:val="en-GB"/>
        </w:rPr>
      </w:pPr>
      <w:r>
        <w:rPr>
          <w:bCs/>
          <w:sz w:val="20"/>
          <w:szCs w:val="20"/>
          <w:lang w:val="en-GB"/>
        </w:rPr>
        <w:t>[5] R1-2007631, Discussion on SRS Enhancements, InterDigital, Inc.</w:t>
      </w:r>
    </w:p>
    <w:p>
      <w:pPr>
        <w:pStyle w:val="NoSpacing1"/>
        <w:snapToGrid w:val="false"/>
        <w:rPr>
          <w:bCs/>
          <w:sz w:val="20"/>
          <w:szCs w:val="20"/>
          <w:lang w:val="en-GB"/>
        </w:rPr>
      </w:pPr>
      <w:r>
        <w:rPr>
          <w:bCs/>
          <w:sz w:val="20"/>
          <w:szCs w:val="20"/>
          <w:lang w:val="en-GB"/>
        </w:rPr>
        <w:t>[6] R1-2007649, Further discussion on SRS enhancement, vivo</w:t>
      </w:r>
    </w:p>
    <w:p>
      <w:pPr>
        <w:pStyle w:val="NoSpacing1"/>
        <w:snapToGrid w:val="false"/>
        <w:rPr>
          <w:bCs/>
          <w:sz w:val="20"/>
          <w:szCs w:val="20"/>
          <w:lang w:val="en-GB"/>
        </w:rPr>
      </w:pPr>
      <w:r>
        <w:rPr>
          <w:bCs/>
          <w:sz w:val="20"/>
          <w:szCs w:val="20"/>
          <w:lang w:val="en-GB"/>
        </w:rPr>
        <w:t>[7] R1-2007768, Enhancements on SRS flexibility, coverage and capacity, ZTE</w:t>
      </w:r>
    </w:p>
    <w:p>
      <w:pPr>
        <w:pStyle w:val="NoSpacing1"/>
        <w:snapToGrid w:val="false"/>
        <w:rPr>
          <w:bCs/>
          <w:sz w:val="20"/>
          <w:szCs w:val="20"/>
          <w:lang w:val="en-GB"/>
        </w:rPr>
      </w:pPr>
      <w:r>
        <w:rPr>
          <w:bCs/>
          <w:sz w:val="20"/>
          <w:szCs w:val="20"/>
          <w:lang w:val="en-GB"/>
        </w:rPr>
        <w:t>[8] R1-2007829, On enhancements on SRS flexibility, coverage and capacity, CATT</w:t>
      </w:r>
    </w:p>
    <w:p>
      <w:pPr>
        <w:pStyle w:val="NoSpacing1"/>
        <w:snapToGrid w:val="false"/>
        <w:rPr>
          <w:bCs/>
          <w:sz w:val="20"/>
          <w:szCs w:val="20"/>
          <w:lang w:val="en-GB"/>
        </w:rPr>
      </w:pPr>
      <w:r>
        <w:rPr>
          <w:bCs/>
          <w:sz w:val="20"/>
          <w:szCs w:val="20"/>
          <w:lang w:val="en-GB"/>
        </w:rPr>
        <w:t>[9] R1-2008005, Enhancements on SRS flexibility, coverage and capacity, CMCC</w:t>
      </w:r>
    </w:p>
    <w:p>
      <w:pPr>
        <w:pStyle w:val="NoSpacing1"/>
        <w:snapToGrid w:val="false"/>
        <w:rPr>
          <w:bCs/>
          <w:sz w:val="20"/>
          <w:szCs w:val="20"/>
          <w:lang w:val="en-GB"/>
        </w:rPr>
      </w:pPr>
      <w:r>
        <w:rPr>
          <w:bCs/>
          <w:sz w:val="20"/>
          <w:szCs w:val="20"/>
          <w:lang w:val="en-GB"/>
        </w:rPr>
        <w:t>[10] R1-2008153, Enhancements on SRS, Samsung</w:t>
      </w:r>
    </w:p>
    <w:p>
      <w:pPr>
        <w:pStyle w:val="NoSpacing1"/>
        <w:snapToGrid w:val="false"/>
        <w:rPr>
          <w:bCs/>
          <w:sz w:val="20"/>
          <w:szCs w:val="20"/>
          <w:lang w:val="en-GB"/>
        </w:rPr>
      </w:pPr>
      <w:r>
        <w:rPr>
          <w:bCs/>
          <w:sz w:val="20"/>
          <w:szCs w:val="20"/>
          <w:lang w:val="en-GB"/>
        </w:rPr>
        <w:t>[11] R1-2008222, Enhancements on SRS flexibility, coverage and capacity, OPPO</w:t>
      </w:r>
    </w:p>
    <w:p>
      <w:pPr>
        <w:pStyle w:val="NoSpacing1"/>
        <w:snapToGrid w:val="false"/>
        <w:rPr>
          <w:bCs/>
          <w:sz w:val="20"/>
          <w:szCs w:val="20"/>
          <w:lang w:val="en-GB"/>
        </w:rPr>
      </w:pPr>
      <w:r>
        <w:rPr>
          <w:bCs/>
          <w:sz w:val="20"/>
          <w:szCs w:val="20"/>
          <w:lang w:val="en-GB"/>
        </w:rPr>
        <w:t>[12] R1-2008351, Considerations on SRS flexibility, coverage and capacity, Sony</w:t>
      </w:r>
    </w:p>
    <w:p>
      <w:pPr>
        <w:pStyle w:val="NoSpacing1"/>
        <w:snapToGrid w:val="false"/>
        <w:rPr>
          <w:bCs/>
          <w:sz w:val="20"/>
          <w:szCs w:val="20"/>
          <w:lang w:val="en-GB"/>
        </w:rPr>
      </w:pPr>
      <w:r>
        <w:rPr>
          <w:bCs/>
          <w:sz w:val="20"/>
          <w:szCs w:val="20"/>
          <w:lang w:val="en-GB"/>
        </w:rPr>
        <w:t>[13] R1-2008443, Views on Rel-17 SRS enhancement, Apple</w:t>
      </w:r>
    </w:p>
    <w:p>
      <w:pPr>
        <w:pStyle w:val="NoSpacing1"/>
        <w:snapToGrid w:val="false"/>
        <w:rPr>
          <w:bCs/>
          <w:sz w:val="20"/>
          <w:szCs w:val="20"/>
          <w:lang w:val="en-GB"/>
        </w:rPr>
      </w:pPr>
      <w:r>
        <w:rPr>
          <w:bCs/>
          <w:sz w:val="20"/>
          <w:szCs w:val="20"/>
          <w:lang w:val="en-GB"/>
        </w:rPr>
        <w:t>[14] R1-2008578, Enhancements on SRS flexibility, coverage and capacity, LG Electronics</w:t>
      </w:r>
    </w:p>
    <w:p>
      <w:pPr>
        <w:pStyle w:val="NoSpacing1"/>
        <w:snapToGrid w:val="false"/>
        <w:rPr>
          <w:bCs/>
          <w:sz w:val="20"/>
          <w:szCs w:val="20"/>
          <w:lang w:val="en-GB"/>
        </w:rPr>
      </w:pPr>
      <w:r>
        <w:rPr>
          <w:bCs/>
          <w:sz w:val="20"/>
          <w:szCs w:val="20"/>
          <w:lang w:val="en-GB"/>
        </w:rPr>
        <w:t>[15] R1-2008900, Enhancements on SRS for coverage and capacity, Fraunhofer IIS, Fraunhofer HHI</w:t>
      </w:r>
    </w:p>
    <w:p>
      <w:pPr>
        <w:pStyle w:val="NoSpacing1"/>
        <w:snapToGrid w:val="false"/>
        <w:rPr>
          <w:bCs/>
          <w:sz w:val="20"/>
          <w:szCs w:val="20"/>
          <w:lang w:val="en-GB"/>
        </w:rPr>
      </w:pPr>
      <w:r>
        <w:rPr>
          <w:bCs/>
          <w:sz w:val="20"/>
          <w:szCs w:val="20"/>
          <w:lang w:val="en-GB"/>
        </w:rPr>
        <w:t>[16] R1-2008908, Enhancements on SRS flexibility, coverage and capacity, Nokia, Nokia Shanghai Bell</w:t>
      </w:r>
    </w:p>
    <w:p>
      <w:pPr>
        <w:pStyle w:val="NoSpacing1"/>
        <w:snapToGrid w:val="false"/>
        <w:rPr>
          <w:bCs/>
          <w:sz w:val="20"/>
          <w:szCs w:val="20"/>
          <w:lang w:val="en-GB"/>
        </w:rPr>
      </w:pPr>
      <w:r>
        <w:rPr>
          <w:bCs/>
          <w:sz w:val="20"/>
          <w:szCs w:val="20"/>
          <w:lang w:val="en-GB"/>
        </w:rPr>
        <w:t>[17] R1-2008914, Enhancements on SRS, Lenovo, Motorola Mobility</w:t>
      </w:r>
    </w:p>
    <w:p>
      <w:pPr>
        <w:pStyle w:val="NoSpacing1"/>
        <w:snapToGrid w:val="false"/>
        <w:rPr>
          <w:bCs/>
          <w:sz w:val="20"/>
          <w:szCs w:val="20"/>
          <w:lang w:val="en-GB"/>
        </w:rPr>
      </w:pPr>
      <w:r>
        <w:rPr>
          <w:bCs/>
          <w:sz w:val="20"/>
          <w:szCs w:val="20"/>
          <w:lang w:val="en-GB"/>
        </w:rPr>
        <w:t>[18] R1-2008948, Discussion on SRS enhancement, NEC</w:t>
      </w:r>
    </w:p>
    <w:p>
      <w:pPr>
        <w:pStyle w:val="NoSpacing1"/>
        <w:snapToGrid w:val="false"/>
        <w:rPr>
          <w:bCs/>
          <w:sz w:val="20"/>
          <w:szCs w:val="20"/>
          <w:lang w:val="en-GB"/>
        </w:rPr>
      </w:pPr>
      <w:r>
        <w:rPr>
          <w:bCs/>
          <w:sz w:val="20"/>
          <w:szCs w:val="20"/>
          <w:lang w:val="en-GB"/>
        </w:rPr>
        <w:t>[19] R1-2008959, Enhancements on SRS flexibility, coverage and capacity, MediaTek Inc.</w:t>
      </w:r>
    </w:p>
    <w:p>
      <w:pPr>
        <w:pStyle w:val="NoSpacing1"/>
        <w:snapToGrid w:val="false"/>
        <w:rPr>
          <w:bCs/>
          <w:sz w:val="20"/>
          <w:szCs w:val="20"/>
          <w:lang w:val="en-GB"/>
        </w:rPr>
      </w:pPr>
      <w:r>
        <w:rPr>
          <w:bCs/>
          <w:sz w:val="20"/>
          <w:szCs w:val="20"/>
          <w:lang w:val="en-GB"/>
        </w:rPr>
        <w:t>[20] R1-2008982, Discussion on SRS enhancements, Intel Corporation</w:t>
      </w:r>
    </w:p>
    <w:p>
      <w:pPr>
        <w:pStyle w:val="NoSpacing1"/>
        <w:snapToGrid w:val="false"/>
        <w:rPr>
          <w:bCs/>
          <w:sz w:val="20"/>
          <w:szCs w:val="20"/>
          <w:lang w:val="en-GB"/>
        </w:rPr>
      </w:pPr>
      <w:r>
        <w:rPr>
          <w:bCs/>
          <w:sz w:val="20"/>
          <w:szCs w:val="20"/>
          <w:lang w:val="en-GB"/>
        </w:rPr>
        <w:t>[21] R1-2009031, Discussion on SRS enhancements, Xiaomi</w:t>
      </w:r>
    </w:p>
    <w:p>
      <w:pPr>
        <w:pStyle w:val="NoSpacing1"/>
        <w:snapToGrid w:val="false"/>
        <w:rPr>
          <w:bCs/>
          <w:sz w:val="20"/>
          <w:szCs w:val="20"/>
          <w:lang w:val="en-GB"/>
        </w:rPr>
      </w:pPr>
      <w:r>
        <w:rPr>
          <w:bCs/>
          <w:sz w:val="20"/>
          <w:szCs w:val="20"/>
          <w:lang w:val="en-GB"/>
        </w:rPr>
        <w:t>[22] R1-2009131, Enhancements on SRS, Sharp</w:t>
      </w:r>
    </w:p>
    <w:p>
      <w:pPr>
        <w:pStyle w:val="NoSpacing1"/>
        <w:snapToGrid w:val="false"/>
        <w:rPr>
          <w:bCs/>
          <w:sz w:val="20"/>
          <w:szCs w:val="20"/>
          <w:lang w:val="en-GB"/>
        </w:rPr>
      </w:pPr>
      <w:r>
        <w:rPr>
          <w:bCs/>
          <w:sz w:val="20"/>
          <w:szCs w:val="20"/>
          <w:lang w:val="en-GB"/>
        </w:rPr>
        <w:t>[23] R1-2009146, Considerations on SRS enhancement, Spreadtrum Communications</w:t>
      </w:r>
    </w:p>
    <w:p>
      <w:pPr>
        <w:pStyle w:val="NoSpacing1"/>
        <w:snapToGrid w:val="false"/>
        <w:rPr>
          <w:bCs/>
          <w:sz w:val="20"/>
          <w:szCs w:val="20"/>
          <w:lang w:val="en-GB"/>
        </w:rPr>
      </w:pPr>
      <w:r>
        <w:rPr>
          <w:bCs/>
          <w:sz w:val="20"/>
          <w:szCs w:val="20"/>
          <w:lang w:val="en-GB"/>
        </w:rPr>
        <w:t>[24] R1-2009179, Discussion on SRS enhancement, NTT DOCOMO, INC.</w:t>
      </w:r>
    </w:p>
    <w:p>
      <w:pPr>
        <w:pStyle w:val="NoSpacing1"/>
        <w:snapToGrid w:val="false"/>
        <w:rPr>
          <w:bCs/>
          <w:sz w:val="20"/>
          <w:szCs w:val="20"/>
          <w:lang w:val="en-GB"/>
        </w:rPr>
      </w:pPr>
      <w:r>
        <w:rPr>
          <w:bCs/>
          <w:sz w:val="20"/>
          <w:szCs w:val="20"/>
          <w:lang w:val="en-GB"/>
        </w:rPr>
        <w:t>[25] R1-2009211, SRS Performance and Potential Enhancements, Ericsson LM</w:t>
      </w:r>
    </w:p>
    <w:p>
      <w:pPr>
        <w:pStyle w:val="NoSpacing1"/>
        <w:snapToGrid w:val="false"/>
        <w:rPr>
          <w:bCs/>
          <w:sz w:val="20"/>
          <w:szCs w:val="20"/>
          <w:lang w:val="en-GB"/>
        </w:rPr>
      </w:pPr>
      <w:r>
        <w:rPr>
          <w:bCs/>
          <w:sz w:val="20"/>
          <w:szCs w:val="20"/>
          <w:lang w:val="en-GB"/>
        </w:rPr>
        <w:t>[26] R1-2009255, Enhancements on SRS flexibility, coverage and capacity, Qualcomm Incorporated</w:t>
      </w:r>
    </w:p>
    <w:p>
      <w:pPr>
        <w:pStyle w:val="NoSpacing1"/>
        <w:snapToGrid w:val="false"/>
        <w:rPr>
          <w:bCs/>
          <w:sz w:val="20"/>
          <w:szCs w:val="20"/>
          <w:lang w:val="en-GB"/>
        </w:rPr>
      </w:pPr>
      <w:r>
        <w:rPr>
          <w:bCs/>
          <w:sz w:val="20"/>
          <w:szCs w:val="20"/>
          <w:lang w:val="en-GB"/>
        </w:rPr>
        <w:t>[27] R1-2009286, Discussion on enhancement of SRS in Rel. 17 further enhanced MIMO, CEWiT</w:t>
      </w:r>
    </w:p>
    <w:p>
      <w:pPr>
        <w:pStyle w:val="NoSpacing1"/>
        <w:snapToGrid w:val="false"/>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宋体">
    <w:charset w:val="01"/>
    <w:family w:val="roman"/>
    <w:pitch w:val="variable"/>
  </w:font>
  <w:font w:name="Tahoma">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Times New Roman">
    <w:charset w:val="01"/>
    <w:family w:val="auto"/>
    <w:pitch w:val="default"/>
  </w:font>
  <w:font w:name="Wingdings">
    <w:charset w:val="02"/>
    <w:family w:val="auto"/>
    <w:pitch w:val="default"/>
  </w:font>
  <w:font w:name="Microsoft Sans Serif">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3694" w:hanging="575"/>
      </w:pPr>
    </w:lvl>
    <w:lvl w:ilvl="2">
      <w:start w:val="1"/>
      <w:pStyle w:val="Heading3"/>
      <w:numFmt w:val="decimal"/>
      <w:lvlText w:val="%1.%2.%3."/>
      <w:lvlJc w:val="left"/>
      <w:pPr>
        <w:ind w:left="720" w:hanging="720"/>
      </w:pPr>
      <w:rPr>
        <w:sz w:val="22"/>
        <w:szCs w:val="22"/>
      </w:r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1" w:hanging="1151"/>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3" w:hanging="1583"/>
      </w:pPr>
    </w:lvl>
  </w:abstractNum>
  <w:abstractNum w:abstractNumId="2">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Fonts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lvl w:ilvl="0">
      <w:start w:val="1"/>
      <w:numFmt w:val="bullet"/>
      <w:lvlText w:val=""/>
      <w:lvlJc w:val="left"/>
      <w:pPr>
        <w:ind w:left="420" w:hanging="420"/>
      </w:pPr>
      <w:rPr>
        <w:rFonts w:ascii="Wingdings" w:hAnsi="Wingdings" w:cs="Wingdings" w:hint="default"/>
        <w:sz w:val="20"/>
        <w:rFonts w:cs="Wingdings"/>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Microsoft Sans Serif" w:hAnsi="Microsoft Sans Serif" w:cs="Microsoft Sans Serif" w:hint="default"/>
        <w:sz w:val="20"/>
        <w:rFonts w:cs="Microsoft Sans Serif"/>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1">
    <w:lvl w:ilvl="0">
      <w:start w:val="1"/>
      <w:numFmt w:val="bullet"/>
      <w:lvlText w:val=""/>
      <w:lvlJc w:val="left"/>
      <w:pPr>
        <w:ind w:left="1140" w:hanging="420"/>
      </w:pPr>
      <w:rPr>
        <w:rFonts w:ascii="Wingdings" w:hAnsi="Wingdings" w:cs="Wingdings" w:hint="default"/>
        <w:sz w:val="20"/>
        <w:rFonts w:cs="Wingdings"/>
      </w:rPr>
    </w:lvl>
    <w:lvl w:ilvl="1">
      <w:start w:val="2"/>
      <w:numFmt w:val="bullet"/>
      <w:lvlText w:val="-"/>
      <w:lvlJc w:val="left"/>
      <w:pPr>
        <w:ind w:left="1560" w:hanging="420"/>
      </w:pPr>
      <w:rPr>
        <w:rFonts w:ascii="Arial" w:hAnsi="Arial" w:cs="Arial" w:hint="default"/>
        <w:sz w:val="20"/>
        <w:rFonts w:cs="Arial"/>
      </w:rPr>
    </w:lvl>
    <w:lvl w:ilvl="2">
      <w:start w:val="1"/>
      <w:numFmt w:val="bullet"/>
      <w:lvlText w:val=""/>
      <w:lvlJc w:val="left"/>
      <w:pPr>
        <w:ind w:left="1980" w:hanging="420"/>
      </w:pPr>
      <w:rPr>
        <w:rFonts w:ascii="Wingdings" w:hAnsi="Wingdings" w:cs="Wingdings" w:hint="default"/>
        <w:rFonts w:cs="Wingdings"/>
      </w:rPr>
    </w:lvl>
    <w:lvl w:ilvl="3">
      <w:start w:val="1"/>
      <w:numFmt w:val="bullet"/>
      <w:lvlText w:val=""/>
      <w:lvlJc w:val="left"/>
      <w:pPr>
        <w:ind w:left="2400" w:hanging="420"/>
      </w:pPr>
      <w:rPr>
        <w:rFonts w:ascii="Wingdings" w:hAnsi="Wingdings" w:cs="Wingdings" w:hint="default"/>
        <w:rFonts w:cs="Wingdings"/>
      </w:rPr>
    </w:lvl>
    <w:lvl w:ilvl="4">
      <w:start w:val="1"/>
      <w:numFmt w:val="bullet"/>
      <w:lvlText w:val=""/>
      <w:lvlJc w:val="left"/>
      <w:pPr>
        <w:ind w:left="2820" w:hanging="420"/>
      </w:pPr>
      <w:rPr>
        <w:rFonts w:ascii="Wingdings" w:hAnsi="Wingdings" w:cs="Wingdings" w:hint="default"/>
        <w:rFonts w:cs="Wingdings"/>
      </w:rPr>
    </w:lvl>
    <w:lvl w:ilvl="5">
      <w:start w:val="1"/>
      <w:numFmt w:val="bullet"/>
      <w:lvlText w:val=""/>
      <w:lvlJc w:val="left"/>
      <w:pPr>
        <w:ind w:left="3240" w:hanging="420"/>
      </w:pPr>
      <w:rPr>
        <w:rFonts w:ascii="Wingdings" w:hAnsi="Wingdings" w:cs="Wingdings" w:hint="default"/>
        <w:rFonts w:cs="Wingdings"/>
      </w:rPr>
    </w:lvl>
    <w:lvl w:ilvl="6">
      <w:start w:val="1"/>
      <w:numFmt w:val="bullet"/>
      <w:lvlText w:val=""/>
      <w:lvlJc w:val="left"/>
      <w:pPr>
        <w:ind w:left="3660" w:hanging="420"/>
      </w:pPr>
      <w:rPr>
        <w:rFonts w:ascii="Wingdings" w:hAnsi="Wingdings" w:cs="Wingdings" w:hint="default"/>
        <w:rFonts w:cs="Wingdings"/>
      </w:rPr>
    </w:lvl>
    <w:lvl w:ilvl="7">
      <w:start w:val="1"/>
      <w:numFmt w:val="bullet"/>
      <w:lvlText w:val=""/>
      <w:lvlJc w:val="left"/>
      <w:pPr>
        <w:ind w:left="4080" w:hanging="420"/>
      </w:pPr>
      <w:rPr>
        <w:rFonts w:ascii="Wingdings" w:hAnsi="Wingdings" w:cs="Wingdings" w:hint="default"/>
        <w:rFonts w:cs="Wingdings"/>
      </w:rPr>
    </w:lvl>
    <w:lvl w:ilvl="8">
      <w:start w:val="1"/>
      <w:numFmt w:val="bullet"/>
      <w:lvlText w:val=""/>
      <w:lvlJc w:val="left"/>
      <w:pPr>
        <w:ind w:left="4500" w:hanging="420"/>
      </w:pPr>
      <w:rPr>
        <w:rFonts w:ascii="Wingdings" w:hAnsi="Wingdings" w:cs="Wingdings" w:hint="default"/>
        <w:rFonts w:cs="Wingdings"/>
      </w:rPr>
    </w:lvl>
  </w:abstractNum>
  <w:abstractNum w:abstractNumId="12">
    <w:lvl w:ilvl="0">
      <w:start w:val="1"/>
      <w:numFmt w:val="bullet"/>
      <w:lvlText w:val=""/>
      <w:lvlJc w:val="left"/>
      <w:pPr>
        <w:ind w:left="1140" w:hanging="420"/>
      </w:pPr>
      <w:rPr>
        <w:rFonts w:ascii="Wingdings" w:hAnsi="Wingdings" w:cs="Wingdings" w:hint="default"/>
        <w:sz w:val="20"/>
        <w:rFonts w:cs="Wingdings"/>
      </w:rPr>
    </w:lvl>
    <w:lvl w:ilvl="1">
      <w:start w:val="1"/>
      <w:numFmt w:val="bullet"/>
      <w:lvlText w:val=""/>
      <w:lvlJc w:val="left"/>
      <w:pPr>
        <w:ind w:left="1560" w:hanging="420"/>
      </w:pPr>
      <w:rPr>
        <w:rFonts w:ascii="Wingdings" w:hAnsi="Wingdings" w:cs="Wingdings" w:hint="default"/>
        <w:rFonts w:cs="Wingdings"/>
      </w:rPr>
    </w:lvl>
    <w:lvl w:ilvl="2">
      <w:start w:val="1"/>
      <w:numFmt w:val="bullet"/>
      <w:lvlText w:val=""/>
      <w:lvlJc w:val="left"/>
      <w:pPr>
        <w:ind w:left="1980" w:hanging="420"/>
      </w:pPr>
      <w:rPr>
        <w:rFonts w:ascii="Wingdings" w:hAnsi="Wingdings" w:cs="Wingdings" w:hint="default"/>
        <w:rFonts w:cs="Wingdings"/>
      </w:rPr>
    </w:lvl>
    <w:lvl w:ilvl="3">
      <w:start w:val="1"/>
      <w:numFmt w:val="bullet"/>
      <w:lvlText w:val=""/>
      <w:lvlJc w:val="left"/>
      <w:pPr>
        <w:ind w:left="2400" w:hanging="420"/>
      </w:pPr>
      <w:rPr>
        <w:rFonts w:ascii="Wingdings" w:hAnsi="Wingdings" w:cs="Wingdings" w:hint="default"/>
        <w:rFonts w:cs="Wingdings"/>
      </w:rPr>
    </w:lvl>
    <w:lvl w:ilvl="4">
      <w:start w:val="1"/>
      <w:numFmt w:val="bullet"/>
      <w:lvlText w:val=""/>
      <w:lvlJc w:val="left"/>
      <w:pPr>
        <w:ind w:left="2820" w:hanging="420"/>
      </w:pPr>
      <w:rPr>
        <w:rFonts w:ascii="Wingdings" w:hAnsi="Wingdings" w:cs="Wingdings" w:hint="default"/>
        <w:rFonts w:cs="Wingdings"/>
      </w:rPr>
    </w:lvl>
    <w:lvl w:ilvl="5">
      <w:start w:val="1"/>
      <w:numFmt w:val="bullet"/>
      <w:lvlText w:val=""/>
      <w:lvlJc w:val="left"/>
      <w:pPr>
        <w:ind w:left="3240" w:hanging="420"/>
      </w:pPr>
      <w:rPr>
        <w:rFonts w:ascii="Wingdings" w:hAnsi="Wingdings" w:cs="Wingdings" w:hint="default"/>
        <w:rFonts w:cs="Wingdings"/>
      </w:rPr>
    </w:lvl>
    <w:lvl w:ilvl="6">
      <w:start w:val="1"/>
      <w:numFmt w:val="bullet"/>
      <w:lvlText w:val=""/>
      <w:lvlJc w:val="left"/>
      <w:pPr>
        <w:ind w:left="3660" w:hanging="420"/>
      </w:pPr>
      <w:rPr>
        <w:rFonts w:ascii="Wingdings" w:hAnsi="Wingdings" w:cs="Wingdings" w:hint="default"/>
        <w:rFonts w:cs="Wingdings"/>
      </w:rPr>
    </w:lvl>
    <w:lvl w:ilvl="7">
      <w:start w:val="1"/>
      <w:numFmt w:val="bullet"/>
      <w:lvlText w:val=""/>
      <w:lvlJc w:val="left"/>
      <w:pPr>
        <w:ind w:left="4080" w:hanging="420"/>
      </w:pPr>
      <w:rPr>
        <w:rFonts w:ascii="Wingdings" w:hAnsi="Wingdings" w:cs="Wingdings" w:hint="default"/>
        <w:rFonts w:cs="Wingdings"/>
      </w:rPr>
    </w:lvl>
    <w:lvl w:ilvl="8">
      <w:start w:val="1"/>
      <w:numFmt w:val="bullet"/>
      <w:lvlText w:val=""/>
      <w:lvlJc w:val="left"/>
      <w:pPr>
        <w:ind w:left="4500" w:hanging="42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3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宋体" w:asciiTheme="minorHAnsi" w:cstheme="minorBidi" w:eastAsiaTheme="minorEastAsia" w:hAnsiTheme="minorHAnsi"/>
        <w:lang w:val="en-IN"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9" w:semiHidden="0" w:unhideWhenUsed="0" w:qFormat="1"/>
    <w:lsdException w:name="heading 2" w:uiPriority="0"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semiHidden="0" w:unhideWhenUsed="0" w:qFormat="1"/>
    <w:lsdException w:name="footnote text" w:uiPriority="0" w:unhideWhenUsed="0" w:qFormat="1"/>
    <w:lsdException w:name="annotation text" w:uiPriority="99" w:semiHidden="0" w:qFormat="1"/>
    <w:lsdException w:name="header" w:uiPriority="0" w:semiHidden="0" w:unhideWhenUsed="0" w:qFormat="1"/>
    <w:lsdException w:name="footer" w:uiPriority="0" w:semiHidden="0" w:unhideWhenUsed="0" w:qFormat="1"/>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0" w:unhideWhenUsed="0" w:qFormat="1"/>
    <w:lsdException w:name="annotation reference" w:uiPriority="0" w:semiHidden="0" w:qFormat="1"/>
    <w:lsdException w:name="line number" w:uiPriority="99"/>
    <w:lsdException w:name="page number" w:uiPriority="0" w:unhideWhenUsed="0" w:qFormat="1"/>
    <w:lsdException w:name="endnote reference" w:uiPriority="99"/>
    <w:lsdException w:name="endnote text" w:uiPriority="99"/>
    <w:lsdException w:name="table of authorities" w:uiPriority="99"/>
    <w:lsdException w:name="macro" w:uiPriority="99"/>
    <w:lsdException w:name="toa heading" w:uiPriority="99"/>
    <w:lsdException w:name="List" w:uiPriority="99" w:semiHidden="0" w:qFormat="1"/>
    <w:lsdException w:name="List Bullet" w:uiPriority="99" w:semiHidden="0" w:qFormat="1"/>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semiHidden="0" w:qFormat="1"/>
    <w:lsdException w:name="Strong" w:uiPriority="22" w:semiHidden="0" w:unhideWhenUsed="0" w:qFormat="1"/>
    <w:lsdException w:name="Emphasis" w:uiPriority="0" w:semiHidden="0" w:unhideWhenUsed="0" w:qFormat="1"/>
    <w:lsdException w:name="Document Map" w:uiPriority="99" w:semiHidden="0" w:qFormat="1"/>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semiHidden="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semiHidden="0" w:unhideWhenUsed="0"/>
    <w:lsdException w:name="Table Web 1" w:uiPriority="99"/>
    <w:lsdException w:name="Table Web 2" w:uiPriority="99"/>
    <w:lsdException w:name="Table Web 3" w:uiPriority="99" w:semiHidden="0" w:unhideWhenUsed="0"/>
    <w:lsdException w:name="Balloon Text" w:uiPriority="99" w:semiHidden="0" w:qFormat="1"/>
    <w:lsdException w:name="Table Grid" w:uiPriority="39" w:semiHidden="0" w:unhideWhenUsed="0" w:qFormat="1"/>
    <w:lsdException w:name="Table Theme" w:uiPriority="99"/>
    <w:lsdException w:name="Placeholder Text" w:uiPriority="99"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34" w:semiHidden="0" w:unhideWhenUsed="0" w:qFormat="1"/>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200"/>
      <w:jc w:val="left"/>
    </w:pPr>
    <w:rPr>
      <w:rFonts w:ascii="Times New Roman" w:hAnsi="Times New Roman" w:eastAsia="宋体" w:cs="Times New Roman"/>
      <w:color w:val="auto"/>
      <w:kern w:val="0"/>
      <w:sz w:val="22"/>
      <w:szCs w:val="22"/>
      <w:lang w:val="en-US" w:eastAsia="zh-CN" w:bidi="ar-SA"/>
    </w:rPr>
  </w:style>
  <w:style w:type="paragraph" w:styleId="Heading1">
    <w:name w:val="Heading 1"/>
    <w:basedOn w:val="Normal"/>
    <w:uiPriority w:val="99"/>
    <w:qFormat/>
    <w:pPr>
      <w:widowControl w:val="false"/>
      <w:numPr>
        <w:ilvl w:val="0"/>
        <w:numId w:val="1"/>
      </w:numPr>
      <w:tabs>
        <w:tab w:val="left" w:pos="432" w:leader="none"/>
      </w:tabs>
      <w:spacing w:lineRule="auto" w:line="240" w:before="0" w:after="0"/>
      <w:outlineLvl w:val="0"/>
    </w:pPr>
    <w:rPr>
      <w:rFonts w:ascii="Arial" w:hAnsi="Arial" w:eastAsia="黑体"/>
      <w:b/>
      <w:bCs/>
      <w:sz w:val="30"/>
      <w:szCs w:val="30"/>
      <w:lang w:val="zh-CN"/>
    </w:rPr>
  </w:style>
  <w:style w:type="paragraph" w:styleId="Heading2">
    <w:name w:val="Heading 2"/>
    <w:basedOn w:val="Normal"/>
    <w:uiPriority w:val="0"/>
    <w:qFormat/>
    <w:pPr>
      <w:keepNext w:val="true"/>
      <w:keepLines/>
      <w:numPr>
        <w:ilvl w:val="1"/>
        <w:numId w:val="1"/>
      </w:numPr>
      <w:spacing w:lineRule="auto" w:line="408" w:before="260" w:after="260"/>
      <w:outlineLvl w:val="1"/>
    </w:pPr>
    <w:rPr>
      <w:rFonts w:ascii="Arial" w:hAnsi="Arial" w:eastAsia="黑体"/>
      <w:b/>
      <w:sz w:val="32"/>
    </w:rPr>
  </w:style>
  <w:style w:type="paragraph" w:styleId="Heading3">
    <w:name w:val="Heading 3"/>
    <w:basedOn w:val="Normal"/>
    <w:uiPriority w:val="9"/>
    <w:qFormat/>
    <w:pPr>
      <w:keepNext w:val="true"/>
      <w:keepLines/>
      <w:numPr>
        <w:ilvl w:val="2"/>
        <w:numId w:val="1"/>
      </w:numPr>
      <w:tabs>
        <w:tab w:val="left" w:pos="720" w:leader="none"/>
      </w:tabs>
      <w:spacing w:lineRule="auto" w:line="415" w:before="260" w:after="260"/>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before="0" w:after="0"/>
      <w:outlineLvl w:val="4"/>
    </w:pPr>
    <w:rPr>
      <w:rFonts w:ascii="宋体" w:hAnsi="宋体"/>
      <w:b/>
      <w:color w:val="666666"/>
      <w:sz w:val="20"/>
      <w:szCs w:val="20"/>
    </w:rPr>
  </w:style>
  <w:style w:type="paragraph" w:styleId="Heading6">
    <w:name w:val="Heading 6"/>
    <w:basedOn w:val="Normal"/>
    <w:uiPriority w:val="9"/>
    <w:semiHidden/>
    <w:unhideWhenUsed/>
    <w:qFormat/>
    <w:pPr>
      <w:keepNext w:val="true"/>
      <w:keepLines/>
      <w:numPr>
        <w:ilvl w:val="5"/>
        <w:numId w:val="1"/>
      </w:numPr>
      <w:spacing w:lineRule="auto" w:line="312" w:before="240" w:after="64"/>
      <w:outlineLvl w:val="5"/>
    </w:pPr>
    <w:rPr>
      <w:rFonts w:ascii="Arial" w:hAnsi="Arial" w:eastAsia="黑体"/>
      <w:b/>
      <w:sz w:val="24"/>
    </w:rPr>
  </w:style>
  <w:style w:type="paragraph" w:styleId="Heading7">
    <w:name w:val="Heading 7"/>
    <w:basedOn w:val="Normal"/>
    <w:uiPriority w:val="9"/>
    <w:semiHidden/>
    <w:unhideWhenUsed/>
    <w:qFormat/>
    <w:pPr>
      <w:keepNext w:val="true"/>
      <w:keepLines/>
      <w:numPr>
        <w:ilvl w:val="6"/>
        <w:numId w:val="1"/>
      </w:numPr>
      <w:spacing w:lineRule="auto" w:line="312" w:before="240" w:after="64"/>
      <w:outlineLvl w:val="6"/>
    </w:pPr>
    <w:rPr>
      <w:b/>
      <w:sz w:val="24"/>
    </w:rPr>
  </w:style>
  <w:style w:type="paragraph" w:styleId="Heading8">
    <w:name w:val="Heading 8"/>
    <w:basedOn w:val="Normal"/>
    <w:uiPriority w:val="9"/>
    <w:semiHidden/>
    <w:unhideWhenUsed/>
    <w:qFormat/>
    <w:pPr>
      <w:keepNext w:val="true"/>
      <w:keepLines/>
      <w:numPr>
        <w:ilvl w:val="7"/>
        <w:numId w:val="1"/>
      </w:numPr>
      <w:spacing w:lineRule="auto" w:line="312" w:before="240" w:after="64"/>
      <w:outlineLvl w:val="7"/>
    </w:pPr>
    <w:rPr>
      <w:rFonts w:ascii="Arial" w:hAnsi="Arial" w:eastAsia="黑体"/>
      <w:sz w:val="24"/>
    </w:rPr>
  </w:style>
  <w:style w:type="paragraph" w:styleId="Heading9">
    <w:name w:val="Heading 9"/>
    <w:basedOn w:val="Normal"/>
    <w:uiPriority w:val="9"/>
    <w:semiHidden/>
    <w:unhideWhenUsed/>
    <w:qFormat/>
    <w:pPr>
      <w:keepNext w:val="true"/>
      <w:keepLines/>
      <w:numPr>
        <w:ilvl w:val="8"/>
        <w:numId w:val="1"/>
      </w:numPr>
      <w:spacing w:lineRule="auto" w:line="312" w:before="240" w:after="64"/>
      <w:outlineLvl w:val="8"/>
    </w:pPr>
    <w:rPr>
      <w:rFonts w:ascii="Arial" w:hAnsi="Arial" w:eastAsia="黑体"/>
      <w:sz w:val="21"/>
    </w:rPr>
  </w:style>
  <w:style w:type="character" w:styleId="DefaultParagraphFont" w:default="1">
    <w:name w:val="Default Paragraph Font"/>
    <w:uiPriority w:val="1"/>
    <w:semiHidden/>
    <w:unhideWhenUsed/>
    <w:qFormat/>
    <w:rPr/>
  </w:style>
  <w:style w:type="character" w:styleId="Strong">
    <w:name w:val="Strong"/>
    <w:uiPriority w:val="22"/>
    <w:qFormat/>
    <w:rPr>
      <w:b/>
    </w:rPr>
  </w:style>
  <w:style w:type="character" w:styleId="Pagenumber">
    <w:name w:val="page number"/>
    <w:basedOn w:val="DefaultParagraphFont"/>
    <w:uiPriority w:val="0"/>
    <w:semiHidden/>
    <w:qFormat/>
    <w:rPr/>
  </w:style>
  <w:style w:type="character" w:styleId="FollowedHyperlink">
    <w:name w:val="FollowedHyperlink"/>
    <w:uiPriority w:val="99"/>
    <w:unhideWhenUsed/>
    <w:qFormat/>
    <w:rPr>
      <w:color w:val="2779B6"/>
      <w:u w:val="single"/>
    </w:rPr>
  </w:style>
  <w:style w:type="character" w:styleId="Emphasis">
    <w:name w:val="Emphasis"/>
    <w:uiPriority w:val="0"/>
    <w:qFormat/>
    <w:rPr>
      <w:i/>
    </w:rPr>
  </w:style>
  <w:style w:type="character" w:styleId="Annotationreference">
    <w:name w:val="annotation reference"/>
    <w:uiPriority w:val="0"/>
    <w:unhideWhenUsed/>
    <w:qFormat/>
    <w:rPr>
      <w:sz w:val="16"/>
      <w:szCs w:val="16"/>
    </w:rPr>
  </w:style>
  <w:style w:type="character" w:styleId="Style5" w:customStyle="1">
    <w:name w:val="批注框文本 字符"/>
    <w:uiPriority w:val="99"/>
    <w:semiHidden/>
    <w:qFormat/>
    <w:rPr>
      <w:rFonts w:ascii="Tahoma" w:hAnsi="Tahoma" w:cs="Tahoma"/>
      <w:sz w:val="16"/>
      <w:szCs w:val="16"/>
    </w:rPr>
  </w:style>
  <w:style w:type="character" w:styleId="InternetLink" w:customStyle="1">
    <w:name w:val="Internet Link"/>
    <w:basedOn w:val="DefaultParagraphFont"/>
    <w:uiPriority w:val="99"/>
    <w:unhideWhenUsed/>
    <w:qFormat/>
    <w:rPr>
      <w:color w:val="0563C1" w:themeColor="hyperlink"/>
      <w:u w:val="single"/>
      <w14:textFill>
        <w14:solidFill>
          <w14:schemeClr w14:val="hlink"/>
        </w14:solidFill>
      </w14:textFill>
    </w:rPr>
  </w:style>
  <w:style w:type="character" w:styleId="FootnoteCharacters" w:customStyle="1">
    <w:name w:val="Footnote Characters"/>
    <w:uiPriority w:val="0"/>
    <w:semiHidden/>
    <w:qFormat/>
    <w:rPr>
      <w:b/>
      <w:sz w:val="16"/>
    </w:rPr>
  </w:style>
  <w:style w:type="character" w:styleId="FootnoteAnchor" w:customStyle="1">
    <w:name w:val="Footnote Anchor"/>
    <w:uiPriority w:val="0"/>
    <w:qFormat/>
    <w:rPr>
      <w:b/>
      <w:sz w:val="16"/>
      <w:vertAlign w:val="superscript"/>
    </w:rPr>
  </w:style>
  <w:style w:type="character" w:styleId="Style6" w:customStyle="1">
    <w:name w:val="页眉 字符"/>
    <w:uiPriority w:val="0"/>
    <w:qFormat/>
    <w:rPr>
      <w:rFonts w:ascii="Arial" w:hAnsi="Arial" w:eastAsia="MS Mincho"/>
      <w:b/>
      <w:szCs w:val="24"/>
      <w:lang w:eastAsia="en-US"/>
    </w:rPr>
  </w:style>
  <w:style w:type="character" w:styleId="Style7" w:customStyle="1">
    <w:name w:val="批注主题 字符"/>
    <w:uiPriority w:val="99"/>
    <w:semiHidden/>
    <w:qFormat/>
    <w:rPr>
      <w:b/>
      <w:bCs/>
    </w:rPr>
  </w:style>
  <w:style w:type="character" w:styleId="Style8" w:customStyle="1">
    <w:name w:val="脚注文本 字符"/>
    <w:uiPriority w:val="0"/>
    <w:semiHidden/>
    <w:qFormat/>
    <w:rPr>
      <w:rFonts w:ascii="Times" w:hAnsi="Times" w:eastAsia="Batang"/>
      <w:lang w:eastAsia="en-US"/>
    </w:rPr>
  </w:style>
  <w:style w:type="character" w:styleId="THChar" w:customStyle="1">
    <w:name w:val="TH Char"/>
    <w:link w:val="41"/>
    <w:uiPriority w:val="0"/>
    <w:qFormat/>
    <w:rPr>
      <w:rFonts w:ascii="Arial" w:hAnsi="Arial"/>
      <w:b/>
      <w:lang w:val="en-GB" w:eastAsia="en-US"/>
    </w:rPr>
  </w:style>
  <w:style w:type="character" w:styleId="TACChar" w:customStyle="1">
    <w:name w:val="TAC Char"/>
    <w:link w:val="43"/>
    <w:uiPriority w:val="0"/>
    <w:qFormat/>
    <w:rPr>
      <w:rFonts w:ascii="Arial" w:hAnsi="Arial" w:eastAsia="Times New Roman"/>
      <w:sz w:val="18"/>
      <w:lang w:val="en-GB" w:eastAsia="en-GB"/>
    </w:rPr>
  </w:style>
  <w:style w:type="character" w:styleId="Appleconvertedspace" w:customStyle="1">
    <w:name w:val="apple-converted-space"/>
    <w:basedOn w:val="DefaultParagraphFont"/>
    <w:uiPriority w:val="0"/>
    <w:qFormat/>
    <w:rPr/>
  </w:style>
  <w:style w:type="character" w:styleId="Style9" w:customStyle="1">
    <w:name w:val="题注 字符"/>
    <w:uiPriority w:val="0"/>
    <w:qFormat/>
    <w:rPr>
      <w:rFonts w:ascii="Times New Roman" w:hAnsi="Times New Roman"/>
      <w:b/>
      <w:bCs/>
      <w:lang w:val="en-GB" w:eastAsia="sv-SE"/>
    </w:rPr>
  </w:style>
  <w:style w:type="character" w:styleId="B1" w:customStyle="1">
    <w:name w:val="B1 (文字)"/>
    <w:link w:val="48"/>
    <w:uiPriority w:val="99"/>
    <w:qFormat/>
    <w:locked/>
    <w:rPr>
      <w:rFonts w:ascii="Times New Roman" w:hAnsi="Times New Roman" w:eastAsia="宋体"/>
      <w:lang w:val="en-GB" w:eastAsia="en-US"/>
    </w:rPr>
  </w:style>
  <w:style w:type="character" w:styleId="MaintextChar" w:customStyle="1">
    <w:name w:val="main text Char"/>
    <w:uiPriority w:val="0"/>
    <w:qFormat/>
    <w:rPr>
      <w:rFonts w:ascii="Times New Roman" w:hAnsi="Times New Roman" w:eastAsia="Malgun Gothic"/>
      <w:lang w:val="en-GB" w:eastAsia="ko-KR"/>
    </w:rPr>
  </w:style>
  <w:style w:type="character" w:styleId="Style10" w:customStyle="1">
    <w:name w:val="批注文字 字符"/>
    <w:basedOn w:val="DefaultParagraphFont"/>
    <w:uiPriority w:val="0"/>
    <w:qFormat/>
    <w:rPr/>
  </w:style>
  <w:style w:type="character" w:styleId="Style11" w:customStyle="1">
    <w:name w:val="正文文本 字符"/>
    <w:uiPriority w:val="0"/>
    <w:qFormat/>
    <w:rPr>
      <w:rFonts w:ascii="Times New Roman" w:hAnsi="Times New Roman"/>
      <w:color w:val="0000FF"/>
      <w:kern w:val="2"/>
      <w:sz w:val="21"/>
    </w:rPr>
  </w:style>
  <w:style w:type="character" w:styleId="Def" w:customStyle="1">
    <w:name w:val="def"/>
    <w:basedOn w:val="DefaultParagraphFont"/>
    <w:uiPriority w:val="0"/>
    <w:qFormat/>
    <w:rPr/>
  </w:style>
  <w:style w:type="character" w:styleId="12Char" w:customStyle="1">
    <w:name w:val="中等深浅网格 1 - 强调文字颜色 2 Char"/>
    <w:uiPriority w:val="34"/>
    <w:qFormat/>
    <w:locked/>
    <w:rPr>
      <w:rFonts w:ascii="Times New Roman" w:hAnsi="Times New Roman"/>
      <w:kern w:val="2"/>
      <w:sz w:val="21"/>
      <w:szCs w:val="24"/>
    </w:rPr>
  </w:style>
  <w:style w:type="character" w:styleId="NormalwithindentChar" w:customStyle="1">
    <w:name w:val="Normal with indent Char"/>
    <w:link w:val="55"/>
    <w:uiPriority w:val="0"/>
    <w:qFormat/>
    <w:rPr>
      <w:rFonts w:ascii="Times New Roman" w:hAnsi="Times New Roman" w:eastAsia="Malgun Gothic"/>
      <w:lang w:val="en-GB" w:eastAsia="ko-KR"/>
    </w:rPr>
  </w:style>
  <w:style w:type="character" w:styleId="Word" w:customStyle="1">
    <w:name w:val="word"/>
    <w:basedOn w:val="DefaultParagraphFont"/>
    <w:uiPriority w:val="0"/>
    <w:qFormat/>
    <w:rPr/>
  </w:style>
  <w:style w:type="character" w:styleId="Style12" w:customStyle="1">
    <w:name w:val="文档结构图 字符"/>
    <w:uiPriority w:val="99"/>
    <w:semiHidden/>
    <w:qFormat/>
    <w:rPr>
      <w:rFonts w:ascii="宋体" w:hAnsi="宋体"/>
      <w:sz w:val="18"/>
      <w:szCs w:val="18"/>
    </w:rPr>
  </w:style>
  <w:style w:type="character" w:styleId="Highlight" w:customStyle="1">
    <w:name w:val="high-light"/>
    <w:basedOn w:val="DefaultParagraphFont"/>
    <w:uiPriority w:val="0"/>
    <w:qFormat/>
    <w:rPr/>
  </w:style>
  <w:style w:type="character" w:styleId="3" w:customStyle="1">
    <w:name w:val="标题 3 字符"/>
    <w:uiPriority w:val="9"/>
    <w:qFormat/>
    <w:rPr>
      <w:b/>
      <w:bCs/>
      <w:sz w:val="32"/>
      <w:szCs w:val="32"/>
    </w:rPr>
  </w:style>
  <w:style w:type="character" w:styleId="1" w:customStyle="1">
    <w:name w:val="标题 1 字符"/>
    <w:uiPriority w:val="99"/>
    <w:qFormat/>
    <w:rPr>
      <w:rFonts w:ascii="Arial" w:hAnsi="Arial" w:eastAsia="黑体"/>
      <w:b/>
      <w:bCs/>
      <w:sz w:val="30"/>
      <w:szCs w:val="30"/>
      <w:lang w:val="zh-CN"/>
    </w:rPr>
  </w:style>
  <w:style w:type="character" w:styleId="Pos" w:customStyle="1">
    <w:name w:val="pos"/>
    <w:basedOn w:val="DefaultParagraphFont"/>
    <w:uiPriority w:val="0"/>
    <w:qFormat/>
    <w:rPr/>
  </w:style>
  <w:style w:type="character" w:styleId="Applestylespan" w:customStyle="1">
    <w:name w:val="apple-style-span"/>
    <w:basedOn w:val="DefaultParagraphFont"/>
    <w:uiPriority w:val="0"/>
    <w:qFormat/>
    <w:rPr/>
  </w:style>
  <w:style w:type="character" w:styleId="ZGSM" w:customStyle="1">
    <w:name w:val="ZGSM"/>
    <w:uiPriority w:val="0"/>
    <w:qFormat/>
    <w:rPr/>
  </w:style>
  <w:style w:type="character" w:styleId="B1Zchn" w:customStyle="1">
    <w:name w:val="B1 Zchn"/>
    <w:uiPriority w:val="0"/>
    <w:qFormat/>
    <w:rPr>
      <w:lang w:val="en-GB" w:eastAsia="en-US"/>
    </w:rPr>
  </w:style>
  <w:style w:type="character" w:styleId="TextChar" w:customStyle="1">
    <w:name w:val="text Char"/>
    <w:uiPriority w:val="0"/>
    <w:qFormat/>
    <w:rPr>
      <w:sz w:val="24"/>
      <w:lang w:val="en-AU" w:eastAsia="en-GB"/>
    </w:rPr>
  </w:style>
  <w:style w:type="character" w:styleId="TAHCar" w:customStyle="1">
    <w:name w:val="TAH Car"/>
    <w:link w:val="67"/>
    <w:uiPriority w:val="0"/>
    <w:qFormat/>
    <w:rPr>
      <w:rFonts w:ascii="Arial" w:hAnsi="Arial" w:eastAsia="Times New Roman"/>
      <w:b/>
      <w:sz w:val="18"/>
      <w:lang w:val="en-GB" w:eastAsia="en-GB"/>
    </w:rPr>
  </w:style>
  <w:style w:type="character" w:styleId="RAN1textChar" w:customStyle="1">
    <w:name w:val="RAN1 text Char"/>
    <w:link w:val="69"/>
    <w:uiPriority w:val="0"/>
    <w:qFormat/>
    <w:rPr>
      <w:rFonts w:eastAsia="MS Mincho"/>
      <w:color w:val="0000FF"/>
      <w:kern w:val="2"/>
      <w:sz w:val="21"/>
    </w:rPr>
  </w:style>
  <w:style w:type="character" w:styleId="RAN1bullet1Char" w:customStyle="1">
    <w:name w:val="RAN1 bullet1 Char"/>
    <w:link w:val="71"/>
    <w:uiPriority w:val="0"/>
    <w:qFormat/>
    <w:rPr>
      <w:sz w:val="22"/>
      <w:szCs w:val="22"/>
    </w:rPr>
  </w:style>
  <w:style w:type="character" w:styleId="Char" w:customStyle="1">
    <w:name w:val="列出段落 Char"/>
    <w:uiPriority w:val="34"/>
    <w:qFormat/>
    <w:locked/>
    <w:rPr>
      <w:rFonts w:ascii="Times" w:hAnsi="Times" w:cs="Times"/>
      <w:szCs w:val="24"/>
      <w:lang w:val="en-GB" w:eastAsia="zh-CN"/>
    </w:rPr>
  </w:style>
  <w:style w:type="character" w:styleId="11" w:customStyle="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styleId="1Char" w:customStyle="1">
    <w:name w:val="样式1 Char"/>
    <w:basedOn w:val="DefaultParagraphFont"/>
    <w:link w:val="76"/>
    <w:uiPriority w:val="0"/>
    <w:qFormat/>
    <w:rPr>
      <w:rFonts w:eastAsia="微软雅黑"/>
      <w:b/>
      <w:sz w:val="22"/>
      <w:szCs w:val="22"/>
    </w:rPr>
  </w:style>
  <w:style w:type="character" w:styleId="Style1Char" w:customStyle="1">
    <w:name w:val="Style1 Char"/>
    <w:link w:val="78"/>
    <w:uiPriority w:val="0"/>
    <w:qFormat/>
    <w:rPr>
      <w:rFonts w:eastAsia="Malgun Gothic" w:cs="Batang"/>
      <w:lang w:val="en-GB" w:eastAsia="en-US"/>
    </w:rPr>
  </w:style>
  <w:style w:type="character" w:styleId="Style13" w:customStyle="1">
    <w:name w:val="列出段落 字符"/>
    <w:uiPriority w:val="34"/>
    <w:qFormat/>
    <w:locked/>
    <w:rPr>
      <w:rFonts w:ascii="Times New Roman" w:hAnsi="Times New Roman" w:eastAsia="宋体" w:cs="Times New Roman"/>
      <w:sz w:val="22"/>
      <w:szCs w:val="22"/>
    </w:rPr>
  </w:style>
  <w:style w:type="character" w:styleId="ListLabel1" w:customStyle="1">
    <w:name w:val="ListLabel 1"/>
    <w:uiPriority w:val="0"/>
    <w:qFormat/>
    <w:rPr>
      <w:sz w:val="22"/>
      <w:szCs w:val="22"/>
    </w:rPr>
  </w:style>
  <w:style w:type="character" w:styleId="ListLabel2" w:customStyle="1">
    <w:name w:val="ListLabel 2"/>
    <w:uiPriority w:val="0"/>
    <w:qFormat/>
    <w:rPr>
      <w:rFonts w:cs="Courier New"/>
    </w:rPr>
  </w:style>
  <w:style w:type="character" w:styleId="ListLabel3" w:customStyle="1">
    <w:name w:val="ListLabel 3"/>
    <w:uiPriority w:val="0"/>
    <w:qFormat/>
    <w:rPr>
      <w:rFonts w:cs="Courier New"/>
    </w:rPr>
  </w:style>
  <w:style w:type="character" w:styleId="ListLabel4" w:customStyle="1">
    <w:name w:val="ListLabel 4"/>
    <w:uiPriority w:val="0"/>
    <w:qFormat/>
    <w:rPr>
      <w:rFonts w:cs="Courier New"/>
    </w:rPr>
  </w:style>
  <w:style w:type="character" w:styleId="ListLabel5" w:customStyle="1">
    <w:name w:val="ListLabel 5"/>
    <w:uiPriority w:val="0"/>
    <w:qFormat/>
    <w:rPr>
      <w:rFonts w:cs="Courier New"/>
    </w:rPr>
  </w:style>
  <w:style w:type="character" w:styleId="ListLabel6" w:customStyle="1">
    <w:name w:val="ListLabel 6"/>
    <w:uiPriority w:val="0"/>
    <w:qFormat/>
    <w:rPr>
      <w:rFonts w:cs="Courier New"/>
    </w:rPr>
  </w:style>
  <w:style w:type="character" w:styleId="ListLabel7" w:customStyle="1">
    <w:name w:val="ListLabel 7"/>
    <w:uiPriority w:val="0"/>
    <w:qFormat/>
    <w:rPr>
      <w:rFonts w:cs="Courier New"/>
    </w:rPr>
  </w:style>
  <w:style w:type="character" w:styleId="ListLabel8" w:customStyle="1">
    <w:name w:val="ListLabel 8"/>
    <w:uiPriority w:val="0"/>
    <w:qFormat/>
    <w:rPr>
      <w:rFonts w:eastAsia="微软雅黑" w:cs="Times New Roman"/>
    </w:rPr>
  </w:style>
  <w:style w:type="character" w:styleId="ListLabel9" w:customStyle="1">
    <w:name w:val="ListLabel 9"/>
    <w:uiPriority w:val="0"/>
    <w:qFormat/>
    <w:rPr>
      <w:sz w:val="20"/>
    </w:rPr>
  </w:style>
  <w:style w:type="character" w:styleId="ListLabel10" w:customStyle="1">
    <w:name w:val="ListLabel 10"/>
    <w:uiPriority w:val="0"/>
    <w:qFormat/>
    <w:rPr>
      <w:rFonts w:cs="Courier New"/>
    </w:rPr>
  </w:style>
  <w:style w:type="character" w:styleId="ListLabel11" w:customStyle="1">
    <w:name w:val="ListLabel 11"/>
    <w:uiPriority w:val="0"/>
    <w:qFormat/>
    <w:rPr>
      <w:rFonts w:cs="Courier New"/>
    </w:rPr>
  </w:style>
  <w:style w:type="character" w:styleId="ListLabel12" w:customStyle="1">
    <w:name w:val="ListLabel 12"/>
    <w:uiPriority w:val="0"/>
    <w:qFormat/>
    <w:rPr>
      <w:sz w:val="20"/>
    </w:rPr>
  </w:style>
  <w:style w:type="character" w:styleId="ListLabel13" w:customStyle="1">
    <w:name w:val="ListLabel 13"/>
    <w:uiPriority w:val="0"/>
    <w:qFormat/>
    <w:rPr>
      <w:rFonts w:eastAsia="Malgun Gothic" w:cs="Times New Roman"/>
      <w:sz w:val="20"/>
    </w:rPr>
  </w:style>
  <w:style w:type="character" w:styleId="ListLabel14" w:customStyle="1">
    <w:name w:val="ListLabel 14"/>
    <w:uiPriority w:val="0"/>
    <w:qFormat/>
    <w:rPr>
      <w:sz w:val="20"/>
    </w:rPr>
  </w:style>
  <w:style w:type="character" w:styleId="ListLabel15" w:customStyle="1">
    <w:name w:val="ListLabel 15"/>
    <w:uiPriority w:val="0"/>
    <w:qFormat/>
    <w:rPr>
      <w:rFonts w:eastAsia="Malgun Gothic" w:cs="Times New Roman"/>
      <w:sz w:val="20"/>
    </w:rPr>
  </w:style>
  <w:style w:type="character" w:styleId="ListLabel16" w:customStyle="1">
    <w:name w:val="ListLabel 16"/>
    <w:uiPriority w:val="0"/>
    <w:qFormat/>
    <w:rPr>
      <w:sz w:val="20"/>
    </w:rPr>
  </w:style>
  <w:style w:type="character" w:styleId="ListLabel17" w:customStyle="1">
    <w:name w:val="ListLabel 17"/>
    <w:uiPriority w:val="0"/>
    <w:qFormat/>
    <w:rPr>
      <w:rFonts w:eastAsia="Malgun Gothic" w:cs="Times New Roman"/>
      <w:sz w:val="20"/>
    </w:rPr>
  </w:style>
  <w:style w:type="character" w:styleId="ListLabel18" w:customStyle="1">
    <w:name w:val="ListLabel 18"/>
    <w:uiPriority w:val="0"/>
    <w:qFormat/>
    <w:rPr>
      <w:sz w:val="22"/>
      <w:szCs w:val="22"/>
    </w:rPr>
  </w:style>
  <w:style w:type="character" w:styleId="ListLabel19" w:customStyle="1">
    <w:name w:val="ListLabel 19"/>
    <w:uiPriority w:val="0"/>
    <w:qFormat/>
    <w:rPr>
      <w:sz w:val="22"/>
      <w:szCs w:val="22"/>
    </w:rPr>
  </w:style>
  <w:style w:type="character" w:styleId="ListLabel20" w:customStyle="1">
    <w:name w:val="ListLabel 20"/>
    <w:uiPriority w:val="0"/>
    <w:qFormat/>
    <w:rPr>
      <w:color w:val="FF0000"/>
      <w:sz w:val="20"/>
    </w:rPr>
  </w:style>
  <w:style w:type="character" w:styleId="ListLabel21" w:customStyle="1">
    <w:name w:val="ListLabel 21"/>
    <w:uiPriority w:val="0"/>
    <w:qFormat/>
    <w:rPr>
      <w:sz w:val="22"/>
      <w:szCs w:val="22"/>
    </w:rPr>
  </w:style>
  <w:style w:type="character" w:styleId="ListLabel22" w:customStyle="1">
    <w:name w:val="ListLabel 22"/>
    <w:uiPriority w:val="0"/>
    <w:qFormat/>
    <w:rPr>
      <w:rFonts w:cs="Courier New"/>
    </w:rPr>
  </w:style>
  <w:style w:type="character" w:styleId="ListLabel23" w:customStyle="1">
    <w:name w:val="ListLabel 23"/>
    <w:uiPriority w:val="0"/>
    <w:qFormat/>
    <w:rPr>
      <w:rFonts w:cs="Courier New"/>
    </w:rPr>
  </w:style>
  <w:style w:type="character" w:styleId="ListLabel24" w:customStyle="1">
    <w:name w:val="ListLabel 24"/>
    <w:uiPriority w:val="0"/>
    <w:qFormat/>
    <w:rPr>
      <w:rFonts w:cs="Courier New"/>
    </w:rPr>
  </w:style>
  <w:style w:type="character" w:styleId="ListLabel25" w:customStyle="1">
    <w:name w:val="ListLabel 25"/>
    <w:uiPriority w:val="0"/>
    <w:qFormat/>
    <w:rPr>
      <w:sz w:val="20"/>
    </w:rPr>
  </w:style>
  <w:style w:type="character" w:styleId="Style14" w:customStyle="1">
    <w:name w:val="清單段落 字元"/>
    <w:uiPriority w:val="34"/>
    <w:qFormat/>
    <w:locked/>
    <w:rPr>
      <w:rFonts w:ascii="Times New Roman" w:hAnsi="Times New Roman" w:eastAsia="宋体" w:cs="Times New Roman"/>
      <w:sz w:val="22"/>
      <w:szCs w:val="22"/>
    </w:rPr>
  </w:style>
  <w:style w:type="character" w:styleId="Style15" w:customStyle="1">
    <w:name w:val="註解文字 字元"/>
    <w:uiPriority w:val="99"/>
    <w:qFormat/>
    <w:rPr>
      <w:rFonts w:ascii="Times New Roman" w:hAnsi="Times New Roman" w:eastAsia="宋体" w:cs="Times New Roman"/>
    </w:rPr>
  </w:style>
  <w:style w:type="character" w:styleId="ListLabel26" w:customStyle="1">
    <w:name w:val="ListLabel 26"/>
    <w:uiPriority w:val="0"/>
    <w:qFormat/>
    <w:rPr>
      <w:sz w:val="22"/>
      <w:szCs w:val="22"/>
    </w:rPr>
  </w:style>
  <w:style w:type="character" w:styleId="ListLabel27" w:customStyle="1">
    <w:name w:val="ListLabel 27"/>
    <w:uiPriority w:val="0"/>
    <w:qFormat/>
    <w:rPr>
      <w:sz w:val="22"/>
      <w:szCs w:val="22"/>
    </w:rPr>
  </w:style>
  <w:style w:type="character" w:styleId="ListLabel28" w:customStyle="1">
    <w:name w:val="ListLabel 28"/>
    <w:uiPriority w:val="0"/>
    <w:qFormat/>
    <w:rPr>
      <w:rFonts w:cs="Times New Roman"/>
    </w:rPr>
  </w:style>
  <w:style w:type="character" w:styleId="ListLabel29" w:customStyle="1">
    <w:name w:val="ListLabel 29"/>
    <w:uiPriority w:val="0"/>
    <w:qFormat/>
    <w:rPr>
      <w:rFonts w:cs="Wingdings"/>
    </w:rPr>
  </w:style>
  <w:style w:type="character" w:styleId="ListLabel30" w:customStyle="1">
    <w:name w:val="ListLabel 30"/>
    <w:uiPriority w:val="0"/>
    <w:qFormat/>
    <w:rPr>
      <w:rFonts w:cs="Wingdings"/>
      <w:sz w:val="20"/>
    </w:rPr>
  </w:style>
  <w:style w:type="character" w:styleId="ListLabel31" w:customStyle="1">
    <w:name w:val="ListLabel 31"/>
    <w:uiPriority w:val="0"/>
    <w:qFormat/>
    <w:rPr>
      <w:rFonts w:cs="Wingdings"/>
    </w:rPr>
  </w:style>
  <w:style w:type="character" w:styleId="ListLabel32" w:customStyle="1">
    <w:name w:val="ListLabel 32"/>
    <w:uiPriority w:val="0"/>
    <w:qFormat/>
    <w:rPr>
      <w:rFonts w:cs="Symbol"/>
    </w:rPr>
  </w:style>
  <w:style w:type="character" w:styleId="ListLabel33" w:customStyle="1">
    <w:name w:val="ListLabel 33"/>
    <w:uiPriority w:val="0"/>
    <w:qFormat/>
    <w:rPr>
      <w:rFonts w:cs="Courier New"/>
    </w:rPr>
  </w:style>
  <w:style w:type="character" w:styleId="ListLabel34" w:customStyle="1">
    <w:name w:val="ListLabel 34"/>
    <w:uiPriority w:val="0"/>
    <w:qFormat/>
    <w:rPr>
      <w:rFonts w:cs="Wingdings"/>
    </w:rPr>
  </w:style>
  <w:style w:type="character" w:styleId="ListLabel35" w:customStyle="1">
    <w:name w:val="ListLabel 35"/>
    <w:uiPriority w:val="0"/>
    <w:qFormat/>
    <w:rPr>
      <w:rFonts w:cs="Symbol"/>
    </w:rPr>
  </w:style>
  <w:style w:type="character" w:styleId="ListLabel36" w:customStyle="1">
    <w:name w:val="ListLabel 36"/>
    <w:uiPriority w:val="0"/>
    <w:qFormat/>
    <w:rPr>
      <w:rFonts w:cs="Courier New"/>
    </w:rPr>
  </w:style>
  <w:style w:type="character" w:styleId="ListLabel37" w:customStyle="1">
    <w:name w:val="ListLabel 37"/>
    <w:uiPriority w:val="0"/>
    <w:qFormat/>
    <w:rPr>
      <w:rFonts w:cs="Wingdings"/>
    </w:rPr>
  </w:style>
  <w:style w:type="character" w:styleId="ListLabel38" w:customStyle="1">
    <w:name w:val="ListLabel 38"/>
    <w:uiPriority w:val="0"/>
    <w:qFormat/>
    <w:rPr>
      <w:rFonts w:cs="Wingdings"/>
      <w:sz w:val="20"/>
    </w:rPr>
  </w:style>
  <w:style w:type="character" w:styleId="ListLabel39" w:customStyle="1">
    <w:name w:val="ListLabel 39"/>
    <w:uiPriority w:val="0"/>
    <w:qFormat/>
    <w:rPr>
      <w:rFonts w:cs="Times New Roman"/>
      <w:sz w:val="20"/>
    </w:rPr>
  </w:style>
  <w:style w:type="character" w:styleId="ListLabel40" w:customStyle="1">
    <w:name w:val="ListLabel 40"/>
    <w:uiPriority w:val="0"/>
    <w:qFormat/>
    <w:rPr>
      <w:rFonts w:cs="Microsoft Sans Serif"/>
      <w:sz w:val="20"/>
    </w:rPr>
  </w:style>
  <w:style w:type="character" w:styleId="ListLabel41" w:customStyle="1">
    <w:name w:val="ListLabel 41"/>
    <w:uiPriority w:val="0"/>
    <w:qFormat/>
    <w:rPr>
      <w:rFonts w:cs="Wingdings"/>
    </w:rPr>
  </w:style>
  <w:style w:type="character" w:styleId="ListLabel42" w:customStyle="1">
    <w:name w:val="ListLabel 42"/>
    <w:uiPriority w:val="0"/>
    <w:qFormat/>
    <w:rPr>
      <w:rFonts w:cs="Wingdings"/>
    </w:rPr>
  </w:style>
  <w:style w:type="character" w:styleId="ListLabel43" w:customStyle="1">
    <w:name w:val="ListLabel 43"/>
    <w:uiPriority w:val="0"/>
    <w:qFormat/>
    <w:rPr>
      <w:rFonts w:cs="Wingdings"/>
    </w:rPr>
  </w:style>
  <w:style w:type="character" w:styleId="ListLabel44" w:customStyle="1">
    <w:name w:val="ListLabel 44"/>
    <w:uiPriority w:val="0"/>
    <w:qFormat/>
    <w:rPr>
      <w:rFonts w:cs="Wingdings"/>
    </w:rPr>
  </w:style>
  <w:style w:type="character" w:styleId="ListLabel45" w:customStyle="1">
    <w:name w:val="ListLabel 45"/>
    <w:uiPriority w:val="0"/>
    <w:qFormat/>
    <w:rPr>
      <w:rFonts w:cs="Wingdings"/>
    </w:rPr>
  </w:style>
  <w:style w:type="character" w:styleId="ListLabel46" w:customStyle="1">
    <w:name w:val="ListLabel 46"/>
    <w:uiPriority w:val="0"/>
    <w:qFormat/>
    <w:rPr>
      <w:rFonts w:cs="Wingdings"/>
    </w:rPr>
  </w:style>
  <w:style w:type="character" w:styleId="ListLabel47" w:customStyle="1">
    <w:name w:val="ListLabel 47"/>
    <w:uiPriority w:val="0"/>
    <w:qFormat/>
    <w:rPr>
      <w:rFonts w:cs="Wingdings"/>
      <w:sz w:val="20"/>
    </w:rPr>
  </w:style>
  <w:style w:type="character" w:styleId="ListLabel48" w:customStyle="1">
    <w:name w:val="ListLabel 48"/>
    <w:uiPriority w:val="0"/>
    <w:qFormat/>
    <w:rPr>
      <w:rFonts w:cs="Times New Roman"/>
      <w:sz w:val="20"/>
    </w:rPr>
  </w:style>
  <w:style w:type="character" w:styleId="ListLabel49" w:customStyle="1">
    <w:name w:val="ListLabel 49"/>
    <w:uiPriority w:val="0"/>
    <w:qFormat/>
    <w:rPr>
      <w:rFonts w:cs="Wingdings"/>
    </w:rPr>
  </w:style>
  <w:style w:type="character" w:styleId="ListLabel50" w:customStyle="1">
    <w:name w:val="ListLabel 50"/>
    <w:uiPriority w:val="0"/>
    <w:qFormat/>
    <w:rPr>
      <w:rFonts w:cs="Wingdings"/>
    </w:rPr>
  </w:style>
  <w:style w:type="character" w:styleId="ListLabel51" w:customStyle="1">
    <w:name w:val="ListLabel 51"/>
    <w:uiPriority w:val="0"/>
    <w:qFormat/>
    <w:rPr>
      <w:rFonts w:cs="Wingdings"/>
    </w:rPr>
  </w:style>
  <w:style w:type="character" w:styleId="ListLabel52" w:customStyle="1">
    <w:name w:val="ListLabel 52"/>
    <w:uiPriority w:val="0"/>
    <w:qFormat/>
    <w:rPr>
      <w:rFonts w:cs="Wingdings"/>
    </w:rPr>
  </w:style>
  <w:style w:type="character" w:styleId="ListLabel53" w:customStyle="1">
    <w:name w:val="ListLabel 53"/>
    <w:uiPriority w:val="0"/>
    <w:qFormat/>
    <w:rPr>
      <w:rFonts w:cs="Wingdings"/>
    </w:rPr>
  </w:style>
  <w:style w:type="character" w:styleId="ListLabel54" w:customStyle="1">
    <w:name w:val="ListLabel 54"/>
    <w:uiPriority w:val="0"/>
    <w:qFormat/>
    <w:rPr>
      <w:rFonts w:cs="Wingdings"/>
    </w:rPr>
  </w:style>
  <w:style w:type="character" w:styleId="ListLabel55" w:customStyle="1">
    <w:name w:val="ListLabel 55"/>
    <w:uiPriority w:val="0"/>
    <w:qFormat/>
    <w:rPr>
      <w:rFonts w:cs="Wingdings"/>
    </w:rPr>
  </w:style>
  <w:style w:type="character" w:styleId="ListLabel56" w:customStyle="1">
    <w:name w:val="ListLabel 56"/>
    <w:uiPriority w:val="0"/>
    <w:qFormat/>
    <w:rPr>
      <w:rFonts w:cs="Wingdings"/>
      <w:sz w:val="20"/>
    </w:rPr>
  </w:style>
  <w:style w:type="character" w:styleId="ListLabel57" w:customStyle="1">
    <w:name w:val="ListLabel 57"/>
    <w:uiPriority w:val="0"/>
    <w:qFormat/>
    <w:rPr>
      <w:rFonts w:cs="Times New Roman"/>
      <w:sz w:val="20"/>
    </w:rPr>
  </w:style>
  <w:style w:type="character" w:styleId="ListLabel58" w:customStyle="1">
    <w:name w:val="ListLabel 58"/>
    <w:uiPriority w:val="0"/>
    <w:qFormat/>
    <w:rPr>
      <w:rFonts w:cs="Microsoft Sans Serif"/>
      <w:sz w:val="20"/>
    </w:rPr>
  </w:style>
  <w:style w:type="character" w:styleId="ListLabel59" w:customStyle="1">
    <w:name w:val="ListLabel 59"/>
    <w:uiPriority w:val="0"/>
    <w:qFormat/>
    <w:rPr>
      <w:rFonts w:cs="Wingdings"/>
    </w:rPr>
  </w:style>
  <w:style w:type="character" w:styleId="ListLabel60" w:customStyle="1">
    <w:name w:val="ListLabel 60"/>
    <w:uiPriority w:val="0"/>
    <w:qFormat/>
    <w:rPr>
      <w:rFonts w:cs="Wingdings"/>
    </w:rPr>
  </w:style>
  <w:style w:type="character" w:styleId="ListLabel61" w:customStyle="1">
    <w:name w:val="ListLabel 61"/>
    <w:uiPriority w:val="0"/>
    <w:qFormat/>
    <w:rPr>
      <w:rFonts w:cs="Wingdings"/>
    </w:rPr>
  </w:style>
  <w:style w:type="character" w:styleId="ListLabel62" w:customStyle="1">
    <w:name w:val="ListLabel 62"/>
    <w:uiPriority w:val="0"/>
    <w:qFormat/>
    <w:rPr>
      <w:rFonts w:cs="Wingdings"/>
    </w:rPr>
  </w:style>
  <w:style w:type="character" w:styleId="ListLabel63" w:customStyle="1">
    <w:name w:val="ListLabel 63"/>
    <w:uiPriority w:val="0"/>
    <w:qFormat/>
    <w:rPr>
      <w:rFonts w:cs="Wingdings"/>
    </w:rPr>
  </w:style>
  <w:style w:type="character" w:styleId="ListLabel64" w:customStyle="1">
    <w:name w:val="ListLabel 64"/>
    <w:uiPriority w:val="0"/>
    <w:qFormat/>
    <w:rPr>
      <w:rFonts w:cs="Wingdings"/>
    </w:rPr>
  </w:style>
  <w:style w:type="character" w:styleId="ListLabel65" w:customStyle="1">
    <w:name w:val="ListLabel 65"/>
    <w:uiPriority w:val="0"/>
    <w:qFormat/>
    <w:rPr>
      <w:rFonts w:cs="Wingdings"/>
      <w:color w:val="FF0000"/>
      <w:sz w:val="20"/>
    </w:rPr>
  </w:style>
  <w:style w:type="character" w:styleId="ListLabel66" w:customStyle="1">
    <w:name w:val="ListLabel 66"/>
    <w:uiPriority w:val="0"/>
    <w:qFormat/>
    <w:rPr>
      <w:rFonts w:cs="Wingdings"/>
    </w:rPr>
  </w:style>
  <w:style w:type="character" w:styleId="ListLabel67" w:customStyle="1">
    <w:name w:val="ListLabel 67"/>
    <w:uiPriority w:val="0"/>
    <w:qFormat/>
    <w:rPr>
      <w:rFonts w:cs="Wingdings"/>
    </w:rPr>
  </w:style>
  <w:style w:type="character" w:styleId="ListLabel68" w:customStyle="1">
    <w:name w:val="ListLabel 68"/>
    <w:uiPriority w:val="0"/>
    <w:qFormat/>
    <w:rPr>
      <w:rFonts w:cs="Wingdings"/>
    </w:rPr>
  </w:style>
  <w:style w:type="character" w:styleId="ListLabel69" w:customStyle="1">
    <w:name w:val="ListLabel 69"/>
    <w:uiPriority w:val="0"/>
    <w:qFormat/>
    <w:rPr>
      <w:rFonts w:cs="Wingdings"/>
    </w:rPr>
  </w:style>
  <w:style w:type="character" w:styleId="ListLabel70" w:customStyle="1">
    <w:name w:val="ListLabel 70"/>
    <w:uiPriority w:val="0"/>
    <w:qFormat/>
    <w:rPr>
      <w:rFonts w:cs="Wingdings"/>
    </w:rPr>
  </w:style>
  <w:style w:type="character" w:styleId="ListLabel71" w:customStyle="1">
    <w:name w:val="ListLabel 71"/>
    <w:uiPriority w:val="0"/>
    <w:qFormat/>
    <w:rPr>
      <w:rFonts w:cs="Wingdings"/>
    </w:rPr>
  </w:style>
  <w:style w:type="character" w:styleId="ListLabel72" w:customStyle="1">
    <w:name w:val="ListLabel 72"/>
    <w:uiPriority w:val="0"/>
    <w:qFormat/>
    <w:rPr>
      <w:rFonts w:cs="Wingdings"/>
    </w:rPr>
  </w:style>
  <w:style w:type="character" w:styleId="ListLabel73" w:customStyle="1">
    <w:name w:val="ListLabel 73"/>
    <w:uiPriority w:val="0"/>
    <w:qFormat/>
    <w:rPr>
      <w:rFonts w:cs="Wingdings"/>
    </w:rPr>
  </w:style>
  <w:style w:type="character" w:styleId="ListLabel74" w:customStyle="1">
    <w:name w:val="ListLabel 74"/>
    <w:uiPriority w:val="0"/>
    <w:qFormat/>
    <w:rPr>
      <w:rFonts w:cs="Symbol"/>
    </w:rPr>
  </w:style>
  <w:style w:type="character" w:styleId="ListLabel75" w:customStyle="1">
    <w:name w:val="ListLabel 75"/>
    <w:uiPriority w:val="0"/>
    <w:qFormat/>
    <w:rPr>
      <w:rFonts w:cs="Courier New"/>
    </w:rPr>
  </w:style>
  <w:style w:type="character" w:styleId="ListLabel76" w:customStyle="1">
    <w:name w:val="ListLabel 76"/>
    <w:uiPriority w:val="0"/>
    <w:qFormat/>
    <w:rPr>
      <w:rFonts w:cs="Wingdings"/>
    </w:rPr>
  </w:style>
  <w:style w:type="character" w:styleId="ListLabel77" w:customStyle="1">
    <w:name w:val="ListLabel 77"/>
    <w:uiPriority w:val="0"/>
    <w:qFormat/>
    <w:rPr>
      <w:rFonts w:cs="Symbol"/>
    </w:rPr>
  </w:style>
  <w:style w:type="character" w:styleId="ListLabel78" w:customStyle="1">
    <w:name w:val="ListLabel 78"/>
    <w:uiPriority w:val="0"/>
    <w:qFormat/>
    <w:rPr>
      <w:rFonts w:cs="Courier New"/>
    </w:rPr>
  </w:style>
  <w:style w:type="character" w:styleId="ListLabel79" w:customStyle="1">
    <w:name w:val="ListLabel 79"/>
    <w:uiPriority w:val="0"/>
    <w:qFormat/>
    <w:rPr>
      <w:rFonts w:cs="Wingdings"/>
    </w:rPr>
  </w:style>
  <w:style w:type="character" w:styleId="ListLabel80" w:customStyle="1">
    <w:name w:val="ListLabel 80"/>
    <w:uiPriority w:val="0"/>
    <w:qFormat/>
    <w:rPr>
      <w:rFonts w:cs="Symbol"/>
    </w:rPr>
  </w:style>
  <w:style w:type="character" w:styleId="ListLabel81" w:customStyle="1">
    <w:name w:val="ListLabel 81"/>
    <w:uiPriority w:val="0"/>
    <w:qFormat/>
    <w:rPr>
      <w:rFonts w:cs="Courier New"/>
    </w:rPr>
  </w:style>
  <w:style w:type="character" w:styleId="ListLabel82" w:customStyle="1">
    <w:name w:val="ListLabel 82"/>
    <w:uiPriority w:val="0"/>
    <w:qFormat/>
    <w:rPr>
      <w:rFonts w:cs="Wingdings"/>
    </w:rPr>
  </w:style>
  <w:style w:type="character" w:styleId="ListLabel83" w:customStyle="1">
    <w:name w:val="ListLabel 83"/>
    <w:uiPriority w:val="0"/>
    <w:qFormat/>
    <w:rPr>
      <w:rFonts w:cs="Wingdings"/>
      <w:sz w:val="20"/>
    </w:rPr>
  </w:style>
  <w:style w:type="character" w:styleId="ListLabel84" w:customStyle="1">
    <w:name w:val="ListLabel 84"/>
    <w:uiPriority w:val="0"/>
    <w:qFormat/>
    <w:rPr>
      <w:rFonts w:cs="Wingdings"/>
    </w:rPr>
  </w:style>
  <w:style w:type="character" w:styleId="ListLabel85" w:customStyle="1">
    <w:name w:val="ListLabel 85"/>
    <w:uiPriority w:val="0"/>
    <w:qFormat/>
    <w:rPr>
      <w:rFonts w:cs="Wingdings"/>
    </w:rPr>
  </w:style>
  <w:style w:type="character" w:styleId="ListLabel86" w:customStyle="1">
    <w:name w:val="ListLabel 86"/>
    <w:uiPriority w:val="0"/>
    <w:qFormat/>
    <w:rPr>
      <w:rFonts w:cs="Wingdings"/>
    </w:rPr>
  </w:style>
  <w:style w:type="character" w:styleId="ListLabel87" w:customStyle="1">
    <w:name w:val="ListLabel 87"/>
    <w:uiPriority w:val="0"/>
    <w:qFormat/>
    <w:rPr>
      <w:rFonts w:cs="Wingdings"/>
    </w:rPr>
  </w:style>
  <w:style w:type="character" w:styleId="ListLabel88" w:customStyle="1">
    <w:name w:val="ListLabel 88"/>
    <w:uiPriority w:val="0"/>
    <w:qFormat/>
    <w:rPr>
      <w:rFonts w:cs="Wingdings"/>
    </w:rPr>
  </w:style>
  <w:style w:type="character" w:styleId="ListLabel89" w:customStyle="1">
    <w:name w:val="ListLabel 89"/>
    <w:uiPriority w:val="0"/>
    <w:qFormat/>
    <w:rPr>
      <w:rFonts w:cs="Wingdings"/>
    </w:rPr>
  </w:style>
  <w:style w:type="character" w:styleId="ListLabel90" w:customStyle="1">
    <w:name w:val="ListLabel 90"/>
    <w:uiPriority w:val="0"/>
    <w:qFormat/>
    <w:rPr>
      <w:rFonts w:cs="Wingdings"/>
    </w:rPr>
  </w:style>
  <w:style w:type="character" w:styleId="ListLabel91" w:customStyle="1">
    <w:name w:val="ListLabel 91"/>
    <w:uiPriority w:val="0"/>
    <w:qFormat/>
    <w:rPr>
      <w:rFonts w:cs="Wingdings"/>
    </w:rPr>
  </w:style>
  <w:style w:type="character" w:styleId="ListLabel92" w:customStyle="1">
    <w:name w:val="ListLabel 92"/>
    <w:uiPriority w:val="0"/>
    <w:qFormat/>
    <w:rPr>
      <w:rFonts w:cs="Courier New"/>
    </w:rPr>
  </w:style>
  <w:style w:type="character" w:styleId="ListLabel93" w:customStyle="1">
    <w:name w:val="ListLabel 93"/>
    <w:uiPriority w:val="0"/>
    <w:qFormat/>
    <w:rPr>
      <w:rFonts w:cs="Courier New"/>
    </w:rPr>
  </w:style>
  <w:style w:type="character" w:styleId="ListLabel94" w:customStyle="1">
    <w:name w:val="ListLabel 94"/>
    <w:uiPriority w:val="0"/>
    <w:qFormat/>
    <w:rPr>
      <w:rFonts w:cs="Courier New"/>
    </w:rPr>
  </w:style>
  <w:style w:type="character" w:styleId="ListLabel95" w:customStyle="1">
    <w:name w:val="ListLabel 95"/>
    <w:uiPriority w:val="0"/>
    <w:qFormat/>
    <w:rPr>
      <w:rFonts w:cs="Wingdings"/>
      <w:sz w:val="20"/>
    </w:rPr>
  </w:style>
  <w:style w:type="character" w:styleId="ListLabel96" w:customStyle="1">
    <w:name w:val="ListLabel 96"/>
    <w:uiPriority w:val="0"/>
    <w:qFormat/>
    <w:rPr>
      <w:rFonts w:cs="Times New Roman"/>
      <w:sz w:val="20"/>
    </w:rPr>
  </w:style>
  <w:style w:type="character" w:styleId="ListLabel97" w:customStyle="1">
    <w:name w:val="ListLabel 97"/>
    <w:uiPriority w:val="0"/>
    <w:qFormat/>
    <w:rPr>
      <w:rFonts w:cs="Microsoft Sans Serif"/>
    </w:rPr>
  </w:style>
  <w:style w:type="character" w:styleId="ListLabel98" w:customStyle="1">
    <w:name w:val="ListLabel 98"/>
    <w:uiPriority w:val="0"/>
    <w:qFormat/>
    <w:rPr>
      <w:rFonts w:cs="Wingdings"/>
    </w:rPr>
  </w:style>
  <w:style w:type="character" w:styleId="ListLabel99" w:customStyle="1">
    <w:name w:val="ListLabel 99"/>
    <w:uiPriority w:val="0"/>
    <w:qFormat/>
    <w:rPr>
      <w:rFonts w:cs="Wingdings"/>
    </w:rPr>
  </w:style>
  <w:style w:type="character" w:styleId="ListLabel100" w:customStyle="1">
    <w:name w:val="ListLabel 100"/>
    <w:uiPriority w:val="0"/>
    <w:qFormat/>
    <w:rPr>
      <w:rFonts w:cs="Wingdings"/>
    </w:rPr>
  </w:style>
  <w:style w:type="character" w:styleId="ListLabel101" w:customStyle="1">
    <w:name w:val="ListLabel 101"/>
    <w:uiPriority w:val="0"/>
    <w:qFormat/>
    <w:rPr>
      <w:rFonts w:cs="Wingdings"/>
    </w:rPr>
  </w:style>
  <w:style w:type="character" w:styleId="ListLabel102" w:customStyle="1">
    <w:name w:val="ListLabel 102"/>
    <w:uiPriority w:val="0"/>
    <w:qFormat/>
    <w:rPr>
      <w:rFonts w:cs="Wingdings"/>
    </w:rPr>
  </w:style>
  <w:style w:type="character" w:styleId="ListLabel103" w:customStyle="1">
    <w:name w:val="ListLabel 103"/>
    <w:uiPriority w:val="0"/>
    <w:qFormat/>
    <w:rPr>
      <w:rFonts w:cs="Wingdings"/>
    </w:rPr>
  </w:style>
  <w:style w:type="character" w:styleId="ListLabel104" w:customStyle="1">
    <w:name w:val="ListLabel 104"/>
    <w:uiPriority w:val="0"/>
    <w:qFormat/>
    <w:rPr>
      <w:sz w:val="16"/>
    </w:rPr>
  </w:style>
  <w:style w:type="character" w:styleId="ListLabel105" w:customStyle="1">
    <w:name w:val="ListLabel 105"/>
    <w:uiPriority w:val="0"/>
    <w:qFormat/>
    <w:rPr>
      <w:rFonts w:eastAsia="Malgun Gothic" w:cs="Times New Roman"/>
    </w:rPr>
  </w:style>
  <w:style w:type="character" w:styleId="ListLabel106" w:customStyle="1">
    <w:name w:val="ListLabel 106"/>
    <w:uiPriority w:val="0"/>
    <w:qFormat/>
    <w:rPr>
      <w:rFonts w:cs="Courier New"/>
    </w:rPr>
  </w:style>
  <w:style w:type="character" w:styleId="ListLabel107" w:customStyle="1">
    <w:name w:val="ListLabel 107"/>
    <w:uiPriority w:val="0"/>
    <w:qFormat/>
    <w:rPr>
      <w:rFonts w:cs="Courier New"/>
    </w:rPr>
  </w:style>
  <w:style w:type="character" w:styleId="ListLabel108" w:customStyle="1">
    <w:name w:val="ListLabel 108"/>
    <w:uiPriority w:val="0"/>
    <w:qFormat/>
    <w:rPr>
      <w:rFonts w:cs="Courier New"/>
    </w:rPr>
  </w:style>
  <w:style w:type="character" w:styleId="ListLabel109" w:customStyle="1">
    <w:name w:val="ListLabel 109"/>
    <w:uiPriority w:val="0"/>
    <w:qFormat/>
    <w:rPr>
      <w:sz w:val="16"/>
    </w:rPr>
  </w:style>
  <w:style w:type="character" w:styleId="ListLabel110" w:customStyle="1">
    <w:name w:val="ListLabel 110"/>
    <w:uiPriority w:val="0"/>
    <w:qFormat/>
    <w:rPr>
      <w:rFonts w:cs="Courier New"/>
    </w:rPr>
  </w:style>
  <w:style w:type="character" w:styleId="ListLabel111" w:customStyle="1">
    <w:name w:val="ListLabel 111"/>
    <w:uiPriority w:val="0"/>
    <w:qFormat/>
    <w:rPr>
      <w:rFonts w:cs="Courier New"/>
    </w:rPr>
  </w:style>
  <w:style w:type="character" w:styleId="ListLabel112" w:customStyle="1">
    <w:name w:val="ListLabel 112"/>
    <w:uiPriority w:val="0"/>
    <w:qFormat/>
    <w:rPr>
      <w:rFonts w:cs="Courier New"/>
    </w:rPr>
  </w:style>
  <w:style w:type="character" w:styleId="ListLabel113" w:customStyle="1">
    <w:name w:val="ListLabel 113"/>
    <w:uiPriority w:val="0"/>
    <w:qFormat/>
    <w:rPr>
      <w:sz w:val="22"/>
      <w:szCs w:val="22"/>
    </w:rPr>
  </w:style>
  <w:style w:type="character" w:styleId="ListLabel114" w:customStyle="1">
    <w:name w:val="ListLabel 114"/>
    <w:uiPriority w:val="0"/>
    <w:qFormat/>
    <w:rPr>
      <w:sz w:val="22"/>
      <w:szCs w:val="22"/>
    </w:rPr>
  </w:style>
  <w:style w:type="character" w:styleId="ListLabel115" w:customStyle="1">
    <w:name w:val="ListLabel 115"/>
    <w:uiPriority w:val="0"/>
    <w:qFormat/>
    <w:rPr>
      <w:sz w:val="22"/>
      <w:szCs w:val="22"/>
    </w:rPr>
  </w:style>
  <w:style w:type="character" w:styleId="ListLabel116" w:customStyle="1">
    <w:name w:val="ListLabel 116"/>
    <w:uiPriority w:val="0"/>
    <w:qFormat/>
    <w:rPr>
      <w:sz w:val="22"/>
      <w:szCs w:val="22"/>
    </w:rPr>
  </w:style>
  <w:style w:type="character" w:styleId="ListLabel117" w:customStyle="1">
    <w:name w:val="ListLabel 117"/>
    <w:uiPriority w:val="0"/>
    <w:qFormat/>
    <w:rPr>
      <w:sz w:val="22"/>
      <w:szCs w:val="22"/>
    </w:rPr>
  </w:style>
  <w:style w:type="character" w:styleId="ListLabel118" w:customStyle="1">
    <w:name w:val="ListLabel 118"/>
    <w:uiPriority w:val="0"/>
    <w:qFormat/>
    <w:rPr>
      <w:rFonts w:cs="Times New Roman"/>
    </w:rPr>
  </w:style>
  <w:style w:type="character" w:styleId="ListLabel119" w:customStyle="1">
    <w:name w:val="ListLabel 119"/>
    <w:uiPriority w:val="0"/>
    <w:qFormat/>
    <w:rPr>
      <w:rFonts w:cs="Wingdings"/>
      <w:sz w:val="20"/>
    </w:rPr>
  </w:style>
  <w:style w:type="character" w:styleId="ListLabel120" w:customStyle="1">
    <w:name w:val="ListLabel 120"/>
    <w:uiPriority w:val="0"/>
    <w:qFormat/>
    <w:rPr>
      <w:rFonts w:cs="Times New Roman"/>
      <w:sz w:val="20"/>
    </w:rPr>
  </w:style>
  <w:style w:type="character" w:styleId="ListLabel121" w:customStyle="1">
    <w:name w:val="ListLabel 121"/>
    <w:uiPriority w:val="0"/>
    <w:qFormat/>
    <w:rPr>
      <w:rFonts w:cs="Microsoft Sans Serif"/>
      <w:sz w:val="20"/>
    </w:rPr>
  </w:style>
  <w:style w:type="character" w:styleId="ListLabel122" w:customStyle="1">
    <w:name w:val="ListLabel 122"/>
    <w:uiPriority w:val="0"/>
    <w:qFormat/>
    <w:rPr>
      <w:rFonts w:cs="Wingdings"/>
    </w:rPr>
  </w:style>
  <w:style w:type="character" w:styleId="ListLabel123" w:customStyle="1">
    <w:name w:val="ListLabel 123"/>
    <w:uiPriority w:val="0"/>
    <w:qFormat/>
    <w:rPr>
      <w:rFonts w:cs="Wingdings"/>
    </w:rPr>
  </w:style>
  <w:style w:type="character" w:styleId="ListLabel124" w:customStyle="1">
    <w:name w:val="ListLabel 124"/>
    <w:uiPriority w:val="0"/>
    <w:qFormat/>
    <w:rPr>
      <w:rFonts w:cs="Wingdings"/>
    </w:rPr>
  </w:style>
  <w:style w:type="character" w:styleId="ListLabel125" w:customStyle="1">
    <w:name w:val="ListLabel 125"/>
    <w:uiPriority w:val="0"/>
    <w:qFormat/>
    <w:rPr>
      <w:rFonts w:cs="Wingdings"/>
    </w:rPr>
  </w:style>
  <w:style w:type="character" w:styleId="ListLabel126" w:customStyle="1">
    <w:name w:val="ListLabel 126"/>
    <w:uiPriority w:val="0"/>
    <w:qFormat/>
    <w:rPr>
      <w:rFonts w:cs="Wingdings"/>
    </w:rPr>
  </w:style>
  <w:style w:type="character" w:styleId="ListLabel127" w:customStyle="1">
    <w:name w:val="ListLabel 127"/>
    <w:uiPriority w:val="0"/>
    <w:qFormat/>
    <w:rPr>
      <w:rFonts w:cs="Wingdings"/>
    </w:rPr>
  </w:style>
  <w:style w:type="character" w:styleId="ListLabel128" w:customStyle="1">
    <w:name w:val="ListLabel 128"/>
    <w:uiPriority w:val="0"/>
    <w:qFormat/>
    <w:rPr>
      <w:rFonts w:cs="Wingdings"/>
      <w:sz w:val="20"/>
    </w:rPr>
  </w:style>
  <w:style w:type="character" w:styleId="ListLabel129" w:customStyle="1">
    <w:name w:val="ListLabel 129"/>
    <w:uiPriority w:val="0"/>
    <w:qFormat/>
    <w:rPr>
      <w:rFonts w:cs="Times New Roman"/>
      <w:sz w:val="20"/>
    </w:rPr>
  </w:style>
  <w:style w:type="character" w:styleId="ListLabel130" w:customStyle="1">
    <w:name w:val="ListLabel 130"/>
    <w:uiPriority w:val="0"/>
    <w:qFormat/>
    <w:rPr>
      <w:rFonts w:cs="Microsoft Sans Serif"/>
      <w:sz w:val="20"/>
    </w:rPr>
  </w:style>
  <w:style w:type="character" w:styleId="ListLabel131" w:customStyle="1">
    <w:name w:val="ListLabel 131"/>
    <w:uiPriority w:val="0"/>
    <w:qFormat/>
    <w:rPr>
      <w:rFonts w:cs="Wingdings"/>
    </w:rPr>
  </w:style>
  <w:style w:type="character" w:styleId="ListLabel132" w:customStyle="1">
    <w:name w:val="ListLabel 132"/>
    <w:uiPriority w:val="0"/>
    <w:qFormat/>
    <w:rPr>
      <w:rFonts w:cs="Wingdings"/>
    </w:rPr>
  </w:style>
  <w:style w:type="character" w:styleId="ListLabel133" w:customStyle="1">
    <w:name w:val="ListLabel 133"/>
    <w:uiPriority w:val="0"/>
    <w:qFormat/>
    <w:rPr>
      <w:rFonts w:cs="Wingdings"/>
    </w:rPr>
  </w:style>
  <w:style w:type="character" w:styleId="ListLabel134" w:customStyle="1">
    <w:name w:val="ListLabel 134"/>
    <w:uiPriority w:val="0"/>
    <w:qFormat/>
    <w:rPr>
      <w:rFonts w:cs="Wingdings"/>
    </w:rPr>
  </w:style>
  <w:style w:type="character" w:styleId="ListLabel135" w:customStyle="1">
    <w:name w:val="ListLabel 135"/>
    <w:uiPriority w:val="0"/>
    <w:qFormat/>
    <w:rPr>
      <w:rFonts w:cs="Wingdings"/>
    </w:rPr>
  </w:style>
  <w:style w:type="character" w:styleId="ListLabel136" w:customStyle="1">
    <w:name w:val="ListLabel 136"/>
    <w:uiPriority w:val="0"/>
    <w:qFormat/>
    <w:rPr>
      <w:rFonts w:cs="Wingdings"/>
    </w:rPr>
  </w:style>
  <w:style w:type="character" w:styleId="ListLabel137" w:customStyle="1">
    <w:name w:val="ListLabel 137"/>
    <w:uiPriority w:val="0"/>
    <w:qFormat/>
    <w:rPr>
      <w:sz w:val="22"/>
      <w:szCs w:val="22"/>
    </w:rPr>
  </w:style>
  <w:style w:type="character" w:styleId="ListLabel138" w:customStyle="1">
    <w:name w:val="ListLabel 138"/>
    <w:uiPriority w:val="0"/>
    <w:qFormat/>
    <w:rPr>
      <w:sz w:val="22"/>
      <w:szCs w:val="22"/>
    </w:rPr>
  </w:style>
  <w:style w:type="character" w:styleId="ListLabel139" w:customStyle="1">
    <w:name w:val="ListLabel 139"/>
    <w:uiPriority w:val="0"/>
    <w:qFormat/>
    <w:rPr>
      <w:rFonts w:cs="Times New Roman"/>
    </w:rPr>
  </w:style>
  <w:style w:type="character" w:styleId="ListLabel140" w:customStyle="1">
    <w:name w:val="ListLabel 140"/>
    <w:uiPriority w:val="0"/>
    <w:qFormat/>
    <w:rPr>
      <w:rFonts w:cs="Wingdings"/>
      <w:sz w:val="20"/>
    </w:rPr>
  </w:style>
  <w:style w:type="character" w:styleId="ListLabel141" w:customStyle="1">
    <w:name w:val="ListLabel 141"/>
    <w:uiPriority w:val="0"/>
    <w:qFormat/>
    <w:rPr>
      <w:rFonts w:cs="Times New Roman"/>
      <w:sz w:val="20"/>
    </w:rPr>
  </w:style>
  <w:style w:type="character" w:styleId="ListLabel142" w:customStyle="1">
    <w:name w:val="ListLabel 142"/>
    <w:uiPriority w:val="0"/>
    <w:qFormat/>
    <w:rPr>
      <w:rFonts w:cs="Microsoft Sans Serif"/>
      <w:sz w:val="20"/>
    </w:rPr>
  </w:style>
  <w:style w:type="character" w:styleId="ListLabel143" w:customStyle="1">
    <w:name w:val="ListLabel 143"/>
    <w:uiPriority w:val="0"/>
    <w:qFormat/>
    <w:rPr>
      <w:sz w:val="16"/>
    </w:rPr>
  </w:style>
  <w:style w:type="character" w:styleId="ListLabel144" w:customStyle="1">
    <w:name w:val="ListLabel 144"/>
    <w:uiPriority w:val="0"/>
    <w:qFormat/>
    <w:rPr>
      <w:rFonts w:cs="Wingdings"/>
    </w:rPr>
  </w:style>
  <w:style w:type="character" w:styleId="ListLabel145" w:customStyle="1">
    <w:name w:val="ListLabel 145"/>
    <w:uiPriority w:val="0"/>
    <w:qFormat/>
    <w:rPr>
      <w:rFonts w:cs="Wingdings"/>
    </w:rPr>
  </w:style>
  <w:style w:type="character" w:styleId="ListLabel146" w:customStyle="1">
    <w:name w:val="ListLabel 146"/>
    <w:uiPriority w:val="0"/>
    <w:qFormat/>
    <w:rPr>
      <w:rFonts w:cs="Wingdings"/>
    </w:rPr>
  </w:style>
  <w:style w:type="character" w:styleId="ListLabel147" w:customStyle="1">
    <w:name w:val="ListLabel 147"/>
    <w:uiPriority w:val="0"/>
    <w:qFormat/>
    <w:rPr>
      <w:rFonts w:cs="Wingdings"/>
    </w:rPr>
  </w:style>
  <w:style w:type="character" w:styleId="ListLabel148" w:customStyle="1">
    <w:name w:val="ListLabel 148"/>
    <w:uiPriority w:val="0"/>
    <w:qFormat/>
    <w:rPr>
      <w:rFonts w:cs="Wingdings"/>
    </w:rPr>
  </w:style>
  <w:style w:type="character" w:styleId="ListLabel149" w:customStyle="1">
    <w:name w:val="ListLabel 149"/>
    <w:uiPriority w:val="0"/>
    <w:qFormat/>
    <w:rPr>
      <w:rFonts w:cs="Wingdings"/>
      <w:sz w:val="20"/>
    </w:rPr>
  </w:style>
  <w:style w:type="character" w:styleId="ListLabel150" w:customStyle="1">
    <w:name w:val="ListLabel 150"/>
    <w:uiPriority w:val="0"/>
    <w:qFormat/>
    <w:rPr>
      <w:rFonts w:cs="Times New Roman"/>
      <w:sz w:val="20"/>
    </w:rPr>
  </w:style>
  <w:style w:type="character" w:styleId="ListLabel151" w:customStyle="1">
    <w:name w:val="ListLabel 151"/>
    <w:uiPriority w:val="0"/>
    <w:qFormat/>
    <w:rPr>
      <w:rFonts w:cs="Microsoft Sans Serif"/>
      <w:sz w:val="20"/>
    </w:rPr>
  </w:style>
  <w:style w:type="character" w:styleId="ListLabel152" w:customStyle="1">
    <w:name w:val="ListLabel 152"/>
    <w:uiPriority w:val="0"/>
    <w:qFormat/>
    <w:rPr>
      <w:rFonts w:cs="Wingdings"/>
    </w:rPr>
  </w:style>
  <w:style w:type="character" w:styleId="ListLabel153" w:customStyle="1">
    <w:name w:val="ListLabel 153"/>
    <w:uiPriority w:val="0"/>
    <w:qFormat/>
    <w:rPr>
      <w:rFonts w:cs="Wingdings"/>
    </w:rPr>
  </w:style>
  <w:style w:type="character" w:styleId="ListLabel154" w:customStyle="1">
    <w:name w:val="ListLabel 154"/>
    <w:uiPriority w:val="0"/>
    <w:qFormat/>
    <w:rPr>
      <w:rFonts w:cs="Wingdings"/>
    </w:rPr>
  </w:style>
  <w:style w:type="character" w:styleId="ListLabel155" w:customStyle="1">
    <w:name w:val="ListLabel 155"/>
    <w:uiPriority w:val="0"/>
    <w:qFormat/>
    <w:rPr>
      <w:rFonts w:cs="Wingdings"/>
    </w:rPr>
  </w:style>
  <w:style w:type="character" w:styleId="ListLabel156" w:customStyle="1">
    <w:name w:val="ListLabel 156"/>
    <w:uiPriority w:val="0"/>
    <w:qFormat/>
    <w:rPr>
      <w:rFonts w:cs="Wingdings"/>
    </w:rPr>
  </w:style>
  <w:style w:type="character" w:styleId="ListLabel157" w:customStyle="1">
    <w:name w:val="ListLabel 157"/>
    <w:uiPriority w:val="0"/>
    <w:qFormat/>
    <w:rPr>
      <w:rFonts w:cs="Wingdings"/>
    </w:rPr>
  </w:style>
  <w:style w:type="character" w:styleId="ListLabel158" w:customStyle="1">
    <w:name w:val="ListLabel 158"/>
    <w:uiPriority w:val="0"/>
    <w:qFormat/>
    <w:rPr>
      <w:sz w:val="22"/>
      <w:szCs w:val="22"/>
    </w:rPr>
  </w:style>
  <w:style w:type="character" w:styleId="ListLabel159" w:customStyle="1">
    <w:name w:val="ListLabel 159"/>
    <w:uiPriority w:val="0"/>
    <w:qFormat/>
    <w:rPr>
      <w:sz w:val="20"/>
    </w:rPr>
  </w:style>
  <w:style w:type="character" w:styleId="ListLabel160" w:customStyle="1">
    <w:name w:val="ListLabel 160"/>
    <w:uiPriority w:val="0"/>
    <w:qFormat/>
    <w:rPr>
      <w:sz w:val="20"/>
    </w:rPr>
  </w:style>
  <w:style w:type="character" w:styleId="ListLabel161" w:customStyle="1">
    <w:name w:val="ListLabel 161"/>
    <w:uiPriority w:val="0"/>
    <w:qFormat/>
    <w:rPr>
      <w:sz w:val="20"/>
    </w:rPr>
  </w:style>
  <w:style w:type="character" w:styleId="ListLabel162" w:customStyle="1">
    <w:name w:val="ListLabel 162"/>
    <w:uiPriority w:val="0"/>
    <w:qFormat/>
    <w:rPr>
      <w:sz w:val="20"/>
    </w:rPr>
  </w:style>
  <w:style w:type="character" w:styleId="ListLabel163" w:customStyle="1">
    <w:name w:val="ListLabel 163"/>
    <w:uiPriority w:val="0"/>
    <w:qFormat/>
    <w:rPr>
      <w:b/>
      <w:sz w:val="20"/>
    </w:rPr>
  </w:style>
  <w:style w:type="character" w:styleId="ListLabel164" w:customStyle="1">
    <w:name w:val="ListLabel 164"/>
    <w:uiPriority w:val="0"/>
    <w:qFormat/>
    <w:rPr>
      <w:rFonts w:cs="Courier New"/>
    </w:rPr>
  </w:style>
  <w:style w:type="character" w:styleId="ListLabel165" w:customStyle="1">
    <w:name w:val="ListLabel 165"/>
    <w:uiPriority w:val="0"/>
    <w:qFormat/>
    <w:rPr>
      <w:rFonts w:cs="Courier New"/>
    </w:rPr>
  </w:style>
  <w:style w:type="character" w:styleId="ListLabel166" w:customStyle="1">
    <w:name w:val="ListLabel 166"/>
    <w:uiPriority w:val="0"/>
    <w:qFormat/>
    <w:rPr>
      <w:rFonts w:cs="Courier New"/>
    </w:rPr>
  </w:style>
  <w:style w:type="character" w:styleId="ListLabel167" w:customStyle="1">
    <w:name w:val="ListLabel 167"/>
    <w:uiPriority w:val="0"/>
    <w:qFormat/>
    <w:rPr>
      <w:sz w:val="20"/>
    </w:rPr>
  </w:style>
  <w:style w:type="character" w:styleId="ListLabel168" w:customStyle="1">
    <w:name w:val="ListLabel 168"/>
    <w:uiPriority w:val="0"/>
    <w:qFormat/>
    <w:rPr>
      <w:rFonts w:cs="Courier New"/>
    </w:rPr>
  </w:style>
  <w:style w:type="character" w:styleId="ListLabel169" w:customStyle="1">
    <w:name w:val="ListLabel 169"/>
    <w:uiPriority w:val="0"/>
    <w:qFormat/>
    <w:rPr>
      <w:rFonts w:cs="Courier New"/>
    </w:rPr>
  </w:style>
  <w:style w:type="character" w:styleId="ListLabel170" w:customStyle="1">
    <w:name w:val="ListLabel 170"/>
    <w:uiPriority w:val="0"/>
    <w:qFormat/>
    <w:rPr>
      <w:rFonts w:cs="Courier New"/>
    </w:rPr>
  </w:style>
  <w:style w:type="character" w:styleId="ListLabel171" w:customStyle="1">
    <w:name w:val="ListLabel 171"/>
    <w:uiPriority w:val="0"/>
    <w:qFormat/>
    <w:rPr>
      <w:rFonts w:eastAsia="微软雅黑" w:cs="Times New Roman"/>
    </w:rPr>
  </w:style>
  <w:style w:type="character" w:styleId="ListLabel172" w:customStyle="1">
    <w:name w:val="ListLabel 172"/>
    <w:uiPriority w:val="0"/>
    <w:qFormat/>
    <w:rPr>
      <w:sz w:val="20"/>
    </w:rPr>
  </w:style>
  <w:style w:type="character" w:styleId="ListLabel173" w:customStyle="1">
    <w:name w:val="ListLabel 173"/>
    <w:uiPriority w:val="0"/>
    <w:qFormat/>
    <w:rPr>
      <w:sz w:val="20"/>
    </w:rPr>
  </w:style>
  <w:style w:type="character" w:styleId="ListLabel174" w:customStyle="1">
    <w:name w:val="ListLabel 174"/>
    <w:uiPriority w:val="0"/>
    <w:qFormat/>
    <w:rPr>
      <w:sz w:val="20"/>
    </w:rPr>
  </w:style>
  <w:style w:type="character" w:styleId="ListLabel175" w:customStyle="1">
    <w:name w:val="ListLabel 175"/>
    <w:uiPriority w:val="0"/>
    <w:qFormat/>
    <w:rPr>
      <w:sz w:val="16"/>
    </w:rPr>
  </w:style>
  <w:style w:type="character" w:styleId="ListLabel176" w:customStyle="1">
    <w:name w:val="ListLabel 176"/>
    <w:uiPriority w:val="0"/>
    <w:qFormat/>
    <w:rPr>
      <w:sz w:val="20"/>
    </w:rPr>
  </w:style>
  <w:style w:type="character" w:styleId="ListLabel177" w:customStyle="1">
    <w:name w:val="ListLabel 177"/>
    <w:uiPriority w:val="0"/>
    <w:qFormat/>
    <w:rPr>
      <w:sz w:val="20"/>
    </w:rPr>
  </w:style>
  <w:style w:type="character" w:styleId="ListLabel178" w:customStyle="1">
    <w:name w:val="ListLabel 178"/>
    <w:uiPriority w:val="0"/>
    <w:qFormat/>
    <w:rPr>
      <w:sz w:val="20"/>
    </w:rPr>
  </w:style>
  <w:style w:type="character" w:styleId="ListLabel179" w:customStyle="1">
    <w:name w:val="ListLabel 179"/>
    <w:uiPriority w:val="0"/>
    <w:qFormat/>
    <w:rPr>
      <w:rFonts w:cs="Courier New"/>
    </w:rPr>
  </w:style>
  <w:style w:type="character" w:styleId="ListLabel180" w:customStyle="1">
    <w:name w:val="ListLabel 180"/>
    <w:uiPriority w:val="0"/>
    <w:qFormat/>
    <w:rPr>
      <w:rFonts w:cs="Courier New"/>
    </w:rPr>
  </w:style>
  <w:style w:type="character" w:styleId="ListLabel181" w:customStyle="1">
    <w:name w:val="ListLabel 181"/>
    <w:uiPriority w:val="0"/>
    <w:qFormat/>
    <w:rPr>
      <w:rFonts w:cs="Courier New"/>
    </w:rPr>
  </w:style>
  <w:style w:type="character" w:styleId="ListLabel182" w:customStyle="1">
    <w:name w:val="ListLabel 182"/>
    <w:uiPriority w:val="0"/>
    <w:qFormat/>
    <w:rPr>
      <w:sz w:val="20"/>
    </w:rPr>
  </w:style>
  <w:style w:type="character" w:styleId="ListLabel183" w:customStyle="1">
    <w:name w:val="ListLabel 183"/>
    <w:uiPriority w:val="0"/>
    <w:qFormat/>
    <w:rPr>
      <w:rFonts w:cs="Courier New"/>
    </w:rPr>
  </w:style>
  <w:style w:type="character" w:styleId="ListLabel184" w:customStyle="1">
    <w:name w:val="ListLabel 184"/>
    <w:uiPriority w:val="0"/>
    <w:qFormat/>
    <w:rPr>
      <w:rFonts w:cs="Courier New"/>
    </w:rPr>
  </w:style>
  <w:style w:type="character" w:styleId="ListLabel185" w:customStyle="1">
    <w:name w:val="ListLabel 185"/>
    <w:uiPriority w:val="0"/>
    <w:qFormat/>
    <w:rPr>
      <w:rFonts w:cs="Courier New"/>
    </w:rPr>
  </w:style>
  <w:style w:type="character" w:styleId="ListLabel186" w:customStyle="1">
    <w:name w:val="ListLabel 186"/>
    <w:uiPriority w:val="0"/>
    <w:qFormat/>
    <w:rPr>
      <w:rFonts w:cs="Courier New"/>
    </w:rPr>
  </w:style>
  <w:style w:type="character" w:styleId="ListLabel187" w:customStyle="1">
    <w:name w:val="ListLabel 187"/>
    <w:uiPriority w:val="0"/>
    <w:qFormat/>
    <w:rPr>
      <w:rFonts w:cs="Courier New"/>
    </w:rPr>
  </w:style>
  <w:style w:type="character" w:styleId="ListLabel188" w:customStyle="1">
    <w:name w:val="ListLabel 188"/>
    <w:uiPriority w:val="0"/>
    <w:qFormat/>
    <w:rPr>
      <w:rFonts w:cs="Courier New"/>
    </w:rPr>
  </w:style>
  <w:style w:type="character" w:styleId="Style16" w:customStyle="1">
    <w:name w:val="列表段落 字符"/>
    <w:link w:val="273"/>
    <w:uiPriority w:val="34"/>
    <w:qFormat/>
    <w:locked/>
    <w:rPr>
      <w:rFonts w:ascii="Times New Roman" w:hAnsi="Times New Roman" w:eastAsia="宋体" w:cs="Times New Roman"/>
      <w:sz w:val="22"/>
      <w:szCs w:val="22"/>
    </w:rPr>
  </w:style>
  <w:style w:type="character" w:styleId="ListLabel189">
    <w:name w:val="ListLabel 189"/>
    <w:qFormat/>
    <w:rPr>
      <w:sz w:val="22"/>
      <w:szCs w:val="22"/>
    </w:rPr>
  </w:style>
  <w:style w:type="character" w:styleId="ListLabel190">
    <w:name w:val="ListLabel 190"/>
    <w:qFormat/>
    <w:rPr>
      <w:sz w:val="22"/>
      <w:szCs w:val="22"/>
    </w:rPr>
  </w:style>
  <w:style w:type="character" w:styleId="ListLabel191">
    <w:name w:val="ListLabel 191"/>
    <w:qFormat/>
    <w:rPr>
      <w:rFonts w:cs="Times New Roman"/>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rFonts w:cs="Wingdings"/>
      <w:sz w:val="20"/>
    </w:rPr>
  </w:style>
  <w:style w:type="character" w:styleId="ListLabel199">
    <w:name w:val="ListLabel 199"/>
    <w:qFormat/>
    <w:rPr>
      <w:rFonts w:cs="Times New Roman"/>
      <w:sz w:val="20"/>
    </w:rPr>
  </w:style>
  <w:style w:type="character" w:styleId="ListLabel200">
    <w:name w:val="ListLabel 200"/>
    <w:qFormat/>
    <w:rPr>
      <w:rFonts w:cs="Microsoft Sans Serif"/>
      <w:sz w:val="20"/>
    </w:rPr>
  </w:style>
  <w:style w:type="character" w:styleId="ListLabel201">
    <w:name w:val="ListLabel 201"/>
    <w:qFormat/>
    <w:rPr>
      <w:rFonts w:cs="Wingdings"/>
    </w:rPr>
  </w:style>
  <w:style w:type="character" w:styleId="ListLabel202">
    <w:name w:val="ListLabel 202"/>
    <w:qFormat/>
    <w:rPr>
      <w:rFonts w:cs="Wingdings"/>
    </w:rPr>
  </w:style>
  <w:style w:type="character" w:styleId="ListLabel203">
    <w:name w:val="ListLabel 203"/>
    <w:qFormat/>
    <w:rPr>
      <w:rFonts w:cs="Wingdings"/>
    </w:rPr>
  </w:style>
  <w:style w:type="character" w:styleId="ListLabel204">
    <w:name w:val="ListLabel 204"/>
    <w:qFormat/>
    <w:rPr>
      <w:rFonts w:cs="Wingdings"/>
    </w:rPr>
  </w:style>
  <w:style w:type="character" w:styleId="ListLabel205">
    <w:name w:val="ListLabel 205"/>
    <w:qFormat/>
    <w:rPr>
      <w:rFonts w:cs="Wingdings"/>
    </w:rPr>
  </w:style>
  <w:style w:type="character" w:styleId="ListLabel206">
    <w:name w:val="ListLabel 206"/>
    <w:qFormat/>
    <w:rPr>
      <w:rFonts w:cs="Wingdings"/>
    </w:rPr>
  </w:style>
  <w:style w:type="character" w:styleId="ListLabel207">
    <w:name w:val="ListLabel 207"/>
    <w:qFormat/>
    <w:rPr>
      <w:rFonts w:cs="Wingdings"/>
      <w:sz w:val="20"/>
    </w:rPr>
  </w:style>
  <w:style w:type="character" w:styleId="ListLabel208">
    <w:name w:val="ListLabel 208"/>
    <w:qFormat/>
    <w:rPr>
      <w:rFonts w:eastAsia="Times New Roman" w:cs="Arial"/>
      <w:sz w:val="20"/>
    </w:rPr>
  </w:style>
  <w:style w:type="character" w:styleId="ListLabel209">
    <w:name w:val="ListLabel 209"/>
    <w:qFormat/>
    <w:rPr>
      <w:rFonts w:cs="Wingdings"/>
    </w:rPr>
  </w:style>
  <w:style w:type="character" w:styleId="ListLabel210">
    <w:name w:val="ListLabel 210"/>
    <w:qFormat/>
    <w:rPr>
      <w:rFonts w:cs="Wingdings"/>
    </w:rPr>
  </w:style>
  <w:style w:type="character" w:styleId="ListLabel211">
    <w:name w:val="ListLabel 211"/>
    <w:qFormat/>
    <w:rPr>
      <w:rFonts w:cs="Wingdings"/>
    </w:rPr>
  </w:style>
  <w:style w:type="character" w:styleId="ListLabel212">
    <w:name w:val="ListLabel 212"/>
    <w:qFormat/>
    <w:rPr>
      <w:rFonts w:cs="Wingdings"/>
    </w:rPr>
  </w:style>
  <w:style w:type="character" w:styleId="ListLabel213">
    <w:name w:val="ListLabel 213"/>
    <w:qFormat/>
    <w:rPr>
      <w:rFonts w:cs="Wingdings"/>
    </w:rPr>
  </w:style>
  <w:style w:type="character" w:styleId="ListLabel214">
    <w:name w:val="ListLabel 214"/>
    <w:qFormat/>
    <w:rPr>
      <w:rFonts w:cs="Wingdings"/>
    </w:rPr>
  </w:style>
  <w:style w:type="character" w:styleId="ListLabel215">
    <w:name w:val="ListLabel 215"/>
    <w:qFormat/>
    <w:rPr>
      <w:rFonts w:cs="Wingdings"/>
    </w:rPr>
  </w:style>
  <w:style w:type="character" w:styleId="ListLabel216">
    <w:name w:val="ListLabel 216"/>
    <w:qFormat/>
    <w:rPr>
      <w:rFonts w:cs="Wingdings"/>
      <w:sz w:val="20"/>
    </w:rPr>
  </w:style>
  <w:style w:type="character" w:styleId="ListLabel217">
    <w:name w:val="ListLabel 217"/>
    <w:qFormat/>
    <w:rPr>
      <w:rFonts w:cs="Wingdings"/>
    </w:rPr>
  </w:style>
  <w:style w:type="character" w:styleId="ListLabel218">
    <w:name w:val="ListLabel 218"/>
    <w:qFormat/>
    <w:rPr>
      <w:rFonts w:cs="Wingdings"/>
    </w:rPr>
  </w:style>
  <w:style w:type="character" w:styleId="ListLabel219">
    <w:name w:val="ListLabel 219"/>
    <w:qFormat/>
    <w:rPr>
      <w:rFonts w:cs="Wingdings"/>
    </w:rPr>
  </w:style>
  <w:style w:type="character" w:styleId="ListLabel220">
    <w:name w:val="ListLabel 220"/>
    <w:qFormat/>
    <w:rPr>
      <w:rFonts w:cs="Wingdings"/>
    </w:rPr>
  </w:style>
  <w:style w:type="character" w:styleId="ListLabel221">
    <w:name w:val="ListLabel 221"/>
    <w:qFormat/>
    <w:rPr>
      <w:rFonts w:cs="Wingdings"/>
    </w:rPr>
  </w:style>
  <w:style w:type="character" w:styleId="ListLabel222">
    <w:name w:val="ListLabel 222"/>
    <w:qFormat/>
    <w:rPr>
      <w:rFonts w:cs="Wingdings"/>
    </w:rPr>
  </w:style>
  <w:style w:type="character" w:styleId="ListLabel223">
    <w:name w:val="ListLabel 223"/>
    <w:qFormat/>
    <w:rPr>
      <w:rFonts w:cs="Wingdings"/>
    </w:rPr>
  </w:style>
  <w:style w:type="character" w:styleId="ListLabel224">
    <w:name w:val="ListLabel 224"/>
    <w:qFormat/>
    <w:rPr>
      <w:rFonts w:cs="Wingdings"/>
    </w:rPr>
  </w:style>
  <w:style w:type="paragraph" w:styleId="Heading" w:customStyle="1">
    <w:name w:val="Heading"/>
    <w:basedOn w:val="Normal"/>
    <w:next w:val="TextBody"/>
    <w:uiPriority w:val="0"/>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uiPriority w:val="0"/>
    <w:qFormat/>
    <w:pPr>
      <w:widowControl w:val="false"/>
      <w:spacing w:lineRule="auto" w:line="240" w:before="0" w:after="0"/>
      <w:jc w:val="both"/>
    </w:pPr>
    <w:rPr>
      <w:color w:val="0000FF"/>
      <w:kern w:val="2"/>
      <w:sz w:val="21"/>
      <w:szCs w:val="20"/>
    </w:rPr>
  </w:style>
  <w:style w:type="paragraph" w:styleId="List">
    <w:name w:val="List"/>
    <w:basedOn w:val="Normal"/>
    <w:uiPriority w:val="99"/>
    <w:unhideWhenUsed/>
    <w:qFormat/>
    <w:pPr>
      <w:spacing w:before="0" w:after="200"/>
      <w:ind w:left="200" w:hanging="20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0"/>
    <w:qFormat/>
    <w:pPr>
      <w:suppressLineNumbers/>
    </w:pPr>
    <w:rPr>
      <w:rFonts w:cs="Lohit Devanagari"/>
    </w:rPr>
  </w:style>
  <w:style w:type="paragraph" w:styleId="NormalIndent">
    <w:name w:val="Normal Indent"/>
    <w:basedOn w:val="Normal"/>
    <w:uiPriority w:val="0"/>
    <w:qFormat/>
    <w:pPr>
      <w:widowControl w:val="false"/>
      <w:spacing w:lineRule="auto" w:line="240" w:before="0" w:after="0"/>
      <w:ind w:firstLine="420"/>
      <w:jc w:val="both"/>
    </w:pPr>
    <w:rPr>
      <w:kern w:val="2"/>
      <w:sz w:val="21"/>
      <w:szCs w:val="20"/>
    </w:rPr>
  </w:style>
  <w:style w:type="paragraph" w:styleId="Caption1">
    <w:name w:val="caption"/>
    <w:basedOn w:val="Normal"/>
    <w:uiPriority w:val="0"/>
    <w:qFormat/>
    <w:pPr>
      <w:tabs>
        <w:tab w:val="left" w:pos="1418" w:leader="none"/>
      </w:tabs>
      <w:spacing w:lineRule="auto" w:line="240" w:before="120" w:after="120"/>
    </w:pPr>
    <w:rPr>
      <w:b/>
      <w:bCs/>
      <w:sz w:val="20"/>
      <w:szCs w:val="20"/>
      <w:lang w:val="en-GB" w:eastAsia="sv-SE"/>
    </w:rPr>
  </w:style>
  <w:style w:type="paragraph" w:styleId="ListBullet">
    <w:name w:val="List Bullet"/>
    <w:basedOn w:val="Normal"/>
    <w:uiPriority w:val="99"/>
    <w:unhideWhenUsed/>
    <w:qFormat/>
    <w:pPr>
      <w:spacing w:before="0" w:after="200"/>
      <w:contextualSpacing/>
    </w:pPr>
    <w:rPr/>
  </w:style>
  <w:style w:type="paragraph" w:styleId="DocumentMap">
    <w:name w:val="Document Map"/>
    <w:basedOn w:val="Normal"/>
    <w:uiPriority w:val="99"/>
    <w:unhideWhenUsed/>
    <w:qFormat/>
    <w:pPr/>
    <w:rPr>
      <w:rFonts w:ascii="宋体" w:hAnsi="宋体"/>
      <w:sz w:val="18"/>
      <w:szCs w:val="18"/>
    </w:rPr>
  </w:style>
  <w:style w:type="paragraph" w:styleId="Annotationtext">
    <w:name w:val="annotation text"/>
    <w:basedOn w:val="Normal"/>
    <w:uiPriority w:val="99"/>
    <w:unhideWhenUsed/>
    <w:qFormat/>
    <w:pPr/>
    <w:rPr>
      <w:sz w:val="20"/>
      <w:szCs w:val="20"/>
    </w:rPr>
  </w:style>
  <w:style w:type="paragraph" w:styleId="BalloonText">
    <w:name w:val="Balloon Text"/>
    <w:basedOn w:val="Normal"/>
    <w:uiPriority w:val="99"/>
    <w:unhideWhenUsed/>
    <w:qFormat/>
    <w:pPr>
      <w:spacing w:lineRule="auto" w:line="240" w:before="0" w:after="0"/>
    </w:pPr>
    <w:rPr>
      <w:rFonts w:ascii="Tahoma" w:hAnsi="Tahoma"/>
      <w:sz w:val="16"/>
      <w:szCs w:val="16"/>
    </w:rPr>
  </w:style>
  <w:style w:type="paragraph" w:styleId="Footer">
    <w:name w:val="Footer"/>
    <w:basedOn w:val="Normal"/>
    <w:uiPriority w:val="0"/>
    <w:qFormat/>
    <w:pPr>
      <w:tabs>
        <w:tab w:val="center" w:pos="4153" w:leader="none"/>
        <w:tab w:val="right" w:pos="8306" w:leader="none"/>
      </w:tabs>
      <w:snapToGrid w:val="false"/>
      <w:spacing w:lineRule="auto" w:line="240"/>
    </w:pPr>
    <w:rPr>
      <w:sz w:val="18"/>
      <w:szCs w:val="18"/>
    </w:rPr>
  </w:style>
  <w:style w:type="paragraph" w:styleId="Header">
    <w:name w:val="Header"/>
    <w:basedOn w:val="Normal"/>
    <w:uiPriority w:val="0"/>
    <w:qFormat/>
    <w:pPr>
      <w:tabs>
        <w:tab w:val="center" w:pos="4536" w:leader="none"/>
        <w:tab w:val="right" w:pos="9072" w:leader="none"/>
      </w:tabs>
      <w:spacing w:lineRule="auto" w:line="240" w:before="0" w:after="0"/>
    </w:pPr>
    <w:rPr>
      <w:rFonts w:ascii="Arial" w:hAnsi="Arial" w:eastAsia="MS Mincho"/>
      <w:b/>
      <w:sz w:val="20"/>
      <w:szCs w:val="24"/>
      <w:lang w:eastAsia="en-US"/>
    </w:rPr>
  </w:style>
  <w:style w:type="paragraph" w:styleId="Footnote">
    <w:name w:val="Footnote Text"/>
    <w:basedOn w:val="Normal"/>
    <w:uiPriority w:val="0"/>
    <w:semiHidden/>
    <w:qFormat/>
    <w:pPr>
      <w:spacing w:lineRule="auto" w:line="240" w:before="0" w:after="0"/>
      <w:jc w:val="both"/>
    </w:pPr>
    <w:rPr>
      <w:rFonts w:ascii="Times" w:hAnsi="Times" w:eastAsia="Batang"/>
      <w:sz w:val="20"/>
      <w:szCs w:val="20"/>
      <w:lang w:eastAsia="en-US"/>
    </w:rPr>
  </w:style>
  <w:style w:type="paragraph" w:styleId="NormalWeb">
    <w:name w:val="Normal (Web)"/>
    <w:basedOn w:val="Normal"/>
    <w:uiPriority w:val="99"/>
    <w:unhideWhenUsed/>
    <w:qFormat/>
    <w:pPr>
      <w:spacing w:lineRule="auto" w:line="240" w:beforeAutospacing="1" w:afterAutospacing="1"/>
    </w:pPr>
    <w:rPr>
      <w:rFonts w:ascii="宋体" w:hAnsi="宋体" w:cs="宋体"/>
      <w:sz w:val="24"/>
      <w:szCs w:val="24"/>
    </w:rPr>
  </w:style>
  <w:style w:type="paragraph" w:styleId="Annotationsubject">
    <w:name w:val="annotation subject"/>
    <w:basedOn w:val="Annotationtext"/>
    <w:uiPriority w:val="99"/>
    <w:unhideWhenUsed/>
    <w:qFormat/>
    <w:pPr/>
    <w:rPr>
      <w:b/>
      <w:bCs/>
    </w:rPr>
  </w:style>
  <w:style w:type="paragraph" w:styleId="TH" w:customStyle="1">
    <w:name w:val="TH"/>
    <w:basedOn w:val="Normal"/>
    <w:link w:val="40"/>
    <w:uiPriority w:val="0"/>
    <w:qFormat/>
    <w:pPr>
      <w:keepNext w:val="true"/>
      <w:keepLines/>
      <w:spacing w:lineRule="auto" w:line="240" w:before="60" w:after="180"/>
      <w:jc w:val="center"/>
    </w:pPr>
    <w:rPr>
      <w:rFonts w:ascii="Arial" w:hAnsi="Arial"/>
      <w:b/>
      <w:sz w:val="20"/>
      <w:szCs w:val="20"/>
      <w:lang w:val="en-GB" w:eastAsia="en-US"/>
    </w:rPr>
  </w:style>
  <w:style w:type="paragraph" w:styleId="TAC" w:customStyle="1">
    <w:name w:val="TAC"/>
    <w:basedOn w:val="TAL"/>
    <w:link w:val="42"/>
    <w:uiPriority w:val="0"/>
    <w:qFormat/>
    <w:pPr>
      <w:jc w:val="center"/>
      <w:textAlignment w:val="baseline"/>
    </w:pPr>
    <w:rPr>
      <w:rFonts w:eastAsia="Times New Roman"/>
      <w:lang w:eastAsia="en-GB"/>
    </w:rPr>
  </w:style>
  <w:style w:type="paragraph" w:styleId="TAL" w:customStyle="1">
    <w:name w:val="TAL"/>
    <w:basedOn w:val="Normal"/>
    <w:uiPriority w:val="0"/>
    <w:qFormat/>
    <w:pPr>
      <w:keepNext w:val="true"/>
      <w:keepLines/>
      <w:spacing w:lineRule="auto" w:line="240" w:before="0" w:after="0"/>
    </w:pPr>
    <w:rPr>
      <w:rFonts w:ascii="Arial" w:hAnsi="Arial"/>
      <w:sz w:val="18"/>
      <w:szCs w:val="20"/>
      <w:lang w:val="en-GB" w:eastAsia="en-US"/>
    </w:rPr>
  </w:style>
  <w:style w:type="paragraph" w:styleId="B11" w:customStyle="1">
    <w:name w:val="B1"/>
    <w:basedOn w:val="List"/>
    <w:link w:val="47"/>
    <w:uiPriority w:val="0"/>
    <w:qFormat/>
    <w:pPr>
      <w:spacing w:lineRule="auto" w:line="240" w:before="0" w:after="180"/>
      <w:ind w:left="568" w:hanging="284"/>
      <w:contextualSpacing/>
    </w:pPr>
    <w:rPr>
      <w:sz w:val="20"/>
      <w:szCs w:val="20"/>
      <w:lang w:val="en-GB" w:eastAsia="en-US"/>
    </w:rPr>
  </w:style>
  <w:style w:type="paragraph" w:styleId="Normalwithindent" w:customStyle="1">
    <w:name w:val="Normal with indent"/>
    <w:basedOn w:val="Normal"/>
    <w:link w:val="54"/>
    <w:uiPriority w:val="0"/>
    <w:qFormat/>
    <w:pPr>
      <w:spacing w:lineRule="auto" w:line="336" w:before="120" w:after="120"/>
      <w:ind w:firstLine="397"/>
      <w:jc w:val="both"/>
    </w:pPr>
    <w:rPr>
      <w:rFonts w:eastAsia="Malgun Gothic"/>
      <w:sz w:val="20"/>
      <w:szCs w:val="20"/>
      <w:lang w:val="en-GB" w:eastAsia="ko-KR"/>
    </w:rPr>
  </w:style>
  <w:style w:type="paragraph" w:styleId="TAH" w:customStyle="1">
    <w:name w:val="TAH"/>
    <w:basedOn w:val="TAC"/>
    <w:link w:val="66"/>
    <w:uiPriority w:val="0"/>
    <w:qFormat/>
    <w:pPr/>
    <w:rPr>
      <w:b/>
    </w:rPr>
  </w:style>
  <w:style w:type="paragraph" w:styleId="RAN1text" w:customStyle="1">
    <w:name w:val="RAN1 text"/>
    <w:basedOn w:val="TextBody"/>
    <w:link w:val="68"/>
    <w:uiPriority w:val="0"/>
    <w:qFormat/>
    <w:pPr/>
    <w:rPr>
      <w:rFonts w:eastAsia="MS Mincho"/>
    </w:rPr>
  </w:style>
  <w:style w:type="paragraph" w:styleId="RAN1bullet1" w:customStyle="1">
    <w:name w:val="RAN1 bullet1"/>
    <w:basedOn w:val="Normal"/>
    <w:link w:val="70"/>
    <w:uiPriority w:val="0"/>
    <w:qFormat/>
    <w:pPr/>
    <w:rPr/>
  </w:style>
  <w:style w:type="paragraph" w:styleId="12" w:customStyle="1">
    <w:name w:val="无间隔1"/>
    <w:link w:val="75"/>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Style17" w:customStyle="1">
    <w:name w:val="Style1"/>
    <w:basedOn w:val="Normal"/>
    <w:link w:val="77"/>
    <w:uiPriority w:val="0"/>
    <w:qFormat/>
    <w:pPr>
      <w:spacing w:lineRule="auto" w:line="288" w:before="0" w:after="180"/>
      <w:ind w:firstLine="360"/>
      <w:jc w:val="both"/>
    </w:pPr>
    <w:rPr>
      <w:rFonts w:eastAsia="Malgun Gothic" w:cs="Batang"/>
      <w:sz w:val="20"/>
      <w:szCs w:val="20"/>
      <w:lang w:val="en-GB" w:eastAsia="en-US"/>
    </w:rPr>
  </w:style>
  <w:style w:type="paragraph" w:styleId="13" w:customStyle="1">
    <w:name w:val="列出段落1"/>
    <w:basedOn w:val="Normal"/>
    <w:uiPriority w:val="34"/>
    <w:qFormat/>
    <w:pPr>
      <w:spacing w:lineRule="auto" w:line="240" w:before="0" w:after="0"/>
      <w:ind w:left="840" w:hanging="720"/>
    </w:pPr>
    <w:rPr>
      <w:rFonts w:ascii="Times" w:hAnsi="Times" w:cs="Times"/>
      <w:sz w:val="20"/>
      <w:szCs w:val="24"/>
      <w:lang w:val="en-GB"/>
    </w:rPr>
  </w:style>
  <w:style w:type="paragraph" w:styleId="ListParagraph">
    <w:name w:val="List Paragraph"/>
    <w:basedOn w:val="Normal"/>
    <w:link w:val="302"/>
    <w:uiPriority w:val="34"/>
    <w:qFormat/>
    <w:pPr>
      <w:ind w:firstLine="420"/>
    </w:pPr>
    <w:rPr/>
  </w:style>
  <w:style w:type="paragraph" w:styleId="Maintext" w:customStyle="1">
    <w:name w:val="main text"/>
    <w:basedOn w:val="Normal"/>
    <w:uiPriority w:val="0"/>
    <w:qFormat/>
    <w:pPr>
      <w:spacing w:lineRule="auto" w:line="288" w:before="60" w:after="60"/>
      <w:ind w:firstLine="200"/>
      <w:jc w:val="both"/>
    </w:pPr>
    <w:rPr>
      <w:rFonts w:eastAsia="Malgun Gothic"/>
      <w:sz w:val="20"/>
      <w:szCs w:val="20"/>
      <w:lang w:val="en-GB" w:eastAsia="ko-KR"/>
    </w:rPr>
  </w:style>
  <w:style w:type="paragraph" w:styleId="RAN1bullet2" w:customStyle="1">
    <w:name w:val="RAN1 bullet2"/>
    <w:basedOn w:val="Normal"/>
    <w:uiPriority w:val="0"/>
    <w:qFormat/>
    <w:pPr/>
    <w:rPr>
      <w:szCs w:val="20"/>
    </w:rPr>
  </w:style>
  <w:style w:type="paragraph" w:styleId="PaperTableCell" w:customStyle="1">
    <w:name w:val="PaperTableCell"/>
    <w:basedOn w:val="Normal"/>
    <w:uiPriority w:val="0"/>
    <w:qFormat/>
    <w:pPr>
      <w:spacing w:lineRule="auto" w:line="240" w:before="0" w:after="0"/>
      <w:jc w:val="both"/>
    </w:pPr>
    <w:rPr>
      <w:rFonts w:eastAsia="Times New Roman"/>
      <w:sz w:val="16"/>
      <w:szCs w:val="24"/>
      <w:lang w:eastAsia="en-US"/>
    </w:rPr>
  </w:style>
  <w:style w:type="paragraph" w:styleId="CRCoverPage" w:customStyle="1">
    <w:name w:val="CR Cover Page"/>
    <w:uiPriority w:val="0"/>
    <w:qFormat/>
    <w:pPr>
      <w:widowControl/>
      <w:bidi w:val="0"/>
      <w:spacing w:before="0" w:after="120"/>
      <w:jc w:val="left"/>
    </w:pPr>
    <w:rPr>
      <w:rFonts w:ascii="Arial" w:hAnsi="Arial" w:eastAsia="MS Mincho" w:cs="Times New Roman"/>
      <w:color w:val="auto"/>
      <w:kern w:val="0"/>
      <w:sz w:val="22"/>
      <w:szCs w:val="20"/>
      <w:lang w:val="en-GB" w:eastAsia="en-US" w:bidi="ar-SA"/>
    </w:rPr>
  </w:style>
  <w:style w:type="paragraph" w:styleId="111" w:customStyle="1">
    <w:name w:val="彩色列表 - 强调文字颜色 11"/>
    <w:basedOn w:val="Normal"/>
    <w:uiPriority w:val="34"/>
    <w:qFormat/>
    <w:pPr>
      <w:widowControl w:val="false"/>
      <w:spacing w:lineRule="auto" w:line="240" w:before="0" w:after="0"/>
      <w:ind w:firstLine="420"/>
      <w:jc w:val="both"/>
    </w:pPr>
    <w:rPr>
      <w:kern w:val="2"/>
      <w:sz w:val="21"/>
    </w:rPr>
  </w:style>
  <w:style w:type="paragraph" w:styleId="EQ" w:customStyle="1">
    <w:name w:val="EQ"/>
    <w:basedOn w:val="Normal"/>
    <w:uiPriority w:val="0"/>
    <w:qFormat/>
    <w:pPr>
      <w:keepLines/>
      <w:tabs>
        <w:tab w:val="center" w:pos="4536" w:leader="none"/>
        <w:tab w:val="right" w:pos="9072" w:leader="none"/>
      </w:tabs>
      <w:spacing w:lineRule="auto" w:line="240" w:before="0" w:after="180"/>
    </w:pPr>
    <w:rPr>
      <w:sz w:val="20"/>
      <w:szCs w:val="20"/>
      <w:lang w:val="en-GB" w:eastAsia="en-US"/>
    </w:rPr>
  </w:style>
  <w:style w:type="paragraph" w:styleId="TdocHeader2" w:customStyle="1">
    <w:name w:val="Tdoc_Header_2"/>
    <w:basedOn w:val="Normal"/>
    <w:uiPriority w:val="0"/>
    <w:qFormat/>
    <w:pPr>
      <w:widowControl w:val="false"/>
      <w:tabs>
        <w:tab w:val="left" w:pos="1701" w:leader="none"/>
        <w:tab w:val="right" w:pos="9072" w:leader="none"/>
        <w:tab w:val="right" w:pos="10206" w:leader="none"/>
      </w:tabs>
      <w:spacing w:lineRule="auto" w:line="240" w:before="0" w:after="0"/>
      <w:jc w:val="both"/>
    </w:pPr>
    <w:rPr>
      <w:rFonts w:ascii="Arial" w:hAnsi="Arial" w:eastAsia="Batang"/>
      <w:b/>
      <w:sz w:val="18"/>
      <w:szCs w:val="20"/>
      <w:lang w:val="en-GB" w:eastAsia="en-US"/>
    </w:rPr>
  </w:style>
  <w:style w:type="paragraph" w:styleId="RAN1bullet3" w:customStyle="1">
    <w:name w:val="RAN1 bullet3"/>
    <w:basedOn w:val="RAN1bullet2"/>
    <w:uiPriority w:val="0"/>
    <w:qFormat/>
    <w:pPr/>
    <w:rPr/>
  </w:style>
  <w:style w:type="paragraph" w:styleId="14" w:customStyle="1">
    <w:name w:val="修订1"/>
    <w:uiPriority w:val="7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NoSpacing1" w:customStyle="1">
    <w:name w:val="No Spacing1"/>
    <w:uiPriority w:val="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112" w:customStyle="1">
    <w:name w:val="彩色底纹 - 强调文字颜色 11"/>
    <w:uiPriority w:val="7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Style21" w:customStyle="1">
    <w:name w:val="_Style 2"/>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Style18" w:customStyle="1">
    <w:name w:val="_Style 1"/>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LGTdoc1" w:customStyle="1">
    <w:name w:val="LGTdoc_제목1"/>
    <w:basedOn w:val="Normal"/>
    <w:uiPriority w:val="0"/>
    <w:qFormat/>
    <w:pPr>
      <w:snapToGrid w:val="false"/>
      <w:spacing w:lineRule="auto" w:line="240" w:before="0" w:afterAutospacing="1"/>
      <w:jc w:val="both"/>
    </w:pPr>
    <w:rPr>
      <w:rFonts w:eastAsia="Batang"/>
      <w:b/>
      <w:sz w:val="28"/>
      <w:szCs w:val="20"/>
      <w:lang w:val="en-GB" w:eastAsia="ko-KR"/>
    </w:rPr>
  </w:style>
  <w:style w:type="paragraph" w:styleId="Style19" w:customStyle="1">
    <w:name w:val="表格文字居左"/>
    <w:basedOn w:val="Normal"/>
    <w:uiPriority w:val="0"/>
    <w:qFormat/>
    <w:pPr>
      <w:widowControl w:val="false"/>
      <w:spacing w:lineRule="auto" w:line="240" w:before="0" w:after="0"/>
      <w:jc w:val="both"/>
    </w:pPr>
    <w:rPr>
      <w:rFonts w:ascii="Arial" w:hAnsi="Arial" w:cs="宋体"/>
      <w:kern w:val="2"/>
      <w:sz w:val="21"/>
      <w:szCs w:val="20"/>
    </w:rPr>
  </w:style>
  <w:style w:type="paragraph" w:styleId="ZT" w:customStyle="1">
    <w:name w:val="ZT"/>
    <w:uiPriority w:val="0"/>
    <w:qFormat/>
    <w:pPr>
      <w:widowControl w:val="false"/>
      <w:bidi w:val="0"/>
      <w:spacing w:lineRule="atLeast" w:line="240"/>
      <w:jc w:val="right"/>
      <w:textAlignment w:val="baseline"/>
    </w:pPr>
    <w:rPr>
      <w:rFonts w:ascii="Arial" w:hAnsi="Arial" w:eastAsia="Times New Roman" w:cs="Times New Roman"/>
      <w:b/>
      <w:color w:val="auto"/>
      <w:kern w:val="0"/>
      <w:sz w:val="34"/>
      <w:szCs w:val="20"/>
      <w:lang w:val="en-GB" w:eastAsia="ja-JP" w:bidi="ar-SA"/>
    </w:rPr>
  </w:style>
  <w:style w:type="paragraph" w:styleId="TF" w:customStyle="1">
    <w:name w:val="TF"/>
    <w:basedOn w:val="TH"/>
    <w:uiPriority w:val="0"/>
    <w:qFormat/>
    <w:pPr>
      <w:keepNext w:val="false"/>
      <w:spacing w:before="0" w:after="240"/>
      <w:textAlignment w:val="baseline"/>
    </w:pPr>
    <w:rPr>
      <w:rFonts w:eastAsia="Times New Roman"/>
      <w:lang w:eastAsia="ja-JP"/>
    </w:rPr>
  </w:style>
  <w:style w:type="paragraph" w:styleId="Readerwordlayer" w:customStyle="1">
    <w:name w:val="reader-word-layer"/>
    <w:basedOn w:val="Normal"/>
    <w:uiPriority w:val="0"/>
    <w:qFormat/>
    <w:pPr>
      <w:spacing w:lineRule="auto" w:line="240" w:beforeAutospacing="1" w:afterAutospacing="1"/>
    </w:pPr>
    <w:rPr>
      <w:rFonts w:ascii="宋体" w:hAnsi="宋体" w:cs="宋体"/>
      <w:sz w:val="24"/>
      <w:szCs w:val="24"/>
    </w:rPr>
  </w:style>
  <w:style w:type="paragraph" w:styleId="CharChar1CharCharCharChar" w:customStyle="1">
    <w:name w:val="Char Char1 Char Char Char Char"/>
    <w:uiPriority w:val="0"/>
    <w:semiHidden/>
    <w:qFormat/>
    <w:pPr>
      <w:keepNext w:val="true"/>
      <w:widowControl/>
      <w:tabs>
        <w:tab w:val="left" w:pos="360" w:leader="none"/>
      </w:tabs>
      <w:bidi w:val="0"/>
      <w:spacing w:before="60" w:after="60"/>
      <w:ind w:left="360" w:hanging="360"/>
      <w:jc w:val="both"/>
    </w:pPr>
    <w:rPr>
      <w:rFonts w:ascii="Arial" w:hAnsi="Arial" w:eastAsia="宋体" w:cs="Arial"/>
      <w:color w:val="0000FF"/>
      <w:kern w:val="2"/>
      <w:sz w:val="22"/>
      <w:szCs w:val="20"/>
      <w:lang w:val="en-US" w:eastAsia="zh-CN" w:bidi="ar-SA"/>
    </w:rPr>
  </w:style>
  <w:style w:type="paragraph" w:styleId="ListParagraph1" w:customStyle="1">
    <w:name w:val="List Paragraph1"/>
    <w:basedOn w:val="Normal"/>
    <w:uiPriority w:val="34"/>
    <w:qFormat/>
    <w:pPr>
      <w:widowControl w:val="false"/>
      <w:spacing w:lineRule="auto" w:line="240" w:before="0" w:after="0"/>
      <w:ind w:firstLine="420"/>
      <w:jc w:val="both"/>
    </w:pPr>
    <w:rPr>
      <w:kern w:val="2"/>
      <w:sz w:val="21"/>
    </w:rPr>
  </w:style>
  <w:style w:type="paragraph" w:styleId="Text" w:customStyle="1">
    <w:name w:val="text"/>
    <w:basedOn w:val="Normal"/>
    <w:uiPriority w:val="0"/>
    <w:qFormat/>
    <w:pPr>
      <w:widowControl w:val="false"/>
      <w:spacing w:lineRule="auto" w:line="240" w:before="0" w:after="240"/>
      <w:jc w:val="both"/>
      <w:textAlignment w:val="baseline"/>
    </w:pPr>
    <w:rPr>
      <w:sz w:val="24"/>
      <w:szCs w:val="20"/>
      <w:lang w:val="en-AU" w:eastAsia="en-GB"/>
    </w:rPr>
  </w:style>
  <w:style w:type="paragraph" w:styleId="3GPPHeader" w:customStyle="1">
    <w:name w:val="3GPP_Header"/>
    <w:basedOn w:val="Normal"/>
    <w:uiPriority w:val="99"/>
    <w:qFormat/>
    <w:pPr>
      <w:tabs>
        <w:tab w:val="left" w:pos="1800" w:leader="none"/>
        <w:tab w:val="right" w:pos="9360" w:leader="none"/>
      </w:tabs>
      <w:spacing w:lineRule="auto" w:line="240" w:before="0" w:after="0"/>
      <w:jc w:val="both"/>
    </w:pPr>
    <w:rPr>
      <w:rFonts w:ascii="Arial" w:hAnsi="Arial"/>
      <w:b/>
      <w:sz w:val="20"/>
      <w:szCs w:val="20"/>
      <w:lang w:val="en-GB"/>
    </w:rPr>
  </w:style>
  <w:style w:type="paragraph" w:styleId="15" w:customStyle="1">
    <w:name w:val="正文1"/>
    <w:uiPriority w:val="0"/>
    <w:qFormat/>
    <w:pPr>
      <w:widowControl/>
      <w:bidi w:val="0"/>
      <w:jc w:val="both"/>
    </w:pPr>
    <w:rPr>
      <w:rFonts w:ascii="Times New Roman" w:hAnsi="Times New Roman" w:eastAsia="宋体" w:cs="Times New Roman"/>
      <w:color w:val="auto"/>
      <w:kern w:val="2"/>
      <w:sz w:val="21"/>
      <w:szCs w:val="21"/>
      <w:lang w:val="en-US" w:eastAsia="zh-CN" w:bidi="ar-SA"/>
    </w:rPr>
  </w:style>
  <w:style w:type="paragraph" w:styleId="2" w:customStyle="1">
    <w:name w:val="正文2"/>
    <w:uiPriority w:val="0"/>
    <w:qFormat/>
    <w:pPr>
      <w:widowControl/>
      <w:bidi w:val="0"/>
      <w:jc w:val="both"/>
    </w:pPr>
    <w:rPr>
      <w:rFonts w:ascii="Times New Roman" w:hAnsi="Times New Roman" w:eastAsia="宋体" w:cs="Times New Roman"/>
      <w:color w:val="auto"/>
      <w:kern w:val="2"/>
      <w:sz w:val="21"/>
      <w:szCs w:val="21"/>
      <w:lang w:val="en-US" w:eastAsia="zh-CN" w:bidi="ar-SA"/>
    </w:rPr>
  </w:style>
  <w:style w:type="paragraph" w:styleId="16" w:customStyle="1">
    <w:name w:val="样式1"/>
    <w:basedOn w:val="Normal"/>
    <w:uiPriority w:val="0"/>
    <w:qFormat/>
    <w:pPr>
      <w:snapToGrid w:val="false"/>
      <w:spacing w:lineRule="auto" w:line="240" w:before="120" w:after="120"/>
      <w:jc w:val="both"/>
    </w:pPr>
    <w:rPr>
      <w:rFonts w:eastAsia="微软雅黑"/>
      <w:b/>
    </w:rPr>
  </w:style>
  <w:style w:type="paragraph" w:styleId="0Maintext" w:customStyle="1">
    <w:name w:val="0 Main text"/>
    <w:basedOn w:val="Maintext"/>
    <w:uiPriority w:val="0"/>
    <w:qFormat/>
    <w:pPr>
      <w:spacing w:before="0" w:afterAutospacing="1"/>
      <w:ind w:firstLine="360"/>
    </w:pPr>
    <w:rPr>
      <w:rFonts w:cs="Batang"/>
      <w:lang w:eastAsia="en-US"/>
    </w:rPr>
  </w:style>
  <w:style w:type="paragraph" w:styleId="31" w:customStyle="1">
    <w:name w:val="正文3"/>
    <w:uiPriority w:val="0"/>
    <w:qFormat/>
    <w:pPr>
      <w:widowControl/>
      <w:bidi w:val="0"/>
      <w:spacing w:beforeAutospacing="1" w:after="180"/>
      <w:jc w:val="left"/>
    </w:pPr>
    <w:rPr>
      <w:rFonts w:ascii="Times New Roman" w:hAnsi="Times New Roman" w:eastAsia="宋体" w:cs="Times New Roman"/>
      <w:color w:val="auto"/>
      <w:kern w:val="0"/>
      <w:sz w:val="24"/>
      <w:szCs w:val="24"/>
      <w:lang w:val="en-US" w:eastAsia="zh-CN" w:bidi="ar-SA"/>
    </w:rPr>
  </w:style>
  <w:style w:type="table" w:default="1" w:styleId="24">
    <w:name w:val="Normal Table"/>
    <w:uiPriority w:val="99"/>
    <w:semiHidden/>
    <w:unhideWhenUsed/>
    <w:tblPr>
      <w:tblCellMar>
        <w:top w:w="0" w:type="dxa"/>
        <w:left w:w="108" w:type="dxa"/>
        <w:bottom w:w="0" w:type="dxa"/>
        <w:right w:w="108" w:type="dxa"/>
      </w:tblCellMar>
    </w:tblPr>
  </w:style>
  <w:style w:type="table" w:styleId="25">
    <w:name w:val="Table Grid"/>
    <w:basedOn w:val="24"/>
    <w:uiPriority w:val="3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Medium Grid 1 Accent 2"/>
    <w:basedOn w:val="24"/>
    <w:uiPriority w:val="34"/>
    <w:qFormat/>
    <w:rPr>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DFA7A6"/>
      </w:tcPr>
    </w:tblStylePr>
    <w:tblStylePr w:type="band1Horz">
      <w:tblPr/>
      <w:tcPr>
        <w:shd w:val="clear" w:color="auto" w:fill="DFA7A6"/>
      </w:tcPr>
    </w:tblStylePr>
  </w:style>
  <w:style w:type="table" w:customStyle="1" w:styleId="301">
    <w:name w:val="网格型1"/>
    <w:basedOn w:val="24"/>
    <w:uiPriority w:val="59"/>
    <w:qFormat/>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Relationship Id="rId10" Type="http://schemas.openxmlformats.org/officeDocument/2006/relationships/customXml" Target="../customXml/item5.xml"/><Relationship Id="rId11" Type="http://schemas.openxmlformats.org/officeDocument/2006/relationships/customXml" Target="../customXml/item6.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6C7BA-4FB6-432F-B9AF-333DB3175626}">
  <ds:schemaRefs/>
</ds:datastoreItem>
</file>

<file path=customXml/itemProps2.xml><?xml version="1.0" encoding="utf-8"?>
<ds:datastoreItem xmlns:ds="http://schemas.openxmlformats.org/officeDocument/2006/customXml" ds:itemID="{047AA106-2360-49EC-8166-9AA6C55DD035}">
  <ds:schemaRefs/>
</ds:datastoreItem>
</file>

<file path=customXml/itemProps3.xml><?xml version="1.0" encoding="utf-8"?>
<ds:datastoreItem xmlns:ds="http://schemas.openxmlformats.org/officeDocument/2006/customXml" ds:itemID="{7EFCDB31-F671-4CAA-84F0-9105F4DF51CE}">
  <ds:schemaRefs/>
</ds:datastoreItem>
</file>

<file path=customXml/itemProps4.xml><?xml version="1.0" encoding="utf-8"?>
<ds:datastoreItem xmlns:ds="http://schemas.openxmlformats.org/officeDocument/2006/customXml" ds:itemID="{85E2A821-60C3-4151-9667-798DC035A65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LibreOffice/6.0.7.3$Linux_X86_64 LibreOffice_project/00m0$Build-3</Application>
  <Pages>8</Pages>
  <Words>3040</Words>
  <Characters>16371</Characters>
  <CharactersWithSpaces>19263</CharactersWithSpaces>
  <Paragraphs>209</Paragraphs>
  <Company>www.zte.com.cn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2020-11-05T10:57:00Z</dcterms:created>
  <dc:creator>ZTE</dc:creator>
  <dc:description/>
  <cp:keywords>CTPClassification=CTP_NT</cp:keywords>
  <dc:language>en-IN</dc:language>
  <cp:lastModifiedBy>Priyanka. </cp:lastModifiedBy>
  <dcterms:modified xsi:type="dcterms:W3CDTF">2020-11-05T20:06:35Z</dcterms:modified>
  <cp:revision>5</cp:revision>
  <dc:subject/>
  <dc:title>3GPP TSG-RAN WG1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0</vt:bool>
  </property>
  <property fmtid="{D5CDD505-2E9C-101B-9397-08002B2CF9AE}" pid="13" name="KSOProductBuildVer">
    <vt:lpwstr>2052-11.8.2.9022</vt:lpwstr>
  </property>
  <property fmtid="{D5CDD505-2E9C-101B-9397-08002B2CF9AE}" pid="14" name="LinksUpToDate">
    <vt:bool>0</vt:bool>
  </property>
  <property fmtid="{D5CDD505-2E9C-101B-9397-08002B2CF9AE}" pid="15" name="NSCPROP_SA">
    <vt:lpwstr>E:\RAN1102-e\Draft_FL summary on SRS enhancements v004_Mod.docx</vt:lpwstr>
  </property>
  <property fmtid="{D5CDD505-2E9C-101B-9397-08002B2CF9AE}" pid="16" name="ScaleCrop">
    <vt:bool>0</vt:bool>
  </property>
  <property fmtid="{D5CDD505-2E9C-101B-9397-08002B2CF9AE}" pid="17" name="ShareDoc">
    <vt:bool>0</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