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ac"/>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Malgun Gothic" w:hAnsi="Arial" w:cs="Arial" w:hint="eastAsia"/>
                <w:lang w:eastAsia="ko-KR"/>
              </w:rPr>
              <w:t xml:space="preserve">RAN2 </w:t>
            </w:r>
            <w:r>
              <w:rPr>
                <w:rFonts w:ascii="Arial" w:eastAsia="Malgun Gothic" w:hAnsi="Arial" w:cs="Arial"/>
                <w:lang w:eastAsia="ko-KR"/>
              </w:rPr>
              <w:t>recognized</w:t>
            </w:r>
            <w:r>
              <w:rPr>
                <w:rFonts w:ascii="Arial" w:eastAsia="Malgun Gothic" w:hAnsi="Arial" w:cs="Arial" w:hint="eastAsia"/>
                <w:lang w:eastAsia="ko-KR"/>
              </w:rPr>
              <w:t xml:space="preserve"> that </w:t>
            </w:r>
            <w:r>
              <w:rPr>
                <w:rFonts w:ascii="Arial" w:eastAsia="Malgun Gothic"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Malgun Gothic"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Malgun Gothic" w:hAnsi="Arial" w:cs="Arial"/>
                <w:lang w:eastAsia="ko-KR"/>
              </w:rPr>
            </w:pPr>
          </w:p>
          <w:p w14:paraId="444D3480"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understands that the above agreement is related to the step of checking whether there is(are) pre-empted resource(s) which has been specified in 38.321. </w:t>
            </w:r>
            <w:r>
              <w:rPr>
                <w:rFonts w:ascii="Arial" w:eastAsia="Malgun Gothic" w:hAnsi="Arial" w:cs="Arial" w:hint="eastAsia"/>
                <w:lang w:eastAsia="ko-KR"/>
              </w:rPr>
              <w:t>RAN</w:t>
            </w:r>
            <w:r>
              <w:rPr>
                <w:rFonts w:ascii="Arial" w:eastAsia="Malgun Gothic"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Malgun Gothic" w:hAnsi="Arial" w:cs="Arial"/>
                <w:lang w:eastAsia="ko-KR"/>
              </w:rPr>
            </w:pPr>
          </w:p>
          <w:p w14:paraId="25305D49" w14:textId="77777777" w:rsidR="00E10DE7" w:rsidRDefault="00E10DE7" w:rsidP="00E10DE7">
            <w:pPr>
              <w:spacing w:after="240" w:line="276" w:lineRule="auto"/>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2"/>
      </w:pPr>
      <w:r>
        <w:t>Reply to Q1</w:t>
      </w:r>
    </w:p>
    <w:p w14:paraId="5CEEA4D9" w14:textId="77777777" w:rsidR="00FC38C1" w:rsidRDefault="00FC38C1" w:rsidP="00243E73">
      <w:pPr>
        <w:rPr>
          <w:lang w:eastAsia="x-none"/>
        </w:rPr>
      </w:pPr>
    </w:p>
    <w:tbl>
      <w:tblPr>
        <w:tblStyle w:val="ac"/>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The intention of the RAN1 agreement was to limit the set of resources {r’} passed to PHY layer to only the ones in current period /</w:t>
      </w:r>
      <w:bookmarkStart w:id="2" w:name="_GoBack"/>
      <w:bookmarkEnd w:id="2"/>
      <w:r w:rsidR="00DF093D">
        <w:t xml:space="preserve">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ac"/>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65F54D76" w:rsidR="00AA5A07" w:rsidRPr="00745DD8" w:rsidRDefault="00AA5A07" w:rsidP="008539C5">
            <w:pPr>
              <w:jc w:val="both"/>
            </w:pPr>
          </w:p>
        </w:tc>
        <w:tc>
          <w:tcPr>
            <w:tcW w:w="7973" w:type="dxa"/>
          </w:tcPr>
          <w:p w14:paraId="157E5E6B" w14:textId="7883CB07" w:rsidR="00AA5A07" w:rsidRDefault="00AA5A07" w:rsidP="008539C5">
            <w:pPr>
              <w:jc w:val="both"/>
              <w:rPr>
                <w:b/>
                <w:bCs/>
              </w:rPr>
            </w:pPr>
          </w:p>
        </w:tc>
      </w:tr>
      <w:tr w:rsidR="00AA5A07" w14:paraId="45828F9C" w14:textId="77777777" w:rsidTr="00AA5A07">
        <w:tc>
          <w:tcPr>
            <w:tcW w:w="1661" w:type="dxa"/>
          </w:tcPr>
          <w:p w14:paraId="07ED6C8A" w14:textId="1D2311E7" w:rsidR="00AA5A07" w:rsidRPr="0093349C" w:rsidRDefault="00AA5A07" w:rsidP="008539C5">
            <w:pPr>
              <w:jc w:val="both"/>
              <w:rPr>
                <w:bCs/>
                <w:lang w:eastAsia="ko-KR"/>
              </w:rPr>
            </w:pPr>
          </w:p>
        </w:tc>
        <w:tc>
          <w:tcPr>
            <w:tcW w:w="7973" w:type="dxa"/>
          </w:tcPr>
          <w:p w14:paraId="01B63100" w14:textId="77777777" w:rsidR="00AA5A07" w:rsidRDefault="00AA5A07" w:rsidP="008539C5">
            <w:pPr>
              <w:jc w:val="both"/>
              <w:rPr>
                <w:b/>
                <w:bCs/>
              </w:rPr>
            </w:pP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tbl>
      <w:tblPr>
        <w:tblStyle w:val="ac"/>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Malgun Gothic"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67BA86A7" w:rsidR="00DF093D" w:rsidRPr="00A942B4"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 xml:space="preserve">s(s) among resource within a current period limited by a selection window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ac"/>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77777777" w:rsidR="00B456C3" w:rsidRPr="00745DD8" w:rsidRDefault="00B456C3" w:rsidP="00563D09">
            <w:pPr>
              <w:jc w:val="both"/>
            </w:pPr>
          </w:p>
        </w:tc>
        <w:tc>
          <w:tcPr>
            <w:tcW w:w="7973" w:type="dxa"/>
          </w:tcPr>
          <w:p w14:paraId="5FF48F26" w14:textId="77777777" w:rsidR="00B456C3" w:rsidRDefault="00B456C3" w:rsidP="00563D09">
            <w:pPr>
              <w:jc w:val="both"/>
              <w:rPr>
                <w:b/>
                <w:bCs/>
              </w:rPr>
            </w:pPr>
          </w:p>
        </w:tc>
      </w:tr>
      <w:tr w:rsidR="00B456C3" w14:paraId="5D919DA7" w14:textId="77777777" w:rsidTr="00563D09">
        <w:tc>
          <w:tcPr>
            <w:tcW w:w="1661" w:type="dxa"/>
          </w:tcPr>
          <w:p w14:paraId="4809E6E1" w14:textId="77777777" w:rsidR="00B456C3" w:rsidRPr="0093349C" w:rsidRDefault="00B456C3" w:rsidP="00563D09">
            <w:pPr>
              <w:jc w:val="both"/>
              <w:rPr>
                <w:bCs/>
                <w:lang w:eastAsia="ko-KR"/>
              </w:rPr>
            </w:pPr>
          </w:p>
        </w:tc>
        <w:tc>
          <w:tcPr>
            <w:tcW w:w="7973" w:type="dxa"/>
          </w:tcPr>
          <w:p w14:paraId="3EEB225A" w14:textId="77777777" w:rsidR="00B456C3" w:rsidRDefault="00B456C3" w:rsidP="00563D09">
            <w:pPr>
              <w:jc w:val="both"/>
              <w:rPr>
                <w:b/>
                <w:bCs/>
              </w:rPr>
            </w:pPr>
          </w:p>
        </w:tc>
      </w:tr>
    </w:tbl>
    <w:p w14:paraId="4A38C5BD" w14:textId="2FB258A4" w:rsidR="00B456C3" w:rsidRDefault="00B456C3" w:rsidP="0025045A">
      <w:pPr>
        <w:jc w:val="both"/>
      </w:pPr>
    </w:p>
    <w:p w14:paraId="67FF675D" w14:textId="4C9B5DD1" w:rsidR="00A942B4" w:rsidRDefault="00E10DE7" w:rsidP="00A942B4">
      <w:pPr>
        <w:pStyle w:val="2"/>
      </w:pPr>
      <w:r>
        <w:t>Reply to Q3</w:t>
      </w:r>
    </w:p>
    <w:p w14:paraId="3FC94C72" w14:textId="77777777" w:rsidR="005A506E" w:rsidRDefault="005A506E" w:rsidP="005A506E">
      <w:pPr>
        <w:jc w:val="both"/>
      </w:pPr>
    </w:p>
    <w:tbl>
      <w:tblPr>
        <w:tblStyle w:val="ac"/>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Malgun Gothic"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Malgun Gothic"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Malgun Gothic"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ac"/>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03112B60" w:rsidR="00661391" w:rsidRDefault="00661391" w:rsidP="005A7D1A">
      <w:pPr>
        <w:jc w:val="both"/>
      </w:pPr>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ACDAA" w14:textId="77777777" w:rsidR="00AB1BAE" w:rsidRDefault="00AB1BAE">
      <w:r>
        <w:separator/>
      </w:r>
    </w:p>
  </w:endnote>
  <w:endnote w:type="continuationSeparator" w:id="0">
    <w:p w14:paraId="4E8F98FB" w14:textId="77777777" w:rsidR="00AB1BAE" w:rsidRDefault="00AB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5EA3" w14:textId="77777777" w:rsidR="00AB1BAE" w:rsidRDefault="00AB1BAE">
      <w:r>
        <w:separator/>
      </w:r>
    </w:p>
  </w:footnote>
  <w:footnote w:type="continuationSeparator" w:id="0">
    <w:p w14:paraId="5596ED75" w14:textId="77777777" w:rsidR="00AB1BAE" w:rsidRDefault="00AB1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1"/>
  </w:num>
  <w:num w:numId="5">
    <w:abstractNumId w:val="18"/>
  </w:num>
  <w:num w:numId="6">
    <w:abstractNumId w:val="13"/>
  </w:num>
  <w:num w:numId="7">
    <w:abstractNumId w:val="6"/>
  </w:num>
  <w:num w:numId="8">
    <w:abstractNumId w:val="23"/>
  </w:num>
  <w:num w:numId="9">
    <w:abstractNumId w:val="9"/>
  </w:num>
  <w:num w:numId="10">
    <w:abstractNumId w:val="19"/>
  </w:num>
  <w:num w:numId="11">
    <w:abstractNumId w:val="12"/>
  </w:num>
  <w:num w:numId="12">
    <w:abstractNumId w:val="3"/>
  </w:num>
  <w:num w:numId="13">
    <w:abstractNumId w:val="10"/>
  </w:num>
  <w:num w:numId="14">
    <w:abstractNumId w:val="7"/>
  </w:num>
  <w:num w:numId="15">
    <w:abstractNumId w:val="14"/>
  </w:num>
  <w:num w:numId="16">
    <w:abstractNumId w:val="17"/>
  </w:num>
  <w:num w:numId="17">
    <w:abstractNumId w:val="20"/>
  </w:num>
  <w:num w:numId="18">
    <w:abstractNumId w:val="8"/>
  </w:num>
  <w:num w:numId="19">
    <w:abstractNumId w:val="4"/>
  </w:num>
  <w:num w:numId="20">
    <w:abstractNumId w:val="11"/>
  </w:num>
  <w:num w:numId="21">
    <w:abstractNumId w:val="13"/>
  </w:num>
  <w:num w:numId="22">
    <w:abstractNumId w:val="16"/>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목록 단락,列"/>
    <w:basedOn w:val="a0"/>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2373-A018-43F8-81B2-ACB2A654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3</Pages>
  <Words>811</Words>
  <Characters>4629</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5430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2</cp:revision>
  <cp:lastPrinted>2013-05-13T15:37:00Z</cp:lastPrinted>
  <dcterms:created xsi:type="dcterms:W3CDTF">2020-11-04T11:39:00Z</dcterms:created>
  <dcterms:modified xsi:type="dcterms:W3CDTF">2020-11-04T11:39:00Z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