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50477" w14:textId="77777777"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0DF939C7" w14:textId="77777777"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2D2A342D" w14:textId="77777777" w:rsidR="00076871" w:rsidRDefault="00076871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720749E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4326BC2C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400DB79B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[103-e-NR-IAB-02] Issue with IAB-DU “serving” cell terminology</w:t>
      </w:r>
    </w:p>
    <w:p w14:paraId="6949840E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445C099E" w14:textId="77777777" w:rsidR="00076871" w:rsidRDefault="004D04F0">
      <w:pPr>
        <w:pStyle w:val="Heading1"/>
      </w:pPr>
      <w:r>
        <w:t>Introduction</w:t>
      </w:r>
    </w:p>
    <w:p w14:paraId="19E9C7E5" w14:textId="77777777" w:rsidR="00076871" w:rsidRDefault="004D04F0">
      <w:pPr>
        <w:pStyle w:val="BodyText"/>
      </w:pPr>
      <w:r>
        <w:t>This contribution provides a summary of the following email discussion:</w:t>
      </w:r>
    </w:p>
    <w:p w14:paraId="38A65955" w14:textId="77777777" w:rsidR="00076871" w:rsidRDefault="004D04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60BDF41C" w14:textId="77777777"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724AB507" w14:textId="77777777"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370FCC19" w14:textId="77777777" w:rsidR="00076871" w:rsidRDefault="00076871">
      <w:pPr>
        <w:pStyle w:val="BodyText"/>
      </w:pPr>
    </w:p>
    <w:p w14:paraId="7415ACFA" w14:textId="77777777" w:rsidR="00076871" w:rsidRDefault="004D04F0">
      <w:pPr>
        <w:pStyle w:val="Heading1"/>
      </w:pPr>
      <w:r>
        <w:rPr>
          <w:lang w:val="en-GB"/>
        </w:rPr>
        <w:t>Issue with IAB-DU “serving” cell terminology</w:t>
      </w:r>
    </w:p>
    <w:p w14:paraId="7E99E11C" w14:textId="77777777" w:rsidR="00076871" w:rsidRDefault="004D04F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>: R1-2008742</w:t>
      </w:r>
    </w:p>
    <w:p w14:paraId="705DFDC2" w14:textId="77777777" w:rsidR="00076871" w:rsidRDefault="0007687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60DCEECA" w14:textId="77777777" w:rsidR="00076871" w:rsidRDefault="004D04F0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 xml:space="preserve">In 38.213 Section 14, multiple references to a “serving cell” in relation to an IAB-DU are made, which are consistent with the terminology used for UEs and IAB-MTs. However, this is inconsistent with other specifications where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 xml:space="preserve">-DUs do not use the term “serving” for associated cells, including for IAB-DUs (see 38.331 and 38.401 for examples from RAN2 and RAN3 respectively). Unless a clear motivation is made for keeping the term “serving cells,” since the IAB-DU hosts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>-DU functionality, it seems more appropriate to remove the instances of “IAB-DU serving cell(s)” or “serving cell(s) of an IAB-DU.” Since there does not appear to be any functional impact, an editorial correction of the specification could be used to make the update instead of a CR.</w:t>
      </w:r>
    </w:p>
    <w:p w14:paraId="16C1AA34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1EAB592C" w14:textId="77777777"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Remove all references to “serving” in relation of IAB-DU cell(s) in TS 38.213 Section 14. </w:t>
      </w:r>
    </w:p>
    <w:p w14:paraId="2E889D04" w14:textId="77777777"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Note: This will be done via editorial update of the alignment CR </w:t>
      </w:r>
    </w:p>
    <w:p w14:paraId="49FC667D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72F4A08D" w14:textId="77777777" w:rsidR="00076871" w:rsidRDefault="004D04F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076871" w14:paraId="5DAAE072" w14:textId="77777777">
        <w:tc>
          <w:tcPr>
            <w:tcW w:w="1696" w:type="dxa"/>
          </w:tcPr>
          <w:p w14:paraId="2DC02494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F481636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4B88E44B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076871" w14:paraId="2DFF7F22" w14:textId="77777777">
        <w:tc>
          <w:tcPr>
            <w:tcW w:w="1696" w:type="dxa"/>
          </w:tcPr>
          <w:p w14:paraId="7F714F06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38F1A2AD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28FA8650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076871" w14:paraId="3667F8E0" w14:textId="77777777">
        <w:tc>
          <w:tcPr>
            <w:tcW w:w="1696" w:type="dxa"/>
          </w:tcPr>
          <w:p w14:paraId="3DBD0D8C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18BD97AB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3C702C80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076871" w14:paraId="4D3E2345" w14:textId="77777777">
        <w:tc>
          <w:tcPr>
            <w:tcW w:w="1696" w:type="dxa"/>
          </w:tcPr>
          <w:p w14:paraId="4DC38310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6087E6E9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58B25A46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 w14:paraId="64D89012" w14:textId="77777777">
        <w:tc>
          <w:tcPr>
            <w:tcW w:w="1696" w:type="dxa"/>
          </w:tcPr>
          <w:p w14:paraId="63DBE0DC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14:paraId="054E4D1D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14:paraId="27F1084F" w14:textId="77777777"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 w:rsidR="00076871" w14:paraId="73C94CAA" w14:textId="77777777">
        <w:tc>
          <w:tcPr>
            <w:tcW w:w="1696" w:type="dxa"/>
          </w:tcPr>
          <w:p w14:paraId="631BE66B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40637595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42A29F62" w14:textId="77777777" w:rsidR="00076871" w:rsidRDefault="004D04F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 w14:paraId="06361DF4" w14:textId="77777777">
        <w:tc>
          <w:tcPr>
            <w:tcW w:w="1696" w:type="dxa"/>
          </w:tcPr>
          <w:p w14:paraId="0C8EFC5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64733C5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33DED24A" w14:textId="77777777"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None</w:t>
            </w:r>
          </w:p>
        </w:tc>
      </w:tr>
      <w:tr w:rsidR="00076871" w14:paraId="580048B6" w14:textId="77777777">
        <w:tc>
          <w:tcPr>
            <w:tcW w:w="1696" w:type="dxa"/>
          </w:tcPr>
          <w:p w14:paraId="6527CE8A" w14:textId="77777777" w:rsidR="00076871" w:rsidRDefault="004D04F0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14:paraId="432B671D" w14:textId="77777777" w:rsidR="00076871" w:rsidRDefault="00076871">
            <w:pPr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31F9B59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After checking 38.331, the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is also used for a IAB DU related cell in the following text:</w:t>
            </w:r>
          </w:p>
          <w:p w14:paraId="1E97A10A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----------------------------------------------------</w:t>
            </w:r>
          </w:p>
          <w:p w14:paraId="3A09D247" w14:textId="77777777" w:rsidR="00076871" w:rsidRDefault="004D04F0">
            <w:pPr>
              <w:rPr>
                <w:rFonts w:ascii="Arial" w:hAnsi="Arial"/>
                <w:i/>
                <w:iCs/>
                <w:lang w:val="en-GB" w:eastAsia="ja-JP"/>
              </w:rPr>
            </w:pPr>
            <w:r>
              <w:rPr>
                <w:rFonts w:ascii="Arial" w:eastAsia="SimSun" w:hAnsi="Arial" w:hint="eastAsia"/>
                <w:lang w:eastAsia="zh-CN"/>
              </w:rPr>
              <w:t xml:space="preserve"> -  </w:t>
            </w:r>
            <w:proofErr w:type="spellStart"/>
            <w:r>
              <w:rPr>
                <w:rFonts w:ascii="Arial" w:hAnsi="Arial"/>
                <w:i/>
                <w:iCs/>
                <w:lang w:val="en-GB" w:eastAsia="ja-JP"/>
              </w:rPr>
              <w:t>AvailabilityCombinationsPerCell</w:t>
            </w:r>
            <w:proofErr w:type="spellEnd"/>
          </w:p>
          <w:p w14:paraId="25D4B8DF" w14:textId="77777777" w:rsidR="00076871" w:rsidRDefault="00076871">
            <w:pPr>
              <w:rPr>
                <w:rFonts w:ascii="Arial" w:hAnsi="Arial"/>
                <w:i/>
                <w:iCs/>
                <w:lang w:eastAsia="zh-CN"/>
              </w:rPr>
            </w:pPr>
          </w:p>
          <w:p w14:paraId="6CC51D00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The IE </w:t>
            </w:r>
            <w:proofErr w:type="spellStart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AvailabiltyCombinationsPerCell</w:t>
            </w:r>
            <w:proofErr w:type="spellEnd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is used to configure the </w:t>
            </w:r>
            <w:proofErr w:type="spellStart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</w:t>
            </w:r>
            <w:proofErr w:type="spellEnd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applicable for a</w:t>
            </w:r>
            <w:r>
              <w:rPr>
                <w:rStyle w:val="apple-converted-space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mphasis"/>
                <w:rFonts w:ascii="Arial" w:eastAsia="SimSun" w:hAnsi="Arial" w:cs="Arial"/>
                <w:color w:val="FF0000"/>
                <w:sz w:val="22"/>
                <w:szCs w:val="22"/>
                <w:shd w:val="clear" w:color="auto" w:fill="FFFFFF"/>
              </w:rPr>
              <w:t>serving cell of the IAB-node DU</w:t>
            </w:r>
            <w:r>
              <w:rPr>
                <w:rStyle w:val="apple-converted-space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mphasis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(see TS 38.213 [13], clause 14).</w:t>
            </w:r>
          </w:p>
          <w:p w14:paraId="60F6689B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lastRenderedPageBreak/>
              <w:t>-----------------------------------------------------</w:t>
            </w:r>
          </w:p>
          <w:p w14:paraId="6817F9D1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The inconsistent issue may still there if just RAN1 chooses to remove </w:t>
            </w:r>
            <w:r>
              <w:rPr>
                <w:rFonts w:ascii="Calibri" w:eastAsia="Calibri" w:hAnsi="Calibri"/>
                <w:sz w:val="22"/>
                <w:szCs w:val="22"/>
              </w:rPr>
              <w:t>all references to “serving” in relation of IAB-DU cell(s) in TS 38.213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Given 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both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RAN1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and RAN2 spec have used 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 for IAB DU, the following either way is OK for us:</w:t>
            </w:r>
          </w:p>
          <w:p w14:paraId="7AD7BC43" w14:textId="77777777" w:rsidR="00076871" w:rsidRDefault="004D04F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SimSun" w:hAnsi="Calibri" w:hint="eastAsia"/>
                <w:b/>
                <w:sz w:val="22"/>
                <w:szCs w:val="22"/>
                <w:lang w:eastAsia="zh-CN"/>
              </w:rPr>
              <w:t>Option 1: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Remove all references to “serving” in relation of IAB-DU cell(s) in TS 38.213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, also inform RAN2 to update its spec accordingly.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</w:t>
            </w:r>
          </w:p>
          <w:p w14:paraId="415E416A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/>
                <w:sz w:val="22"/>
                <w:szCs w:val="22"/>
                <w:lang w:eastAsia="zh-CN"/>
              </w:rPr>
              <w:t xml:space="preserve">Option 2: 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Do nothing, since current text does not cause any misunderstanding.</w:t>
            </w:r>
          </w:p>
        </w:tc>
      </w:tr>
      <w:tr w:rsidR="00076871" w14:paraId="0CB54B98" w14:textId="77777777">
        <w:tc>
          <w:tcPr>
            <w:tcW w:w="1696" w:type="dxa"/>
          </w:tcPr>
          <w:p w14:paraId="1DF259B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lastRenderedPageBreak/>
              <w:t>Vivo</w:t>
            </w:r>
          </w:p>
        </w:tc>
        <w:tc>
          <w:tcPr>
            <w:tcW w:w="2265" w:type="dxa"/>
          </w:tcPr>
          <w:p w14:paraId="75689506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4829F553" w14:textId="77777777" w:rsidR="00076871" w:rsidRDefault="004D04F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As commented by ZTE, RAN1 and RAN2 should align the name.</w:t>
            </w:r>
          </w:p>
        </w:tc>
      </w:tr>
      <w:tr w:rsidR="00076871" w14:paraId="55497504" w14:textId="77777777">
        <w:tc>
          <w:tcPr>
            <w:tcW w:w="1696" w:type="dxa"/>
          </w:tcPr>
          <w:p w14:paraId="2221C2EA" w14:textId="07050A18" w:rsidR="00076871" w:rsidRDefault="0047635B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043F436F" w14:textId="77777777"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A0AA430" w14:textId="35755B30" w:rsidR="00076871" w:rsidRDefault="0047635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ZTE’s comments. Either Option 1 or Option 2 is Ok. </w:t>
            </w:r>
          </w:p>
        </w:tc>
      </w:tr>
      <w:tr w:rsidR="00076871" w14:paraId="7A8D4C7E" w14:textId="77777777">
        <w:tc>
          <w:tcPr>
            <w:tcW w:w="1696" w:type="dxa"/>
          </w:tcPr>
          <w:p w14:paraId="7E1B0167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6D11BC49" w14:textId="77777777"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C711DB3" w14:textId="77777777"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076871" w14:paraId="4AC7AC87" w14:textId="77777777">
        <w:tc>
          <w:tcPr>
            <w:tcW w:w="1696" w:type="dxa"/>
          </w:tcPr>
          <w:p w14:paraId="19BC7044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6D2BA928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3F05562C" w14:textId="77777777"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69328903" w14:textId="694FE660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4A8F05D3" w14:textId="7E99DA97" w:rsidR="00993E14" w:rsidRPr="00993E14" w:rsidRDefault="00993E14" w:rsidP="00993E14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Pr="00993E14">
        <w:rPr>
          <w:rFonts w:ascii="Calibri" w:eastAsia="Calibri" w:hAnsi="Calibri"/>
          <w:b/>
          <w:bCs/>
          <w:sz w:val="22"/>
          <w:szCs w:val="22"/>
          <w:highlight w:val="yellow"/>
        </w:rPr>
        <w:t>Proposal 2.</w:t>
      </w:r>
      <w:r w:rsidRPr="00993E14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993E14">
        <w:rPr>
          <w:rFonts w:ascii="Calibri" w:eastAsia="Calibri" w:hAnsi="Calibri"/>
          <w:b/>
          <w:bCs/>
          <w:sz w:val="22"/>
          <w:szCs w:val="22"/>
        </w:rPr>
        <w:t xml:space="preserve">Remove all references to “serving” in relation of IAB-DU cell(s) in TS 38.213 Section 14. </w:t>
      </w:r>
    </w:p>
    <w:p w14:paraId="6BDF5E3F" w14:textId="5C77F1AB" w:rsidR="00993E14" w:rsidRPr="00993E14" w:rsidRDefault="00993E14" w:rsidP="00993E14">
      <w:pPr>
        <w:rPr>
          <w:rFonts w:ascii="Calibri" w:eastAsia="Calibri" w:hAnsi="Calibri"/>
          <w:b/>
          <w:bCs/>
          <w:sz w:val="22"/>
          <w:szCs w:val="22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ab/>
        <w:t>Note</w:t>
      </w:r>
      <w:r w:rsidRPr="00993E14">
        <w:rPr>
          <w:rFonts w:ascii="Calibri" w:eastAsia="Calibri" w:hAnsi="Calibri"/>
          <w:b/>
          <w:bCs/>
          <w:sz w:val="22"/>
          <w:szCs w:val="22"/>
        </w:rPr>
        <w:t xml:space="preserve"> 1</w:t>
      </w:r>
      <w:r w:rsidRPr="00993E14">
        <w:rPr>
          <w:rFonts w:ascii="Calibri" w:eastAsia="Calibri" w:hAnsi="Calibri"/>
          <w:b/>
          <w:bCs/>
          <w:sz w:val="22"/>
          <w:szCs w:val="22"/>
        </w:rPr>
        <w:t xml:space="preserve">: This will be done via editorial update of the alignment CR </w:t>
      </w:r>
    </w:p>
    <w:p w14:paraId="10051F0D" w14:textId="77777777" w:rsidR="00993E14" w:rsidRPr="00993E14" w:rsidRDefault="00993E14" w:rsidP="00993E14">
      <w:pPr>
        <w:ind w:left="720"/>
        <w:rPr>
          <w:rFonts w:ascii="Calibri" w:eastAsia="Calibri" w:hAnsi="Calibri"/>
          <w:b/>
          <w:bCs/>
          <w:sz w:val="22"/>
          <w:szCs w:val="22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 xml:space="preserve">Note 2: It is RAN1’s understanding that the description of </w:t>
      </w:r>
      <w:proofErr w:type="spellStart"/>
      <w:r w:rsidRPr="00993E14">
        <w:rPr>
          <w:rFonts w:ascii="Calibri" w:eastAsia="Calibri" w:hAnsi="Calibri"/>
          <w:b/>
          <w:bCs/>
          <w:i/>
          <w:iCs/>
          <w:sz w:val="22"/>
          <w:szCs w:val="22"/>
        </w:rPr>
        <w:t>AvailabilityCombinationsPerCell</w:t>
      </w:r>
      <w:proofErr w:type="spellEnd"/>
      <w:r w:rsidRPr="00993E14">
        <w:rPr>
          <w:rFonts w:ascii="Calibri" w:eastAsia="Calibri" w:hAnsi="Calibri"/>
          <w:b/>
          <w:bCs/>
          <w:sz w:val="22"/>
          <w:szCs w:val="22"/>
        </w:rPr>
        <w:t xml:space="preserve">  in 38.331 should also remove a reference to a “serving” cell of the IAB-node DU and recommends the following update: </w:t>
      </w:r>
    </w:p>
    <w:p w14:paraId="17974ADA" w14:textId="77777777" w:rsidR="00993E14" w:rsidRPr="00993E14" w:rsidRDefault="00993E14" w:rsidP="00993E14">
      <w:pPr>
        <w:rPr>
          <w:rFonts w:ascii="Calibri" w:eastAsia="Calibri" w:hAnsi="Calibri"/>
          <w:b/>
          <w:bCs/>
          <w:sz w:val="22"/>
          <w:szCs w:val="22"/>
        </w:rPr>
      </w:pPr>
    </w:p>
    <w:p w14:paraId="007F06F7" w14:textId="2F84E022" w:rsidR="00993E14" w:rsidRPr="00993E14" w:rsidRDefault="00993E14" w:rsidP="00993E14">
      <w:pPr>
        <w:ind w:left="1440"/>
        <w:rPr>
          <w:rFonts w:ascii="Calibri" w:eastAsia="SimSun" w:hAnsi="Calibri"/>
          <w:b/>
          <w:bCs/>
          <w:sz w:val="22"/>
          <w:szCs w:val="22"/>
          <w:lang w:eastAsia="zh-CN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>“</w:t>
      </w:r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The IE </w:t>
      </w:r>
      <w:proofErr w:type="spellStart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>AvailabiltyCombinationsPerCell</w:t>
      </w:r>
      <w:proofErr w:type="spellEnd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 is used to configure the </w:t>
      </w:r>
      <w:proofErr w:type="spellStart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>AvailabiltyCombinations</w:t>
      </w:r>
      <w:proofErr w:type="spellEnd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 applicable for a</w:t>
      </w:r>
      <w:r w:rsidRPr="00993E14">
        <w:rPr>
          <w:rStyle w:val="apple-converted-space"/>
          <w:rFonts w:ascii="Arial" w:eastAsia="SimSun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993E14">
        <w:rPr>
          <w:rStyle w:val="Emphasis"/>
          <w:rFonts w:ascii="Arial" w:eastAsia="SimSun" w:hAnsi="Arial" w:cs="Arial"/>
          <w:b/>
          <w:bCs/>
          <w:strike/>
          <w:color w:val="FF0000"/>
          <w:sz w:val="22"/>
          <w:szCs w:val="22"/>
          <w:shd w:val="clear" w:color="auto" w:fill="FFFFFF"/>
        </w:rPr>
        <w:t>serving</w:t>
      </w:r>
      <w:r w:rsidRPr="00993E14">
        <w:rPr>
          <w:rStyle w:val="Emphasis"/>
          <w:rFonts w:ascii="Arial" w:eastAsia="SimSun" w:hAnsi="Arial" w:cs="Arial"/>
          <w:b/>
          <w:bCs/>
          <w:color w:val="FF0000"/>
          <w:sz w:val="22"/>
          <w:szCs w:val="22"/>
          <w:shd w:val="clear" w:color="auto" w:fill="FFFFFF"/>
        </w:rPr>
        <w:t xml:space="preserve"> cell of the IAB-</w:t>
      </w:r>
      <w:r w:rsidRPr="00993E14">
        <w:rPr>
          <w:rStyle w:val="Emphasis"/>
          <w:rFonts w:ascii="Arial" w:eastAsia="SimSun" w:hAnsi="Arial" w:cs="Arial"/>
          <w:b/>
          <w:bCs/>
          <w:strike/>
          <w:color w:val="FF0000"/>
          <w:sz w:val="22"/>
          <w:szCs w:val="22"/>
          <w:shd w:val="clear" w:color="auto" w:fill="FFFFFF"/>
        </w:rPr>
        <w:t xml:space="preserve">node </w:t>
      </w:r>
      <w:r w:rsidRPr="00993E14">
        <w:rPr>
          <w:rStyle w:val="Emphasis"/>
          <w:rFonts w:ascii="Arial" w:eastAsia="SimSun" w:hAnsi="Arial" w:cs="Arial"/>
          <w:b/>
          <w:bCs/>
          <w:color w:val="FF0000"/>
          <w:sz w:val="22"/>
          <w:szCs w:val="22"/>
          <w:shd w:val="clear" w:color="auto" w:fill="FFFFFF"/>
        </w:rPr>
        <w:t>DU</w:t>
      </w:r>
      <w:r w:rsidRPr="00993E14">
        <w:rPr>
          <w:rStyle w:val="apple-converted-space"/>
          <w:rFonts w:ascii="Arial" w:eastAsia="SimSun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993E14">
        <w:rPr>
          <w:rStyle w:val="Emphasis"/>
          <w:rFonts w:ascii="Arial" w:eastAsia="SimSun" w:hAnsi="Arial" w:cs="Arial"/>
          <w:b/>
          <w:bCs/>
          <w:color w:val="000000"/>
          <w:sz w:val="22"/>
          <w:szCs w:val="22"/>
          <w:shd w:val="clear" w:color="auto" w:fill="FFFFFF"/>
        </w:rPr>
        <w:t>(see TS 38.213 [13], clause 14).</w:t>
      </w:r>
      <w:r w:rsidRPr="00993E14">
        <w:rPr>
          <w:rFonts w:ascii="Calibri" w:eastAsia="SimSun" w:hAnsi="Calibri"/>
          <w:b/>
          <w:bCs/>
          <w:sz w:val="22"/>
          <w:szCs w:val="22"/>
          <w:lang w:eastAsia="zh-CN"/>
        </w:rPr>
        <w:t>”</w:t>
      </w:r>
    </w:p>
    <w:p w14:paraId="3945EC82" w14:textId="77777777" w:rsidR="00993E14" w:rsidRDefault="00993E14">
      <w:pPr>
        <w:rPr>
          <w:rFonts w:ascii="Calibri" w:eastAsia="Calibri" w:hAnsi="Calibri"/>
          <w:sz w:val="22"/>
          <w:szCs w:val="22"/>
        </w:rPr>
      </w:pPr>
    </w:p>
    <w:p w14:paraId="52BF2D5A" w14:textId="77777777" w:rsidR="00076871" w:rsidRDefault="00076871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0B3BB9CE" w14:textId="77777777" w:rsidR="00076871" w:rsidRDefault="004D04F0">
      <w:pPr>
        <w:pStyle w:val="Heading1"/>
      </w:pPr>
      <w:r>
        <w:t>Summary</w:t>
      </w:r>
    </w:p>
    <w:p w14:paraId="0D53BABA" w14:textId="77777777" w:rsidR="00076871" w:rsidRDefault="004D04F0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02F2F76" w14:textId="77777777" w:rsidR="00076871" w:rsidRDefault="00076871">
      <w:pPr>
        <w:rPr>
          <w:rFonts w:ascii="Calibri" w:hAnsi="Calibri" w:cs="Calibri"/>
          <w:color w:val="000000"/>
          <w:sz w:val="22"/>
          <w:szCs w:val="22"/>
        </w:rPr>
      </w:pPr>
    </w:p>
    <w:p w14:paraId="0D3C9D0F" w14:textId="77777777" w:rsidR="00076871" w:rsidRDefault="00076871">
      <w:pPr>
        <w:rPr>
          <w:rFonts w:ascii="Arial" w:hAnsi="Arial"/>
          <w:b/>
          <w:sz w:val="32"/>
          <w:szCs w:val="20"/>
        </w:rPr>
      </w:pPr>
    </w:p>
    <w:sectPr w:rsidR="000768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E8C32" w14:textId="77777777" w:rsidR="001361E9" w:rsidRDefault="001361E9" w:rsidP="0047635B">
      <w:r>
        <w:separator/>
      </w:r>
    </w:p>
  </w:endnote>
  <w:endnote w:type="continuationSeparator" w:id="0">
    <w:p w14:paraId="4031B5F6" w14:textId="77777777" w:rsidR="001361E9" w:rsidRDefault="001361E9" w:rsidP="0047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C69FB" w14:textId="77777777" w:rsidR="001361E9" w:rsidRDefault="001361E9" w:rsidP="0047635B">
      <w:r>
        <w:separator/>
      </w:r>
    </w:p>
  </w:footnote>
  <w:footnote w:type="continuationSeparator" w:id="0">
    <w:p w14:paraId="70091844" w14:textId="77777777" w:rsidR="001361E9" w:rsidRDefault="001361E9" w:rsidP="0047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687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61E9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35B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04F0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2F87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14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233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097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0D28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  <w:rsid w:val="79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E104"/>
  <w15:docId w15:val="{CD3D9651-211D-4E05-9EDD-D22B9C9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qFormat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qFormat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7FC8337-D076-4448-B3CE-829CAD10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2992</Characters>
  <Application>Microsoft Office Word</Application>
  <DocSecurity>0</DocSecurity>
  <Lines>24</Lines>
  <Paragraphs>7</Paragraphs>
  <ScaleCrop>false</ScaleCrop>
  <Company>AT&amp;T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3</cp:revision>
  <cp:lastPrinted>2016-02-23T10:51:00Z</cp:lastPrinted>
  <dcterms:created xsi:type="dcterms:W3CDTF">2020-10-27T21:47:00Z</dcterms:created>
  <dcterms:modified xsi:type="dcterms:W3CDTF">2020-10-27T21:52:00Z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