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492506" w:rsidP="00420EFD">
      <w:pPr>
        <w:rPr>
          <w:lang w:val="en-US"/>
        </w:rPr>
      </w:pPr>
      <w:hyperlink r:id="rId11"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1"/>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0"/>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等线" w:hint="eastAsia"/>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0"/>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bl>
    <w:p w14:paraId="54339393" w14:textId="77777777" w:rsidR="00115CF3" w:rsidRDefault="00115CF3" w:rsidP="00E24D36">
      <w:pPr>
        <w:rPr>
          <w:lang w:val="en-US"/>
        </w:rPr>
      </w:pPr>
    </w:p>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1"/>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0"/>
        <w:tblW w:w="9777" w:type="dxa"/>
        <w:tblLook w:val="04A0" w:firstRow="1" w:lastRow="0" w:firstColumn="1" w:lastColumn="0" w:noHBand="0" w:noVBand="1"/>
      </w:tblPr>
      <w:tblGrid>
        <w:gridCol w:w="1444"/>
        <w:gridCol w:w="8727"/>
      </w:tblGrid>
      <w:tr w:rsidR="00BE7DFE" w14:paraId="284609EC" w14:textId="77777777" w:rsidTr="009544AF">
        <w:tc>
          <w:tcPr>
            <w:tcW w:w="1050"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9544AF">
        <w:tc>
          <w:tcPr>
            <w:tcW w:w="1050" w:type="dxa"/>
          </w:tcPr>
          <w:p w14:paraId="21F77C93" w14:textId="4B5414F4" w:rsidR="00BE7DFE" w:rsidRPr="00AA01F6" w:rsidRDefault="00AA01F6" w:rsidP="004D532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8727"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52638E" w:rsidRPr="008E3AB5" w14:paraId="0DE03D19" w14:textId="77777777" w:rsidTr="009544AF">
        <w:tc>
          <w:tcPr>
            <w:tcW w:w="1050"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9544AF">
        <w:tc>
          <w:tcPr>
            <w:tcW w:w="1050"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9544AF">
        <w:tc>
          <w:tcPr>
            <w:tcW w:w="1050" w:type="dxa"/>
          </w:tcPr>
          <w:p w14:paraId="5F30DF9F" w14:textId="1E4EBCA0" w:rsidR="00E119DF" w:rsidRDefault="00E119DF" w:rsidP="00E119DF">
            <w:pPr>
              <w:rPr>
                <w:lang w:val="en-US" w:eastAsia="ko-KR"/>
              </w:rPr>
            </w:pPr>
            <w:r>
              <w:rPr>
                <w:lang w:val="en-US" w:eastAsia="ko-KR"/>
              </w:rPr>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lastRenderedPageBreak/>
              <w:t xml:space="preserve">We suggest to add </w:t>
            </w:r>
            <w:r>
              <w:t xml:space="preserve">one </w:t>
            </w:r>
            <w:r>
              <w:t>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0"/>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0"/>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lastRenderedPageBreak/>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1"/>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rFonts w:hint="eastAsia"/>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5"/>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5"/>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w:t>
            </w:r>
            <w:r>
              <w:rPr>
                <w:rFonts w:ascii="Times New Roman" w:hAnsi="Times New Roman" w:cs="Times New Roman"/>
                <w:sz w:val="20"/>
                <w:szCs w:val="20"/>
              </w:rPr>
              <w:lastRenderedPageBreak/>
              <w:t xml:space="preserve">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rFonts w:hint="eastAsia"/>
                <w:lang w:val="en-US" w:eastAsia="ko-KR"/>
              </w:rPr>
            </w:pP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等线"/>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Vivo’s comment on antenna gain components, we see the main point is that antenna gain component 3 should be included in lines (4) and (11), rather than in lines (5) and </w:t>
            </w:r>
            <w:r>
              <w:rPr>
                <w:lang w:val="en-US"/>
              </w:rPr>
              <w:lastRenderedPageBreak/>
              <w:t>(11b) based on the CE SI agreement. I guess this revision will not change the final link budget results. We are fine with either the FL proposal or Vivo’s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lastRenderedPageBreak/>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rFonts w:hint="eastAsia"/>
                <w:lang w:val="en-US" w:eastAsia="ko-KR"/>
              </w:rPr>
            </w:pPr>
            <w:r>
              <w:rPr>
                <w:lang w:val="en-US" w:eastAsia="ko-KR"/>
              </w:rPr>
              <w:t>ZTE,Sanechips</w:t>
            </w:r>
          </w:p>
        </w:tc>
        <w:tc>
          <w:tcPr>
            <w:tcW w:w="7796" w:type="dxa"/>
          </w:tcPr>
          <w:p w14:paraId="031A373B" w14:textId="0718A19B" w:rsidR="00E119DF" w:rsidRDefault="00E119DF" w:rsidP="00E119DF">
            <w:pPr>
              <w:rPr>
                <w:rFonts w:hint="eastAsia"/>
                <w:lang w:val="en-US" w:eastAsia="ko-KR"/>
              </w:rPr>
            </w:pPr>
            <w:r>
              <w:rPr>
                <w:lang w:val="en-US"/>
              </w:rPr>
              <w:t>We are OK if the issues raised in 4-1 are solved.</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0"/>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rFonts w:hint="eastAsia"/>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rFonts w:hint="eastAsia"/>
                <w:lang w:val="en-US" w:eastAsia="ko-KR"/>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0"/>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rFonts w:hint="eastAsia"/>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rFonts w:hint="eastAsia"/>
                <w:lang w:val="en-US" w:eastAsia="ko-KR"/>
              </w:rPr>
            </w:pPr>
            <w:r>
              <w:rPr>
                <w:lang w:val="en-US"/>
              </w:rPr>
              <w:t xml:space="preserve">We are OK with ALT2, we can also include individual source beside the average.  </w:t>
            </w:r>
          </w:p>
        </w:tc>
      </w:tr>
    </w:tbl>
    <w:p w14:paraId="3C553356" w14:textId="77777777" w:rsidR="00503D6B" w:rsidRDefault="00503D6B" w:rsidP="00503D6B">
      <w:pPr>
        <w:rPr>
          <w:lang w:val="en-US"/>
        </w:rPr>
      </w:pPr>
    </w:p>
    <w:p w14:paraId="2B9F4B6D" w14:textId="3ADF8DD6" w:rsidR="00503D6B" w:rsidRDefault="00503D6B" w:rsidP="00503D6B">
      <w:pPr>
        <w:pStyle w:val="1"/>
      </w:pPr>
      <w:r>
        <w:lastRenderedPageBreak/>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af1"/>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5"/>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5"/>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5"/>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5"/>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5"/>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等线"/>
                <w:lang w:val="en-US" w:eastAsia="zh-CN"/>
              </w:rPr>
            </w:pPr>
            <w:r>
              <w:rPr>
                <w:lang w:val="en-US" w:eastAsia="ko-KR"/>
              </w:rPr>
              <w:t>ZTE,Sanechips</w:t>
            </w:r>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lastRenderedPageBreak/>
              <w:t>So it should be clear two sets of result should be provided, the first sets of result is to evaluation the impact of UE complexity reduction only, and the second sets of result is to evaluate the coverage recovery.</w:t>
            </w:r>
            <w:bookmarkStart w:id="10" w:name="_GoBack"/>
            <w:bookmarkEnd w:id="10"/>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D6043" w14:textId="77777777" w:rsidR="00492506" w:rsidRDefault="00492506" w:rsidP="00581A60">
      <w:pPr>
        <w:spacing w:after="0"/>
      </w:pPr>
      <w:r>
        <w:separator/>
      </w:r>
    </w:p>
  </w:endnote>
  <w:endnote w:type="continuationSeparator" w:id="0">
    <w:p w14:paraId="6B865D64" w14:textId="77777777" w:rsidR="00492506" w:rsidRDefault="00492506" w:rsidP="00581A60">
      <w:pPr>
        <w:spacing w:after="0"/>
      </w:pPr>
      <w:r>
        <w:continuationSeparator/>
      </w:r>
    </w:p>
  </w:endnote>
  <w:endnote w:type="continuationNotice" w:id="1">
    <w:p w14:paraId="1C96F2D8" w14:textId="77777777" w:rsidR="00492506" w:rsidRDefault="004925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15BD6" w14:textId="77777777" w:rsidR="00492506" w:rsidRDefault="00492506" w:rsidP="00581A60">
      <w:pPr>
        <w:spacing w:after="0"/>
      </w:pPr>
      <w:r>
        <w:separator/>
      </w:r>
    </w:p>
  </w:footnote>
  <w:footnote w:type="continuationSeparator" w:id="0">
    <w:p w14:paraId="31CE2B97" w14:textId="77777777" w:rsidR="00492506" w:rsidRDefault="00492506" w:rsidP="00581A60">
      <w:pPr>
        <w:spacing w:after="0"/>
      </w:pPr>
      <w:r>
        <w:continuationSeparator/>
      </w:r>
    </w:p>
  </w:footnote>
  <w:footnote w:type="continuationNotice" w:id="1">
    <w:p w14:paraId="1D75997D" w14:textId="77777777" w:rsidR="00492506" w:rsidRDefault="0049250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2">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8">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7"/>
  </w:num>
  <w:num w:numId="2">
    <w:abstractNumId w:val="0"/>
  </w:num>
  <w:num w:numId="3">
    <w:abstractNumId w:val="10"/>
  </w:num>
  <w:num w:numId="4">
    <w:abstractNumId w:val="2"/>
  </w:num>
  <w:num w:numId="5">
    <w:abstractNumId w:val="3"/>
  </w:num>
  <w:num w:numId="6">
    <w:abstractNumId w:val="9"/>
  </w:num>
  <w:num w:numId="7">
    <w:abstractNumId w:val="5"/>
  </w:num>
  <w:num w:numId="8">
    <w:abstractNumId w:val="4"/>
  </w:num>
  <w:num w:numId="9">
    <w:abstractNumId w:val="1"/>
  </w:num>
  <w:num w:numId="10">
    <w:abstractNumId w:val="6"/>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
    <w:name w:val="Unresolved Mention"/>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9A11E-A50E-4973-A68E-D1C49C4C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4226</Words>
  <Characters>24093</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2020-09-16T16:16:00Z</dcterms:created>
  <dcterms:modified xsi:type="dcterms:W3CDTF">2020-09-16T16:16:00Z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