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rFonts w:hint="eastAsia"/>
                <w:lang w:eastAsia="zh-CN"/>
              </w:rPr>
            </w:pPr>
            <w:r>
              <w:rPr>
                <w:lang w:eastAsia="zh-CN"/>
              </w:rPr>
              <w:t>InterDigital</w:t>
            </w:r>
          </w:p>
        </w:tc>
        <w:tc>
          <w:tcPr>
            <w:tcW w:w="8218" w:type="dxa"/>
          </w:tcPr>
          <w:p w14:paraId="6C82AE71" w14:textId="71C636F4" w:rsidR="00B553EA" w:rsidRDefault="00B553EA" w:rsidP="00821570">
            <w:pPr>
              <w:rPr>
                <w:rFonts w:hint="eastAsia"/>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lastRenderedPageBreak/>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lastRenderedPageBreak/>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hint="eastAsia"/>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hint="eastAsia"/>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1370E6"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 xml:space="preserve">The “PDCCH only” energy in TR38.840 accounts for some RF power and some </w:t>
            </w:r>
            <w:r>
              <w:rPr>
                <w:rFonts w:ascii="Arial" w:hAnsi="Arial" w:cs="Arial"/>
              </w:rPr>
              <w:lastRenderedPageBreak/>
              <w:t>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w:t>
            </w:r>
            <w:r w:rsidRPr="008D5204">
              <w:rPr>
                <w:rFonts w:hint="eastAsia"/>
                <w:bCs/>
              </w:rPr>
              <w:lastRenderedPageBreak/>
              <w:t>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lastRenderedPageBreak/>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lastRenderedPageBreak/>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hint="eastAsia"/>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hint="eastAsia"/>
                <w:lang w:eastAsia="zh-CN"/>
              </w:rPr>
            </w:pPr>
            <w:r>
              <w:rPr>
                <w:rFonts w:ascii="Arial" w:hAnsi="Arial" w:cs="Arial"/>
              </w:rPr>
              <w:t>Dynamic adaptation of BD and/or CCE limits can be considered for reduced PDCCH monitoring.</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hint="eastAsia"/>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hint="eastAsia"/>
                <w:lang w:eastAsia="zh-CN"/>
              </w:rPr>
            </w:pPr>
            <w:r>
              <w:rPr>
                <w:rFonts w:ascii="Arial" w:hAnsi="Arial" w:cs="Arial"/>
              </w:rPr>
              <w:t xml:space="preserve">We believe that dynamic adaptation of PDCCH monitoring is essential for power saving. </w:t>
            </w:r>
            <w:r>
              <w:rPr>
                <w:rFonts w:ascii="Arial" w:hAnsi="Arial" w:cs="Arial"/>
              </w:rPr>
              <w:lastRenderedPageBreak/>
              <w:t>However, since this technique will be treated in the Power Saving WI, we can drop it from the RedCap SI to prevent duplicate work.</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hint="eastAsia"/>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hint="eastAsia"/>
                <w:lang w:eastAsia="zh-CN"/>
              </w:rPr>
            </w:pPr>
            <w:r>
              <w:rPr>
                <w:rFonts w:ascii="Arial" w:hAnsi="Arial" w:cs="Arial"/>
              </w:rPr>
              <w:t>We are fine with studying this further.</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lastRenderedPageBreak/>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hint="eastAsia"/>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hint="eastAsia"/>
                <w:lang w:eastAsia="zh-CN"/>
              </w:rPr>
            </w:pPr>
            <w:r>
              <w:rPr>
                <w:rFonts w:ascii="Arial" w:hAnsi="Arial" w:cs="Arial"/>
              </w:rPr>
              <w:t>We do not see clear benefits from this.</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lastRenderedPageBreak/>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1370E6"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1370E6"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1370E6"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1370E6"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1370E6"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1370E6"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1370E6"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1370E6"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1370E6"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1370E6"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1370E6"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1370E6"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1370E6"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1370E6"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1370E6"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1370E6"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1370E6"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1370E6"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1370E6"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1370E6"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1370E6"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1370E6"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1370E6"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1370E6"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1370E6"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1370E6"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1370E6"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3322" w14:textId="77777777" w:rsidR="001370E6" w:rsidRDefault="001370E6">
      <w:pPr>
        <w:spacing w:after="0"/>
      </w:pPr>
      <w:r>
        <w:separator/>
      </w:r>
    </w:p>
  </w:endnote>
  <w:endnote w:type="continuationSeparator" w:id="0">
    <w:p w14:paraId="61A4CDB7" w14:textId="77777777" w:rsidR="001370E6" w:rsidRDefault="001370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10CE9A3"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6627BE">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27BE">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8B6E" w14:textId="77777777" w:rsidR="001370E6" w:rsidRDefault="001370E6">
      <w:pPr>
        <w:spacing w:after="0"/>
      </w:pPr>
      <w:r>
        <w:separator/>
      </w:r>
    </w:p>
  </w:footnote>
  <w:footnote w:type="continuationSeparator" w:id="0">
    <w:p w14:paraId="448166E8" w14:textId="77777777" w:rsidR="001370E6" w:rsidRDefault="001370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20B30"/>
    <w:rsid w:val="00621DA0"/>
    <w:rsid w:val="0062339C"/>
    <w:rsid w:val="00623B95"/>
    <w:rsid w:val="00643E15"/>
    <w:rsid w:val="00644D23"/>
    <w:rsid w:val="00644F77"/>
    <w:rsid w:val="00645311"/>
    <w:rsid w:val="006509D1"/>
    <w:rsid w:val="006535AA"/>
    <w:rsid w:val="00655556"/>
    <w:rsid w:val="0065556E"/>
    <w:rsid w:val="006627B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40D8B0FC-05CC-4743-AABE-CEAEB44A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100E-574D-4D94-92D4-7EC2609D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6704</Words>
  <Characters>38217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Erdem Bala</cp:lastModifiedBy>
  <cp:revision>2</cp:revision>
  <cp:lastPrinted>2019-01-22T03:27:00Z</cp:lastPrinted>
  <dcterms:created xsi:type="dcterms:W3CDTF">2020-08-19T02:04:00Z</dcterms:created>
  <dcterms:modified xsi:type="dcterms:W3CDTF">2020-08-19T02:04:00Z</dcterms:modified>
</cp:coreProperties>
</file>