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2.1.1</w:t>
      </w:r>
      <w:r>
        <w:rPr>
          <w:rFonts w:ascii="Calibri" w:hAnsi="Calibri" w:cs="Calibri"/>
          <w:b/>
          <w:bCs/>
          <w:color w:val="000000"/>
          <w:sz w:val="22"/>
          <w:szCs w:val="22"/>
        </w:rPr>
        <w:t>: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2.1.2</w:t>
      </w:r>
      <w:r>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C425F0">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7B119D">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w:t>
            </w:r>
            <w:proofErr w:type="gramStart"/>
            <w:r w:rsidRPr="00C425F0">
              <w:rPr>
                <w:rFonts w:asciiTheme="minorHAnsi" w:hAnsiTheme="minorHAnsi" w:cstheme="minorHAnsi"/>
                <w:color w:val="000000"/>
                <w:sz w:val="22"/>
                <w:szCs w:val="22"/>
                <w:lang w:eastAsia="zh-CN"/>
              </w:rPr>
              <w:t>similar to</w:t>
            </w:r>
            <w:proofErr w:type="gramEnd"/>
            <w:r w:rsidRPr="00C425F0">
              <w:rPr>
                <w:rFonts w:asciiTheme="minorHAnsi" w:hAnsiTheme="minorHAnsi" w:cstheme="minorHAnsi"/>
                <w:color w:val="000000"/>
                <w:sz w:val="22"/>
                <w:szCs w:val="22"/>
                <w:lang w:eastAsia="zh-CN"/>
              </w:rPr>
              <w:t xml:space="preserve">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xml:space="preserve">., the specification work can be expected to be relatively straight forward. </w:t>
            </w:r>
            <w:proofErr w:type="gramStart"/>
            <w:r w:rsidRPr="00C425F0">
              <w:rPr>
                <w:rFonts w:asciiTheme="minorHAnsi" w:hAnsiTheme="minorHAnsi" w:cstheme="minorHAnsi"/>
                <w:color w:val="000000"/>
                <w:sz w:val="22"/>
                <w:szCs w:val="22"/>
                <w:lang w:eastAsia="zh-CN"/>
              </w:rPr>
              <w:t>Also</w:t>
            </w:r>
            <w:proofErr w:type="gramEnd"/>
            <w:r w:rsidRPr="00C425F0">
              <w:rPr>
                <w:rFonts w:asciiTheme="minorHAnsi" w:hAnsiTheme="minorHAnsi" w:cstheme="minorHAnsi"/>
                <w:color w:val="000000"/>
                <w:sz w:val="22"/>
                <w:szCs w:val="22"/>
                <w:lang w:eastAsia="zh-CN"/>
              </w:rPr>
              <w:t xml:space="preserve">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C425F0">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4"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bl>
    <w:p w14:paraId="0851ABA8" w14:textId="77777777" w:rsidR="00B90547" w:rsidRDefault="00B90547">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lastRenderedPageBreak/>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 xml:space="preserve">Observation 2: Without </w:t>
            </w:r>
            <w:proofErr w:type="gramStart"/>
            <w:r>
              <w:rPr>
                <w:rFonts w:asciiTheme="minorHAnsi" w:hAnsiTheme="minorHAnsi" w:cstheme="minorHAnsi"/>
                <w:b/>
                <w:i/>
                <w:sz w:val="20"/>
                <w:szCs w:val="20"/>
              </w:rPr>
              <w:t>sufficient</w:t>
            </w:r>
            <w:proofErr w:type="gramEnd"/>
            <w:r>
              <w:rPr>
                <w:rFonts w:asciiTheme="minorHAnsi" w:hAnsiTheme="minorHAnsi" w:cstheme="minorHAnsi"/>
                <w:b/>
                <w:i/>
                <w:sz w:val="20"/>
                <w:szCs w:val="20"/>
              </w:rPr>
              <w:t xml:space="preserve">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lastRenderedPageBreak/>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lastRenderedPageBreak/>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rPr>
              <w:lastRenderedPageBreak/>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Default="00C425F0">
      <w:pPr>
        <w:pStyle w:val="ListParagraph"/>
        <w:rPr>
          <w:b/>
          <w:lang w:eastAsia="zh-CN"/>
        </w:rPr>
      </w:pPr>
      <w:r>
        <w:rPr>
          <w:noProof/>
        </w:rPr>
        <w:lastRenderedPageBreak/>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15"/>
                    <a:stretch>
                      <a:fillRect/>
                    </a:stretch>
                  </pic:blipFill>
                  <pic:spPr bwMode="auto">
                    <a:xfrm>
                      <a:off x="0" y="0"/>
                      <a:ext cx="1976120" cy="2050415"/>
                    </a:xfrm>
                    <a:prstGeom prst="rect">
                      <a:avLst/>
                    </a:prstGeom>
                  </pic:spPr>
                </pic:pic>
              </a:graphicData>
            </a:graphic>
          </wp:inline>
        </w:drawing>
      </w:r>
      <w:r>
        <w:rPr>
          <w:b/>
          <w:bCs/>
          <w:lang w:eastAsia="zh-CN"/>
        </w:rPr>
        <w:t xml:space="preserve">                      </w:t>
      </w:r>
      <w:r>
        <w:rPr>
          <w:noProof/>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16"/>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Pr>
          <w:bCs/>
          <w:lang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17"/>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18"/>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190701A5"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w:t>
      </w:r>
      <w:r>
        <w:rPr>
          <w:rFonts w:asciiTheme="minorHAnsi" w:hAnsiTheme="minorHAnsi" w:cstheme="minorHAnsi"/>
          <w:bCs/>
          <w:iCs/>
          <w:sz w:val="20"/>
          <w:szCs w:val="20"/>
        </w:rPr>
        <w:lastRenderedPageBreak/>
        <w:t xml:space="preserve">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CD6E3E5"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2.2.1</w:t>
      </w:r>
      <w:r>
        <w:rPr>
          <w:rFonts w:ascii="Calibri" w:eastAsia="Calibri" w:hAnsi="Calibri"/>
          <w:b/>
          <w:bCs/>
          <w:sz w:val="22"/>
          <w:szCs w:val="22"/>
        </w:rPr>
        <w:t>: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proofErr w:type="gramStart"/>
            <w:r>
              <w:rPr>
                <w:rFonts w:ascii="Calibri" w:hAnsi="Calibri"/>
                <w:sz w:val="18"/>
                <w:szCs w:val="18"/>
              </w:rPr>
              <w:t>CLI  +</w:t>
            </w:r>
            <w:proofErr w:type="gramEnd"/>
            <w:r>
              <w:rPr>
                <w:rFonts w:ascii="Calibri" w:hAnsi="Calibri"/>
                <w:sz w:val="18"/>
                <w:szCs w:val="18"/>
              </w:rPr>
              <w:t xml:space="preserve">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proofErr w:type="gramStart"/>
            <w:r>
              <w:rPr>
                <w:rFonts w:ascii="Calibri" w:hAnsi="Calibri"/>
                <w:sz w:val="18"/>
                <w:szCs w:val="18"/>
              </w:rPr>
              <w:t>CLI  +</w:t>
            </w:r>
            <w:proofErr w:type="gramEnd"/>
            <w:r>
              <w:rPr>
                <w:rFonts w:ascii="Calibri" w:hAnsi="Calibri"/>
                <w:sz w:val="18"/>
                <w:szCs w:val="18"/>
              </w:rPr>
              <w:t xml:space="preserve">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we think it is possible for both intra-panel and Inter-panel case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w:t>
            </w:r>
            <w:proofErr w:type="gramStart"/>
            <w:r>
              <w:rPr>
                <w:rFonts w:ascii="Calibri" w:eastAsiaTheme="minorEastAsia" w:hAnsi="Calibri"/>
                <w:bCs/>
                <w:sz w:val="22"/>
                <w:szCs w:val="22"/>
                <w:lang w:eastAsia="zh-CN"/>
              </w:rPr>
              <w:t>1)“</w:t>
            </w:r>
            <w:proofErr w:type="gramEnd"/>
            <w:r>
              <w:rPr>
                <w:rFonts w:ascii="Calibri" w:eastAsiaTheme="minorEastAsia" w:hAnsi="Calibri"/>
                <w:bCs/>
                <w:sz w:val="22"/>
                <w:szCs w:val="22"/>
                <w:lang w:eastAsia="zh-CN"/>
              </w:rPr>
              <w:t xml:space="preserve">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 xml:space="preserve">isolation is at least partly depending on </w:t>
            </w:r>
            <w:r>
              <w:rPr>
                <w:rFonts w:ascii="Calibri" w:eastAsia="Calibri" w:hAnsi="Calibri"/>
                <w:b/>
                <w:sz w:val="22"/>
                <w:szCs w:val="22"/>
              </w:rPr>
              <w:lastRenderedPageBreak/>
              <w:t>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w:t>
            </w:r>
            <w:proofErr w:type="gramStart"/>
            <w:r>
              <w:rPr>
                <w:rFonts w:ascii="Calibri" w:hAnsi="Calibri"/>
                <w:bCs/>
                <w:sz w:val="22"/>
                <w:szCs w:val="22"/>
              </w:rPr>
              <w:t>impact :</w:t>
            </w:r>
            <w:proofErr w:type="gramEnd"/>
            <w:r>
              <w:rPr>
                <w:rFonts w:ascii="Calibri" w:hAnsi="Calibri"/>
                <w:bCs/>
                <w:sz w:val="22"/>
                <w:szCs w:val="22"/>
              </w:rPr>
              <w:t xml:space="preserve">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lastRenderedPageBreak/>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w:t>
            </w:r>
            <w:proofErr w:type="gramStart"/>
            <w:r>
              <w:rPr>
                <w:rFonts w:ascii="Calibri" w:eastAsia="SimSun" w:hAnsi="Calibri"/>
                <w:bCs/>
                <w:sz w:val="22"/>
                <w:szCs w:val="22"/>
                <w:lang w:eastAsia="zh-CN"/>
              </w:rPr>
              <w:t>be in compliance with</w:t>
            </w:r>
            <w:proofErr w:type="gramEnd"/>
            <w:r>
              <w:rPr>
                <w:rFonts w:ascii="Calibri" w:eastAsia="SimSun" w:hAnsi="Calibri"/>
                <w:bCs/>
                <w:sz w:val="22"/>
                <w:szCs w:val="22"/>
                <w:lang w:eastAsia="zh-CN"/>
              </w:rPr>
              <w:t xml:space="preserve">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w:t>
            </w:r>
            <w:proofErr w:type="gramStart"/>
            <w:r>
              <w:rPr>
                <w:rFonts w:ascii="Calibri" w:eastAsia="SimSun" w:hAnsi="Calibri"/>
                <w:bCs/>
                <w:sz w:val="22"/>
                <w:szCs w:val="22"/>
                <w:lang w:eastAsia="zh-CN"/>
              </w:rPr>
              <w:t>and also</w:t>
            </w:r>
            <w:proofErr w:type="gramEnd"/>
            <w:r>
              <w:rPr>
                <w:rFonts w:ascii="Calibri" w:eastAsia="SimSun" w:hAnsi="Calibri"/>
                <w:bCs/>
                <w:sz w:val="22"/>
                <w:szCs w:val="22"/>
                <w:lang w:eastAsia="zh-CN"/>
              </w:rPr>
              <w:t xml:space="preserve">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CLI: “CLI” in case 3 and 4 is not clear. The interference caused by case 3/4 seems to be </w:t>
            </w:r>
            <w:proofErr w:type="gramStart"/>
            <w:r>
              <w:rPr>
                <w:rFonts w:ascii="Calibri" w:eastAsia="SimSun" w:hAnsi="Calibri"/>
                <w:bCs/>
                <w:sz w:val="22"/>
                <w:szCs w:val="22"/>
                <w:lang w:eastAsia="zh-CN"/>
              </w:rPr>
              <w:t>similar to</w:t>
            </w:r>
            <w:proofErr w:type="gramEnd"/>
            <w:r>
              <w:rPr>
                <w:rFonts w:ascii="Calibri" w:eastAsia="SimSun" w:hAnsi="Calibri"/>
                <w:bCs/>
                <w:sz w:val="22"/>
                <w:szCs w:val="22"/>
                <w:lang w:eastAsia="zh-CN"/>
              </w:rPr>
              <w:t xml:space="preserve">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proofErr w:type="gramStart"/>
            <w:r>
              <w:rPr>
                <w:rFonts w:ascii="Calibri" w:eastAsia="Malgun Gothic" w:hAnsi="Calibri"/>
                <w:bCs/>
                <w:sz w:val="22"/>
                <w:szCs w:val="22"/>
                <w:lang w:eastAsia="ko-KR"/>
              </w:rPr>
              <w:t>Generally</w:t>
            </w:r>
            <w:proofErr w:type="gramEnd"/>
            <w:r>
              <w:rPr>
                <w:rFonts w:ascii="Calibri" w:eastAsia="Malgun Gothic" w:hAnsi="Calibri"/>
                <w:bCs/>
                <w:sz w:val="22"/>
                <w:szCs w:val="22"/>
                <w:lang w:eastAsia="ko-KR"/>
              </w:rPr>
              <w:t xml:space="preserve">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It has been observed and discussed in the past that these enhanced duplexing capabilities may not be available all the time, depending on dynamics, including the surrounding environment impacting the wireless channel. </w:t>
            </w:r>
            <w:proofErr w:type="gramStart"/>
            <w:r>
              <w:rPr>
                <w:rFonts w:ascii="Calibri" w:eastAsia="SimSun" w:hAnsi="Calibri"/>
                <w:bCs/>
                <w:sz w:val="22"/>
                <w:szCs w:val="22"/>
                <w:lang w:eastAsia="zh-CN"/>
              </w:rPr>
              <w:t>However</w:t>
            </w:r>
            <w:proofErr w:type="gramEnd"/>
            <w:r>
              <w:rPr>
                <w:rFonts w:ascii="Calibri" w:eastAsia="SimSun" w:hAnsi="Calibri"/>
                <w:bCs/>
                <w:sz w:val="22"/>
                <w:szCs w:val="22"/>
                <w:lang w:eastAsia="zh-CN"/>
              </w:rPr>
              <w:t xml:space="preserve">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lastRenderedPageBreak/>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095EB953" w14:textId="77777777" w:rsidR="00B90547" w:rsidRDefault="00B90547">
      <w:pPr>
        <w:ind w:left="720"/>
        <w:rPr>
          <w:rFonts w:ascii="Calibri" w:hAnsi="Calibri" w:cs="Calibri"/>
          <w:color w:val="000000"/>
          <w:sz w:val="22"/>
          <w:szCs w:val="22"/>
        </w:rPr>
      </w:pPr>
    </w:p>
    <w:p w14:paraId="11F8631F"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w:t>
      </w:r>
      <w:bookmarkStart w:id="3" w:name="_GoBack"/>
      <w:bookmarkEnd w:id="3"/>
      <w:r>
        <w:rPr>
          <w:rFonts w:ascii="Calibri" w:hAnsi="Calibri" w:cs="Calibri"/>
          <w:color w:val="000000"/>
          <w:sz w:val="22"/>
          <w:szCs w:val="22"/>
        </w:rPr>
        <w:t>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lastRenderedPageBreak/>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with the proposal. Simultaneous operation in hard resource are also possible in some cases. One simple example is when there is </w:t>
            </w:r>
            <w:proofErr w:type="gramStart"/>
            <w:r>
              <w:rPr>
                <w:rFonts w:ascii="Calibri" w:eastAsiaTheme="minorEastAsia" w:hAnsi="Calibri"/>
                <w:bCs/>
                <w:sz w:val="22"/>
                <w:szCs w:val="22"/>
                <w:lang w:eastAsia="zh-CN"/>
              </w:rPr>
              <w:t>sufficient</w:t>
            </w:r>
            <w:proofErr w:type="gramEnd"/>
            <w:r>
              <w:rPr>
                <w:rFonts w:ascii="Calibri" w:eastAsiaTheme="minorEastAsia" w:hAnsi="Calibri"/>
                <w:bCs/>
                <w:sz w:val="22"/>
                <w:szCs w:val="22"/>
                <w:lang w:eastAsia="zh-CN"/>
              </w:rPr>
              <w:t xml:space="preserve">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Agree the main proposal, but the sub-bullet is a bit pre-mature </w:t>
            </w:r>
            <w:proofErr w:type="gramStart"/>
            <w:r>
              <w:rPr>
                <w:rFonts w:ascii="Calibri" w:eastAsia="Malgun Gothic" w:hAnsi="Calibri"/>
                <w:bCs/>
                <w:sz w:val="22"/>
                <w:szCs w:val="22"/>
                <w:lang w:eastAsia="ko-KR"/>
              </w:rPr>
              <w:t>at this time</w:t>
            </w:r>
            <w:proofErr w:type="gramEnd"/>
            <w:r>
              <w:rPr>
                <w:rFonts w:ascii="Calibri" w:eastAsia="Malgun Gothic" w:hAnsi="Calibri"/>
                <w:bCs/>
                <w:sz w:val="22"/>
                <w:szCs w:val="22"/>
                <w:lang w:eastAsia="ko-KR"/>
              </w:rPr>
              <w:t>.</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w:t>
            </w:r>
            <w:proofErr w:type="gramStart"/>
            <w:r>
              <w:rPr>
                <w:rFonts w:ascii="Calibri" w:eastAsia="Malgun Gothic" w:hAnsi="Calibri"/>
                <w:bCs/>
                <w:sz w:val="22"/>
                <w:szCs w:val="22"/>
                <w:lang w:eastAsia="ko-KR"/>
              </w:rPr>
              <w:t>only .</w:t>
            </w:r>
            <w:proofErr w:type="gramEnd"/>
            <w:r>
              <w:rPr>
                <w:rFonts w:ascii="Calibri" w:eastAsia="Malgun Gothic" w:hAnsi="Calibri"/>
                <w:bCs/>
                <w:sz w:val="22"/>
                <w:szCs w:val="22"/>
                <w:lang w:eastAsia="ko-KR"/>
              </w:rPr>
              <w:t xml:space="preserve">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595989EC" w14:textId="77777777" w:rsidR="00B90547" w:rsidRDefault="00C425F0">
      <w:pPr>
        <w:pStyle w:val="ListParagraph"/>
        <w:numPr>
          <w:ilvl w:val="1"/>
          <w:numId w:val="12"/>
        </w:numPr>
        <w:spacing w:before="120" w:after="180"/>
        <w:rPr>
          <w:b/>
          <w:bCs/>
        </w:rPr>
      </w:pPr>
      <w:r>
        <w:rPr>
          <w:b/>
          <w:bCs/>
        </w:rPr>
        <w:t>Support of simultaneous operation (transmission and/or reception) of IAB-node’s child and parent links (i.e., MT Tx/DU Tx, MT Tx/DU Rx, MT Rx/DU Tx, MT Rx/DU Rx)</w:t>
      </w:r>
    </w:p>
    <w:p w14:paraId="5B0D0F4E" w14:textId="77777777" w:rsidR="00B90547" w:rsidRDefault="00C425F0">
      <w:pPr>
        <w:pStyle w:val="ListParagraph"/>
        <w:numPr>
          <w:ilvl w:val="1"/>
          <w:numId w:val="12"/>
        </w:numPr>
        <w:spacing w:before="120" w:after="180"/>
        <w:rPr>
          <w:b/>
          <w:bCs/>
          <w:highlight w:val="yellow"/>
        </w:rPr>
      </w:pPr>
      <w:r>
        <w:rPr>
          <w:b/>
          <w:bCs/>
          <w:highlight w:val="yellow"/>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w:t>
            </w:r>
            <w:proofErr w:type="gramStart"/>
            <w:r>
              <w:rPr>
                <w:rFonts w:ascii="Calibri" w:eastAsia="Calibri" w:hAnsi="Calibri"/>
                <w:bCs/>
                <w:sz w:val="22"/>
                <w:szCs w:val="22"/>
              </w:rPr>
              <w:t>similar to</w:t>
            </w:r>
            <w:proofErr w:type="gramEnd"/>
            <w:r>
              <w:rPr>
                <w:rFonts w:ascii="Calibri" w:eastAsia="Calibri" w:hAnsi="Calibri"/>
                <w:bCs/>
                <w:sz w:val="22"/>
                <w:szCs w:val="22"/>
              </w:rPr>
              <w:t xml:space="preserve">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proofErr w:type="gramStart"/>
            <w:r>
              <w:rPr>
                <w:rFonts w:ascii="Calibri" w:eastAsia="Yu Mincho" w:hAnsi="Calibri"/>
                <w:bCs/>
                <w:sz w:val="22"/>
                <w:szCs w:val="22"/>
                <w:lang w:eastAsia="ja-JP"/>
              </w:rPr>
              <w:t>Yes</w:t>
            </w:r>
            <w:proofErr w:type="gramEnd"/>
            <w:r>
              <w:rPr>
                <w:rFonts w:ascii="Calibri" w:eastAsia="Yu Mincho" w:hAnsi="Calibri"/>
                <w:bCs/>
                <w:sz w:val="22"/>
                <w:szCs w:val="22"/>
                <w:lang w:eastAsia="ja-JP"/>
              </w:rPr>
              <w:t xml:space="preserve">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xml:space="preserve">- For DC scenarios for IAB MT, resource management between MT and DU should be considered, especially if frequency band for DU (e.g. f1+f2) fully or partially </w:t>
            </w:r>
            <w:proofErr w:type="gramStart"/>
            <w:r>
              <w:rPr>
                <w:rFonts w:asciiTheme="minorHAnsi" w:eastAsia="Yu Mincho" w:hAnsiTheme="minorHAnsi" w:cstheme="minorHAnsi"/>
                <w:bCs/>
                <w:sz w:val="22"/>
                <w:szCs w:val="22"/>
                <w:lang w:eastAsia="ja-JP"/>
              </w:rPr>
              <w:t>overlaps  with</w:t>
            </w:r>
            <w:proofErr w:type="gramEnd"/>
            <w:r>
              <w:rPr>
                <w:rFonts w:asciiTheme="minorHAnsi" w:eastAsia="Yu Mincho" w:hAnsiTheme="minorHAnsi" w:cstheme="minorHAnsi"/>
                <w:bCs/>
                <w:sz w:val="22"/>
                <w:szCs w:val="22"/>
                <w:lang w:eastAsia="ja-JP"/>
              </w:rPr>
              <w:t xml:space="preserve">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 xml:space="preserve">Before deciding the FL Survey 3.1.1, we need to clarify what is dual connectivity scenario for Rel-17 IAB, and to discuss whether intra-carrier DC </w:t>
            </w:r>
            <w:proofErr w:type="gramStart"/>
            <w:r>
              <w:rPr>
                <w:rFonts w:ascii="Calibri" w:eastAsia="Calibri" w:hAnsi="Calibri"/>
                <w:bCs/>
                <w:sz w:val="22"/>
                <w:szCs w:val="22"/>
              </w:rPr>
              <w:t>scenario  can</w:t>
            </w:r>
            <w:proofErr w:type="gramEnd"/>
            <w:r>
              <w:rPr>
                <w:rFonts w:ascii="Calibri" w:eastAsia="Calibri" w:hAnsi="Calibri"/>
                <w:bCs/>
                <w:sz w:val="22"/>
                <w:szCs w:val="22"/>
              </w:rPr>
              <w:t xml:space="preserve">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xml:space="preserve">. </w:t>
            </w:r>
            <w:proofErr w:type="gramStart"/>
            <w:r>
              <w:rPr>
                <w:rFonts w:ascii="Calibri" w:eastAsia="Calibri" w:hAnsi="Calibri"/>
                <w:bCs/>
                <w:sz w:val="22"/>
                <w:szCs w:val="22"/>
              </w:rPr>
              <w:t>However</w:t>
            </w:r>
            <w:proofErr w:type="gramEnd"/>
            <w:r>
              <w:rPr>
                <w:rFonts w:ascii="Calibri" w:eastAsia="Calibri" w:hAnsi="Calibri"/>
                <w:bCs/>
                <w:sz w:val="22"/>
                <w:szCs w:val="22"/>
              </w:rPr>
              <w:t xml:space="preserve">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 xml:space="preserve">current stage. </w:t>
            </w:r>
            <w:proofErr w:type="gramStart"/>
            <w:r>
              <w:rPr>
                <w:rFonts w:asciiTheme="minorHAnsi" w:eastAsiaTheme="minorEastAsia" w:hAnsiTheme="minorHAnsi" w:cstheme="minorHAnsi"/>
                <w:bCs/>
                <w:sz w:val="22"/>
                <w:szCs w:val="22"/>
                <w:lang w:eastAsia="zh-CN"/>
              </w:rPr>
              <w:t>However</w:t>
            </w:r>
            <w:proofErr w:type="gramEnd"/>
            <w:r>
              <w:rPr>
                <w:rFonts w:asciiTheme="minorHAnsi" w:eastAsiaTheme="minorEastAsia" w:hAnsiTheme="minorHAnsi" w:cstheme="minorHAnsi"/>
                <w:bCs/>
                <w:sz w:val="22"/>
                <w:szCs w:val="22"/>
                <w:lang w:eastAsia="zh-CN"/>
              </w:rPr>
              <w:t xml:space="preserve">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w:t>
            </w:r>
            <w:proofErr w:type="gramStart"/>
            <w:r>
              <w:rPr>
                <w:rFonts w:ascii="Calibri" w:eastAsiaTheme="minorEastAsia" w:hAnsi="Calibri"/>
                <w:bCs/>
                <w:sz w:val="22"/>
                <w:szCs w:val="22"/>
                <w:lang w:eastAsia="ja-JP"/>
              </w:rPr>
              <w:t>taken into account</w:t>
            </w:r>
            <w:proofErr w:type="gramEnd"/>
            <w:r>
              <w:rPr>
                <w:rFonts w:ascii="Calibri" w:eastAsiaTheme="minorEastAsia" w:hAnsi="Calibri"/>
                <w:bCs/>
                <w:sz w:val="22"/>
                <w:szCs w:val="22"/>
                <w:lang w:eastAsia="ja-JP"/>
              </w:rPr>
              <w:t xml:space="preserve">.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w:t>
            </w:r>
            <w:proofErr w:type="gramStart"/>
            <w:r>
              <w:rPr>
                <w:rFonts w:asciiTheme="minorHAnsi" w:eastAsia="Malgun Gothic" w:hAnsiTheme="minorHAnsi" w:cstheme="minorHAnsi"/>
                <w:bCs/>
                <w:sz w:val="22"/>
                <w:szCs w:val="22"/>
                <w:lang w:eastAsia="ja-JP"/>
              </w:rPr>
              <w:t>taken into account</w:t>
            </w:r>
            <w:proofErr w:type="gramEnd"/>
            <w:r>
              <w:rPr>
                <w:rFonts w:asciiTheme="minorHAnsi" w:eastAsia="Malgun Gothic" w:hAnsiTheme="minorHAnsi" w:cstheme="minorHAnsi"/>
                <w:bCs/>
                <w:sz w:val="22"/>
                <w:szCs w:val="22"/>
                <w:lang w:eastAsia="ja-JP"/>
              </w:rPr>
              <w:t xml:space="preserve">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 xml:space="preserve">The answer may depend on what DC scenarios are </w:t>
            </w:r>
            <w:proofErr w:type="gramStart"/>
            <w:r>
              <w:rPr>
                <w:rFonts w:ascii="Calibri" w:eastAsiaTheme="minorEastAsia" w:hAnsi="Calibri"/>
                <w:bCs/>
                <w:sz w:val="22"/>
                <w:szCs w:val="22"/>
                <w:lang w:eastAsia="ja-JP"/>
              </w:rPr>
              <w:t>taken into account</w:t>
            </w:r>
            <w:proofErr w:type="gramEnd"/>
            <w:r>
              <w:rPr>
                <w:rFonts w:ascii="Calibri" w:eastAsiaTheme="minorEastAsia" w:hAnsi="Calibri"/>
                <w:bCs/>
                <w:sz w:val="22"/>
                <w:szCs w:val="22"/>
                <w:lang w:eastAsia="ja-JP"/>
              </w:rPr>
              <w: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proofErr w:type="gramStart"/>
      <w:r>
        <w:rPr>
          <w:rFonts w:ascii="Calibri" w:hAnsi="Calibri" w:cs="Calibri"/>
          <w:color w:val="000000"/>
          <w:sz w:val="22"/>
          <w:szCs w:val="22"/>
        </w:rPr>
        <w:t>Additionally</w:t>
      </w:r>
      <w:proofErr w:type="gramEnd"/>
      <w:r>
        <w:rPr>
          <w:rFonts w:ascii="Calibri" w:hAnsi="Calibri" w:cs="Calibri"/>
          <w:color w:val="000000"/>
          <w:sz w:val="22"/>
          <w:szCs w:val="22"/>
        </w:rPr>
        <w:t xml:space="preserve">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 xml:space="preserve">Proposal 3: Discuss </w:t>
            </w:r>
            <w:proofErr w:type="gramStart"/>
            <w:r>
              <w:rPr>
                <w:rFonts w:asciiTheme="minorHAnsi" w:hAnsiTheme="minorHAnsi" w:cstheme="minorHAnsi"/>
                <w:b/>
                <w:i/>
                <w:sz w:val="20"/>
                <w:szCs w:val="20"/>
              </w:rPr>
              <w:t>whether or not</w:t>
            </w:r>
            <w:proofErr w:type="gramEnd"/>
            <w:r>
              <w:rPr>
                <w:rFonts w:asciiTheme="minorHAnsi" w:hAnsiTheme="minorHAnsi" w:cstheme="minorHAnsi"/>
                <w:b/>
                <w:i/>
                <w:sz w:val="20"/>
                <w:szCs w:val="20"/>
              </w:rPr>
              <w:t xml:space="preserve">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proofErr w:type="gramStart"/>
            <w:r>
              <w:rPr>
                <w:rFonts w:ascii="Calibri" w:eastAsia="Calibri" w:hAnsi="Calibri"/>
                <w:bCs/>
                <w:sz w:val="22"/>
                <w:szCs w:val="22"/>
              </w:rPr>
              <w:t>However</w:t>
            </w:r>
            <w:proofErr w:type="gramEnd"/>
            <w:r>
              <w:rPr>
                <w:rFonts w:ascii="Calibri" w:eastAsia="Calibri" w:hAnsi="Calibri"/>
                <w:bCs/>
                <w:sz w:val="22"/>
                <w:szCs w:val="22"/>
              </w:rPr>
              <w:t xml:space="preserve">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 xml:space="preserve">OK with considering features at least from the existing DC features. </w:t>
            </w:r>
            <w:proofErr w:type="gramStart"/>
            <w:r>
              <w:rPr>
                <w:rFonts w:asciiTheme="minorHAnsi" w:eastAsia="Malgun Gothic" w:hAnsiTheme="minorHAnsi" w:cstheme="minorHAnsi"/>
                <w:bCs/>
                <w:sz w:val="22"/>
                <w:szCs w:val="22"/>
                <w:lang w:eastAsia="ja-JP"/>
              </w:rPr>
              <w:t>But,</w:t>
            </w:r>
            <w:proofErr w:type="gramEnd"/>
            <w:r>
              <w:rPr>
                <w:rFonts w:asciiTheme="minorHAnsi" w:eastAsia="Malgun Gothic" w:hAnsiTheme="minorHAnsi" w:cstheme="minorHAnsi"/>
                <w:bCs/>
                <w:sz w:val="22"/>
                <w:szCs w:val="22"/>
                <w:lang w:eastAsia="ja-JP"/>
              </w:rPr>
              <w:t xml:space="preserve">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 inter-frequency DC feature can be starting point in IAB DC. However, some spec. impact specified to IAB node can be considered, e.g., considering power sharing between MT (MCG, </w:t>
            </w:r>
            <w:proofErr w:type="gramStart"/>
            <w:r>
              <w:rPr>
                <w:rFonts w:asciiTheme="minorHAnsi" w:eastAsiaTheme="minorEastAsia" w:hAnsiTheme="minorHAnsi" w:cstheme="minorHAnsi"/>
                <w:bCs/>
                <w:sz w:val="22"/>
                <w:szCs w:val="22"/>
                <w:lang w:eastAsia="zh-CN"/>
              </w:rPr>
              <w:t>SCG)and</w:t>
            </w:r>
            <w:proofErr w:type="gramEnd"/>
            <w:r>
              <w:rPr>
                <w:rFonts w:asciiTheme="minorHAnsi" w:eastAsiaTheme="minorEastAsia" w:hAnsiTheme="minorHAnsi" w:cstheme="minorHAnsi"/>
                <w:bCs/>
                <w:sz w:val="22"/>
                <w:szCs w:val="22"/>
                <w:lang w:eastAsia="zh-CN"/>
              </w:rPr>
              <w:t xml:space="preserve">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proofErr w:type="gramStart"/>
            <w:r>
              <w:rPr>
                <w:rFonts w:asciiTheme="minorHAnsi" w:eastAsiaTheme="minorEastAsia" w:hAnsiTheme="minorHAnsi" w:cstheme="minorHAnsi"/>
                <w:bCs/>
                <w:sz w:val="22"/>
                <w:szCs w:val="22"/>
                <w:lang w:eastAsia="zh-CN"/>
              </w:rPr>
              <w:t>First of all</w:t>
            </w:r>
            <w:proofErr w:type="gramEnd"/>
            <w:r>
              <w:rPr>
                <w:rFonts w:asciiTheme="minorHAnsi" w:eastAsiaTheme="minorEastAsia" w:hAnsiTheme="minorHAnsi" w:cstheme="minorHAnsi"/>
                <w:bCs/>
                <w:sz w:val="22"/>
                <w:szCs w:val="22"/>
                <w:lang w:eastAsia="zh-CN"/>
              </w:rPr>
              <w:t xml:space="preserve">,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 xml:space="preserve">FL Survey </w:t>
            </w:r>
            <w:proofErr w:type="gramStart"/>
            <w:r>
              <w:rPr>
                <w:rFonts w:ascii="Calibri" w:eastAsia="Calibri" w:hAnsi="Calibri"/>
                <w:bCs/>
                <w:sz w:val="22"/>
                <w:szCs w:val="22"/>
              </w:rPr>
              <w:t>3.1.1</w:t>
            </w:r>
            <w:r>
              <w:rPr>
                <w:rFonts w:asciiTheme="minorHAnsi" w:eastAsiaTheme="minorEastAsia" w:hAnsiTheme="minorHAnsi" w:cstheme="minorHAnsi"/>
                <w:bCs/>
                <w:sz w:val="22"/>
                <w:szCs w:val="22"/>
                <w:lang w:eastAsia="zh-CN"/>
              </w:rPr>
              <w:t xml:space="preserve">  becomes</w:t>
            </w:r>
            <w:proofErr w:type="gramEnd"/>
            <w:r>
              <w:rPr>
                <w:rFonts w:asciiTheme="minorHAnsi" w:eastAsiaTheme="minorEastAsia" w:hAnsiTheme="minorHAnsi" w:cstheme="minorHAnsi"/>
                <w:bCs/>
                <w:sz w:val="22"/>
                <w:szCs w:val="22"/>
                <w:lang w:eastAsia="zh-CN"/>
              </w:rPr>
              <w:t xml:space="preserve">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w:t>
            </w:r>
            <w:proofErr w:type="gramStart"/>
            <w:r>
              <w:rPr>
                <w:rFonts w:asciiTheme="minorHAnsi" w:eastAsia="Malgun Gothic" w:hAnsiTheme="minorHAnsi" w:cstheme="minorHAnsi"/>
                <w:bCs/>
                <w:sz w:val="22"/>
                <w:szCs w:val="22"/>
                <w:lang w:eastAsia="ja-JP"/>
              </w:rPr>
              <w:t>main focus</w:t>
            </w:r>
            <w:proofErr w:type="gramEnd"/>
            <w:r>
              <w:rPr>
                <w:rFonts w:asciiTheme="minorHAnsi" w:eastAsia="Malgun Gothic" w:hAnsiTheme="minorHAnsi" w:cstheme="minorHAnsi"/>
                <w:bCs/>
                <w:sz w:val="22"/>
                <w:szCs w:val="22"/>
                <w:lang w:eastAsia="ja-JP"/>
              </w:rPr>
              <w:t xml:space="preserve">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77777777" w:rsidR="00B90547" w:rsidRDefault="00C425F0">
      <w:pPr>
        <w:rPr>
          <w:rFonts w:ascii="Arial" w:hAnsi="Arial"/>
          <w:b/>
          <w:i/>
          <w:szCs w:val="20"/>
        </w:rPr>
      </w:pPr>
      <w:r>
        <w:br w:type="page"/>
      </w:r>
    </w:p>
    <w:p w14:paraId="1DBE9602" w14:textId="77777777" w:rsidR="00B90547" w:rsidRDefault="00C425F0">
      <w:pPr>
        <w:pStyle w:val="Heading1"/>
        <w:numPr>
          <w:ilvl w:val="0"/>
          <w:numId w:val="2"/>
        </w:numPr>
      </w:pPr>
      <w:r>
        <w:lastRenderedPageBreak/>
        <w:t>Summary</w:t>
      </w:r>
    </w:p>
    <w:p w14:paraId="338D7CC8" w14:textId="77777777" w:rsidR="00B90547" w:rsidRDefault="00C425F0">
      <w:pPr>
        <w:rPr>
          <w:rFonts w:asciiTheme="minorHAnsi" w:hAnsiTheme="minorHAnsi" w:cstheme="minorHAnsi"/>
          <w:b/>
          <w:bCs/>
          <w:sz w:val="28"/>
          <w:szCs w:val="28"/>
          <w:lang w:val="en-GB"/>
        </w:rPr>
      </w:pPr>
      <w:r>
        <w:rPr>
          <w:rFonts w:ascii="Calibri" w:hAnsi="Calibri" w:cs="Calibri"/>
          <w:color w:val="000000"/>
          <w:sz w:val="22"/>
          <w:szCs w:val="22"/>
          <w:highlight w:val="yellow"/>
        </w:rPr>
        <w:t>TBD</w: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7FD72" w14:textId="77777777" w:rsidR="0096104D" w:rsidRDefault="0096104D" w:rsidP="007471A0">
      <w:r>
        <w:separator/>
      </w:r>
    </w:p>
  </w:endnote>
  <w:endnote w:type="continuationSeparator" w:id="0">
    <w:p w14:paraId="7E4366C4" w14:textId="77777777" w:rsidR="0096104D" w:rsidRDefault="0096104D"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69192" w14:textId="77777777" w:rsidR="0096104D" w:rsidRDefault="0096104D" w:rsidP="007471A0">
      <w:r>
        <w:separator/>
      </w:r>
    </w:p>
  </w:footnote>
  <w:footnote w:type="continuationSeparator" w:id="0">
    <w:p w14:paraId="0420B3FD" w14:textId="77777777" w:rsidR="0096104D" w:rsidRDefault="0096104D"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6"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7"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3"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8"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5"/>
  </w:num>
  <w:num w:numId="3">
    <w:abstractNumId w:val="4"/>
  </w:num>
  <w:num w:numId="4">
    <w:abstractNumId w:val="6"/>
  </w:num>
  <w:num w:numId="5">
    <w:abstractNumId w:val="5"/>
  </w:num>
  <w:num w:numId="6">
    <w:abstractNumId w:val="17"/>
  </w:num>
  <w:num w:numId="7">
    <w:abstractNumId w:val="12"/>
  </w:num>
  <w:num w:numId="8">
    <w:abstractNumId w:val="7"/>
  </w:num>
  <w:num w:numId="9">
    <w:abstractNumId w:val="18"/>
  </w:num>
  <w:num w:numId="10">
    <w:abstractNumId w:val="16"/>
  </w:num>
  <w:num w:numId="11">
    <w:abstractNumId w:val="10"/>
  </w:num>
  <w:num w:numId="12">
    <w:abstractNumId w:val="11"/>
  </w:num>
  <w:num w:numId="13">
    <w:abstractNumId w:val="2"/>
  </w:num>
  <w:num w:numId="14">
    <w:abstractNumId w:val="1"/>
  </w:num>
  <w:num w:numId="15">
    <w:abstractNumId w:val="13"/>
  </w:num>
  <w:num w:numId="16">
    <w:abstractNumId w:val="8"/>
  </w:num>
  <w:num w:numId="17">
    <w:abstractNumId w:val="0"/>
  </w:num>
  <w:num w:numId="18">
    <w:abstractNumId w:val="19"/>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117BEA"/>
    <w:rsid w:val="001A0168"/>
    <w:rsid w:val="004E5679"/>
    <w:rsid w:val="005C3D33"/>
    <w:rsid w:val="00701FA1"/>
    <w:rsid w:val="007471A0"/>
    <w:rsid w:val="007B119D"/>
    <w:rsid w:val="008E3F3D"/>
    <w:rsid w:val="0096104D"/>
    <w:rsid w:val="00B125CB"/>
    <w:rsid w:val="00B90547"/>
    <w:rsid w:val="00C425F0"/>
    <w:rsid w:val="00F87AB4"/>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5800D7-CB32-4464-9197-ED69179D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9455</Words>
  <Characters>53900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Wei, Lili</cp:lastModifiedBy>
  <cp:revision>3</cp:revision>
  <cp:lastPrinted>2016-02-23T10:51:00Z</cp:lastPrinted>
  <dcterms:created xsi:type="dcterms:W3CDTF">2020-08-25T21:26:00Z</dcterms:created>
  <dcterms:modified xsi:type="dcterms:W3CDTF">2020-08-25T21:33:00Z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