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afa"/>
      </w:pPr>
    </w:p>
    <w:p w:rsidR="00D3703A" w:rsidRPr="00E26206" w:rsidRDefault="00881446" w:rsidP="00E26206">
      <w:pPr>
        <w:pStyle w:val="1"/>
        <w:rPr>
          <w:lang w:val="en-GB"/>
        </w:rPr>
      </w:pPr>
      <w:r>
        <w:rPr>
          <w:lang w:val="en-GB"/>
        </w:rPr>
        <w:t>Simultaneous Operation of Access and Backhaul Links</w:t>
      </w: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a"/>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a"/>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aa"/>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afc"/>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aa"/>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1:</w:t>
            </w:r>
            <w:r w:rsidRPr="009D50ED">
              <w:rPr>
                <w:rFonts w:asciiTheme="minorHAnsi" w:hAnsiTheme="minorHAnsi" w:cstheme="minorHAnsi"/>
                <w:sz w:val="20"/>
                <w:szCs w:val="20"/>
              </w:rPr>
              <w:t xml:space="preserve"> For MT-TX/DU-RX and MT-RX/DU-TX in paired spectrum, we propose </w:t>
            </w:r>
            <w:r w:rsidRPr="009D50ED">
              <w:rPr>
                <w:rFonts w:asciiTheme="minorHAnsi" w:hAnsiTheme="minorHAnsi" w:cstheme="minorHAnsi"/>
                <w:sz w:val="20"/>
                <w:szCs w:val="20"/>
              </w:rPr>
              <w:lastRenderedPageBreak/>
              <w:t>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1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afc"/>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lastRenderedPageBreak/>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游明朝" w:hAnsi="Calibri" w:cs="Calibri"/>
                <w:color w:val="000000"/>
                <w:sz w:val="22"/>
                <w:szCs w:val="22"/>
                <w:lang w:eastAsia="ja-JP"/>
              </w:rPr>
            </w:pPr>
            <w:r>
              <w:rPr>
                <w:rFonts w:ascii="Calibri" w:eastAsia="游明朝"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游明朝" w:hAnsi="Calibri" w:cs="Calibri"/>
                <w:color w:val="000000"/>
                <w:sz w:val="22"/>
                <w:szCs w:val="22"/>
                <w:lang w:eastAsia="ja-JP"/>
              </w:rPr>
            </w:pPr>
            <w:r>
              <w:rPr>
                <w:rFonts w:ascii="Calibri" w:eastAsia="游明朝"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游明朝" w:hAnsi="Calibri" w:cs="Calibri"/>
                <w:color w:val="000000"/>
                <w:sz w:val="22"/>
                <w:szCs w:val="22"/>
                <w:lang w:eastAsia="ja-JP"/>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afc"/>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afc"/>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afc"/>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 xml:space="preserve">(same problem as for unpaired </w:t>
            </w:r>
            <w:r w:rsidRPr="002454CA">
              <w:rPr>
                <w:rFonts w:ascii="Calibri" w:hAnsi="Calibri" w:cs="Calibri"/>
                <w:color w:val="000000"/>
                <w:sz w:val="22"/>
                <w:szCs w:val="22"/>
              </w:rPr>
              <w:lastRenderedPageBreak/>
              <w:t>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游明朝"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afc"/>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aa"/>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aa"/>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bl>
    <w:p w:rsidR="00091B15" w:rsidRDefault="00091B15" w:rsidP="00881446">
      <w:pPr>
        <w:rPr>
          <w:rFonts w:ascii="Calibri" w:eastAsia="Calibri" w:hAnsi="Calibri"/>
          <w:sz w:val="22"/>
          <w:szCs w:val="22"/>
        </w:rPr>
      </w:pP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aa"/>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aa"/>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aa"/>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aa"/>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D72E6E" w:rsidRDefault="004B324C" w:rsidP="006D0B5C">
            <w:pPr>
              <w:pStyle w:val="afa"/>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006D0B5C"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aa"/>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 xml:space="preserve">simultaneous and non-simultaneous operation can be </w:t>
            </w:r>
            <w:r w:rsidRPr="00D72E6E">
              <w:rPr>
                <w:rFonts w:asciiTheme="minorHAnsi" w:hAnsiTheme="minorHAnsi" w:cstheme="minorHAnsi"/>
                <w:b/>
                <w:i/>
                <w:sz w:val="20"/>
                <w:szCs w:val="20"/>
                <w:lang w:eastAsia="ko-KR"/>
              </w:rPr>
              <w:lastRenderedPageBreak/>
              <w:t>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aff6"/>
                <w:rFonts w:asciiTheme="minorHAnsi" w:hAnsiTheme="minorHAnsi" w:cstheme="minorHAnsi"/>
                <w:sz w:val="20"/>
                <w:szCs w:val="20"/>
                <w:u w:val="single"/>
              </w:rPr>
            </w:pPr>
            <w:r w:rsidRPr="00D72E6E">
              <w:rPr>
                <w:rStyle w:val="aff6"/>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D72E6E" w:rsidRDefault="00B0059E" w:rsidP="00B0059E">
            <w:pPr>
              <w:pStyle w:val="1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11"/>
              <w:jc w:val="both"/>
              <w:rPr>
                <w:rStyle w:val="aff6"/>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ja-JP"/>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ja-JP"/>
              </w:rPr>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ja-JP"/>
              </w:rPr>
              <w:lastRenderedPageBreak/>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ja-JP"/>
              </w:rPr>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aa"/>
        <w:spacing w:after="180" w:line="276" w:lineRule="auto"/>
        <w:rPr>
          <w:rFonts w:asciiTheme="minorHAnsi" w:hAnsiTheme="minorHAnsi" w:cstheme="minorHAnsi"/>
          <w:bCs/>
          <w:iCs/>
        </w:rPr>
      </w:pP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aa"/>
        <w:rPr>
          <w:b/>
          <w:lang w:eastAsia="zh-CN"/>
        </w:rPr>
      </w:pPr>
      <w:r>
        <w:rPr>
          <w:noProof/>
          <w:lang w:eastAsia="ja-JP"/>
        </w:rPr>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ja-JP"/>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aa"/>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aa"/>
        <w:rPr>
          <w:bCs/>
          <w:lang w:val="sv-SE" w:eastAsia="zh-CN"/>
        </w:rPr>
      </w:pPr>
    </w:p>
    <w:p w:rsidR="00C235E1" w:rsidRPr="00172E1F" w:rsidRDefault="00C235E1" w:rsidP="00844BEE">
      <w:pPr>
        <w:pStyle w:val="aa"/>
        <w:rPr>
          <w:bCs/>
          <w:lang w:val="sv-SE" w:eastAsia="zh-CN"/>
        </w:rPr>
      </w:pPr>
      <w:r w:rsidRPr="00172E1F">
        <w:rPr>
          <w:bCs/>
          <w:lang w:val="sv-SE" w:eastAsia="zh-CN"/>
        </w:rPr>
        <w:t xml:space="preserve">             </w:t>
      </w:r>
    </w:p>
    <w:p w:rsidR="00844BEE" w:rsidRPr="006B313E" w:rsidRDefault="00844BEE" w:rsidP="00844BEE">
      <w:pPr>
        <w:pStyle w:val="aa"/>
        <w:rPr>
          <w:b/>
          <w:lang w:val="sv-SE" w:eastAsia="zh-CN"/>
        </w:rPr>
      </w:pPr>
      <w:r>
        <w:rPr>
          <w:bCs/>
          <w:noProof/>
          <w:lang w:eastAsia="ja-JP"/>
        </w:rPr>
        <w:lastRenderedPageBreak/>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ja-JP"/>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aa"/>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aa"/>
        <w:spacing w:after="180" w:line="276" w:lineRule="auto"/>
        <w:rPr>
          <w:rFonts w:asciiTheme="minorHAnsi" w:hAnsiTheme="minorHAnsi" w:cstheme="minorHAnsi"/>
          <w:bCs/>
          <w:iCs/>
          <w:lang w:val="sv-SE"/>
        </w:rPr>
      </w:pPr>
    </w:p>
    <w:p w:rsidR="0088397B" w:rsidRDefault="0088397B"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aa"/>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afc"/>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aa"/>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lastRenderedPageBreak/>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lastRenderedPageBreak/>
              <w:t>CLI  + self-</w:t>
            </w:r>
            <w:r w:rsidRPr="00FF2A63">
              <w:rPr>
                <w:rFonts w:ascii="Calibri" w:hAnsi="Calibri"/>
                <w:sz w:val="18"/>
                <w:szCs w:val="18"/>
              </w:rPr>
              <w:lastRenderedPageBreak/>
              <w:t>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lastRenderedPageBreak/>
              <w:t xml:space="preserve">May need to consider </w:t>
            </w:r>
            <w:r>
              <w:rPr>
                <w:rFonts w:ascii="Calibri" w:hAnsi="Calibri"/>
                <w:sz w:val="18"/>
                <w:szCs w:val="18"/>
              </w:rPr>
              <w:lastRenderedPageBreak/>
              <w:t>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lastRenderedPageBreak/>
              <w:t xml:space="preserve">Consider both access and </w:t>
            </w:r>
            <w:r>
              <w:rPr>
                <w:rFonts w:ascii="Calibri" w:hAnsi="Calibri"/>
                <w:sz w:val="18"/>
                <w:szCs w:val="18"/>
              </w:rPr>
              <w:lastRenderedPageBreak/>
              <w:t>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lastRenderedPageBreak/>
              <w:t>T</w:t>
            </w:r>
            <w:r w:rsidR="00104AA3">
              <w:rPr>
                <w:rFonts w:ascii="Calibri" w:hAnsi="Calibri"/>
                <w:sz w:val="18"/>
                <w:szCs w:val="18"/>
              </w:rPr>
              <w:t xml:space="preserve">iming alignment not </w:t>
            </w:r>
            <w:r w:rsidR="00104AA3">
              <w:rPr>
                <w:rFonts w:ascii="Calibri" w:hAnsi="Calibri"/>
                <w:sz w:val="18"/>
                <w:szCs w:val="18"/>
              </w:rPr>
              <w:lastRenderedPageBreak/>
              <w:t>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lastRenderedPageBreak/>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case-</w:t>
            </w:r>
            <w:r w:rsidR="00B71F2D" w:rsidRPr="00B71F2D">
              <w:rPr>
                <w:rFonts w:asciiTheme="minorHAnsi" w:eastAsia="Malgun Gothic"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Malgun Gothic"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Malgun Gothic"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09" w:type="dxa"/>
          </w:tcPr>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“Antenna/RF front-end impact”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w:t>
            </w:r>
            <w:r>
              <w:rPr>
                <w:rFonts w:ascii="Calibri" w:eastAsia="SimSun" w:hAnsi="Calibri" w:hint="eastAsia"/>
                <w:bCs/>
                <w:sz w:val="22"/>
                <w:szCs w:val="22"/>
                <w:lang w:eastAsia="zh-CN"/>
              </w:rPr>
              <w:t>Case 1</w:t>
            </w:r>
            <w:r>
              <w:rPr>
                <w:rFonts w:ascii="Calibri" w:eastAsia="SimSun" w:hAnsi="Calibri"/>
                <w:bCs/>
                <w:sz w:val="22"/>
                <w:szCs w:val="22"/>
                <w:lang w:eastAsia="zh-CN"/>
              </w:rPr>
              <w:t xml:space="preserve">. It seems simultaneous Tx from DU and MT should have at least one RF architecture impact regarding to whether DU and MT share the same PA or not. </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
                <w:sz w:val="22"/>
                <w:szCs w:val="22"/>
                <w:lang w:eastAsia="zh-CN"/>
              </w:rPr>
            </w:pPr>
          </w:p>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Power control</w:t>
            </w:r>
            <w:r>
              <w:rPr>
                <w:rFonts w:ascii="Calibri" w:eastAsia="SimSun" w:hAnsi="Calibri"/>
                <w:b/>
                <w:sz w:val="22"/>
                <w:szCs w:val="22"/>
                <w:lang w:eastAsia="zh-CN"/>
              </w:rPr>
              <w: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hint="eastAsia"/>
                <w:bCs/>
                <w:sz w:val="22"/>
                <w:szCs w:val="22"/>
                <w:lang w:eastAsia="zh-CN"/>
              </w:rPr>
              <w:t>Existing PC may not be able to completely solve the problem of power sharing</w:t>
            </w:r>
            <w:r>
              <w:rPr>
                <w:rFonts w:ascii="Calibri" w:eastAsia="SimSun" w:hAnsi="Calibri"/>
                <w:bCs/>
                <w:sz w:val="22"/>
                <w:szCs w:val="22"/>
                <w:lang w:eastAsia="zh-CN"/>
              </w:rPr>
              <w:t>. In addition,</w:t>
            </w:r>
            <w:r>
              <w:rPr>
                <w:rFonts w:ascii="Calibri" w:eastAsia="SimSun" w:hAnsi="Calibri" w:hint="eastAsia"/>
                <w:bCs/>
                <w:sz w:val="22"/>
                <w:szCs w:val="22"/>
                <w:lang w:eastAsia="zh-CN"/>
              </w:rPr>
              <w:t xml:space="preserve"> there is no DL power control in current spec.</w:t>
            </w:r>
          </w:p>
          <w:p w:rsidR="001A7ABB" w:rsidRDefault="001A7ABB" w:rsidP="00D16385">
            <w:pPr>
              <w:rPr>
                <w:rFonts w:ascii="Calibri" w:eastAsia="SimSun" w:hAnsi="Calibri"/>
                <w:bCs/>
                <w:sz w:val="22"/>
                <w:szCs w:val="22"/>
                <w:lang w:eastAsia="zh-CN"/>
              </w:rPr>
            </w:pPr>
          </w:p>
          <w:p w:rsidR="001A7ABB" w:rsidRPr="009429AE" w:rsidRDefault="001A7ABB" w:rsidP="00D16385">
            <w:pPr>
              <w:rPr>
                <w:rFonts w:ascii="Calibri" w:eastAsia="SimSun" w:hAnsi="Calibri"/>
                <w:b/>
                <w:bCs/>
                <w:sz w:val="22"/>
                <w:szCs w:val="22"/>
                <w:lang w:eastAsia="zh-CN"/>
              </w:rPr>
            </w:pPr>
            <w:r w:rsidRPr="009429AE">
              <w:rPr>
                <w:rFonts w:ascii="Calibri" w:eastAsia="SimSun" w:hAnsi="Calibri"/>
                <w:b/>
                <w:bCs/>
                <w:sz w:val="22"/>
                <w:szCs w:val="22"/>
                <w:lang w:eastAsia="zh-CN"/>
              </w:rPr>
              <w:t>For factor “Interference type”:</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“Resource partitioning</w:t>
            </w:r>
            <w:r>
              <w:rPr>
                <w:rFonts w:ascii="Calibri" w:eastAsia="SimSun" w:hAnsi="Calibri" w:hint="eastAsia"/>
                <w:b/>
                <w:sz w:val="22"/>
                <w:szCs w:val="22"/>
                <w:lang w:eastAsia="zh-CN"/>
              </w:rPr>
              <w:t>"</w:t>
            </w:r>
            <w:r>
              <w:rPr>
                <w:rFonts w:ascii="Calibri" w:eastAsia="SimSun" w:hAnsi="Calibri" w:hint="eastAsia"/>
                <w:bCs/>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Timing</w:t>
            </w:r>
            <w:r>
              <w:rPr>
                <w:rFonts w:ascii="Calibri" w:eastAsia="SimSun" w:hAnsi="Calibri"/>
                <w:b/>
                <w:sz w:val="22"/>
                <w:szCs w:val="22"/>
                <w:lang w:eastAsia="zh-CN"/>
              </w:rPr>
              <w:t>”</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w:t>
            </w:r>
            <w:r>
              <w:rPr>
                <w:rFonts w:ascii="Calibri" w:eastAsia="SimSun" w:hAnsi="Calibri"/>
                <w:bCs/>
                <w:sz w:val="22"/>
                <w:szCs w:val="22"/>
                <w:lang w:eastAsia="zh-CN"/>
              </w:rPr>
              <w:lastRenderedPageBreak/>
              <w:t xml:space="preserve">looks ok in theory but can have serious problem in practice: </w:t>
            </w:r>
          </w:p>
          <w:p w:rsidR="001A7ABB" w:rsidRPr="0022130F" w:rsidRDefault="001A7ABB" w:rsidP="00D16385">
            <w:pPr>
              <w:pStyle w:val="aa"/>
              <w:numPr>
                <w:ilvl w:val="0"/>
                <w:numId w:val="3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游明朝" w:hAnsi="Calibri"/>
                <w:bCs/>
                <w:sz w:val="22"/>
                <w:szCs w:val="22"/>
                <w:lang w:eastAsia="ja-JP"/>
              </w:rPr>
            </w:pPr>
            <w:r>
              <w:rPr>
                <w:rFonts w:ascii="Calibri" w:eastAsia="游明朝" w:hAnsi="Calibri"/>
                <w:bCs/>
                <w:sz w:val="22"/>
                <w:szCs w:val="22"/>
                <w:lang w:eastAsia="ja-JP"/>
              </w:rPr>
              <w:t>Partially</w:t>
            </w:r>
            <w:r>
              <w:rPr>
                <w:rFonts w:ascii="Calibri" w:eastAsia="游明朝" w:hAnsi="Calibri" w:hint="eastAsia"/>
                <w:bCs/>
                <w:sz w:val="22"/>
                <w:szCs w:val="22"/>
                <w:lang w:eastAsia="ja-JP"/>
              </w:rPr>
              <w:t xml:space="preserve"> Yes</w:t>
            </w:r>
          </w:p>
        </w:tc>
        <w:tc>
          <w:tcPr>
            <w:tcW w:w="6109" w:type="dxa"/>
          </w:tcPr>
          <w:p w:rsidR="006B313E" w:rsidRPr="007D26B3" w:rsidRDefault="006B313E" w:rsidP="006B313E">
            <w:pPr>
              <w:rPr>
                <w:rFonts w:ascii="Calibri" w:eastAsia="游明朝" w:hAnsi="Calibri"/>
                <w:bCs/>
                <w:sz w:val="22"/>
                <w:szCs w:val="22"/>
                <w:lang w:eastAsia="ja-JP"/>
              </w:rPr>
            </w:pPr>
            <w:r w:rsidRPr="007D26B3">
              <w:rPr>
                <w:rFonts w:ascii="Calibri" w:eastAsia="游明朝" w:hAnsi="Calibri" w:hint="eastAsia"/>
                <w:bCs/>
                <w:sz w:val="22"/>
                <w:szCs w:val="22"/>
                <w:lang w:eastAsia="ja-JP"/>
              </w:rPr>
              <w:t xml:space="preserve">We think Case 3 and Case 4 may be </w:t>
            </w:r>
            <w:r w:rsidRPr="007D26B3">
              <w:rPr>
                <w:rFonts w:ascii="Calibri" w:eastAsia="游明朝" w:hAnsi="Calibri"/>
                <w:bCs/>
                <w:sz w:val="22"/>
                <w:szCs w:val="22"/>
                <w:lang w:eastAsia="ja-JP"/>
              </w:rPr>
              <w:t>realized</w:t>
            </w:r>
            <w:r w:rsidRPr="007D26B3">
              <w:rPr>
                <w:rFonts w:ascii="Calibri" w:eastAsia="游明朝" w:hAnsi="Calibri" w:hint="eastAsia"/>
                <w:bCs/>
                <w:sz w:val="22"/>
                <w:szCs w:val="22"/>
                <w:lang w:eastAsia="ja-JP"/>
              </w:rPr>
              <w:t xml:space="preserve"> </w:t>
            </w:r>
            <w:r w:rsidRPr="007D26B3">
              <w:rPr>
                <w:rFonts w:ascii="Calibri" w:eastAsia="游明朝" w:hAnsi="Calibri"/>
                <w:bCs/>
                <w:sz w:val="22"/>
                <w:szCs w:val="22"/>
                <w:lang w:eastAsia="ja-JP"/>
              </w:rPr>
              <w:t>by only int</w:t>
            </w:r>
            <w:r>
              <w:rPr>
                <w:rFonts w:ascii="Calibri" w:eastAsia="游明朝" w:hAnsi="Calibri"/>
                <w:bCs/>
                <w:sz w:val="22"/>
                <w:szCs w:val="22"/>
                <w:lang w:eastAsia="ja-JP"/>
              </w:rPr>
              <w:t>er</w:t>
            </w:r>
            <w:r w:rsidRPr="007D26B3">
              <w:rPr>
                <w:rFonts w:ascii="Calibri" w:eastAsia="游明朝"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游明朝" w:hAnsi="Calibri"/>
                <w:bCs/>
                <w:sz w:val="22"/>
                <w:szCs w:val="22"/>
                <w:lang w:eastAsia="ja-JP"/>
              </w:rPr>
              <w:t>configuration, and self-</w:t>
            </w:r>
            <w:r w:rsidRPr="007D26B3">
              <w:rPr>
                <w:rFonts w:ascii="Calibri" w:eastAsia="游明朝" w:hAnsi="Calibri"/>
                <w:bCs/>
                <w:sz w:val="22"/>
                <w:szCs w:val="22"/>
                <w:lang w:eastAsia="ja-JP"/>
              </w:rPr>
              <w:t>interference may be up to IAB-node implementation.</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2"/>
        <w:rPr>
          <w:rFonts w:eastAsia="ＭＳ Ｐゴシック"/>
          <w:sz w:val="24"/>
          <w:szCs w:val="18"/>
        </w:rPr>
      </w:pPr>
      <w:r w:rsidRPr="00503FA8">
        <w:rPr>
          <w:rFonts w:eastAsia="ＭＳ Ｐゴシック"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aa"/>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aa"/>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aa"/>
              <w:numPr>
                <w:ilvl w:val="0"/>
                <w:numId w:val="23"/>
              </w:numPr>
              <w:autoSpaceDE w:val="0"/>
              <w:autoSpaceDN w:val="0"/>
              <w:adjustRightInd w:val="0"/>
              <w:snapToGrid w:val="0"/>
              <w:spacing w:before="0"/>
              <w:contextualSpacing w:val="0"/>
              <w:rPr>
                <w:rFonts w:eastAsia="DengXian"/>
              </w:rPr>
            </w:pPr>
            <w:r>
              <w:rPr>
                <w:i/>
                <w:lang w:eastAsia="zh-CN"/>
              </w:rPr>
              <w:t>PRACH</w:t>
            </w:r>
          </w:p>
          <w:p w:rsidR="006D0B5C" w:rsidRPr="00F12445" w:rsidRDefault="006D0B5C" w:rsidP="008D2178">
            <w:pPr>
              <w:pStyle w:val="aa"/>
              <w:numPr>
                <w:ilvl w:val="0"/>
                <w:numId w:val="23"/>
              </w:numPr>
              <w:autoSpaceDE w:val="0"/>
              <w:autoSpaceDN w:val="0"/>
              <w:adjustRightInd w:val="0"/>
              <w:snapToGrid w:val="0"/>
              <w:spacing w:before="0"/>
              <w:contextualSpacing w:val="0"/>
              <w:rPr>
                <w:rFonts w:eastAsia="DengXian"/>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7B5DC5" w:rsidRDefault="004B324C" w:rsidP="00A83639">
            <w:pPr>
              <w:pStyle w:val="afa"/>
              <w:rPr>
                <w:rFonts w:eastAsiaTheme="minorEastAsia"/>
                <w:b/>
                <w:i/>
                <w:lang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_Ref47611253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afa"/>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afa"/>
              <w:numPr>
                <w:ilvl w:val="0"/>
                <w:numId w:val="26"/>
              </w:numPr>
              <w:spacing w:after="120" w:line="240" w:lineRule="auto"/>
              <w:jc w:val="both"/>
              <w:rPr>
                <w:rFonts w:eastAsia="SimSun"/>
                <w:b/>
                <w:lang w:val="fr-FR" w:eastAsia="zh-CN"/>
              </w:rPr>
            </w:pPr>
            <w:r w:rsidRPr="007B5DC5">
              <w:rPr>
                <w:rFonts w:eastAsiaTheme="minorEastAsia"/>
                <w:b/>
                <w:i/>
                <w:lang w:eastAsia="zh-CN"/>
              </w:rPr>
              <w:lastRenderedPageBreak/>
              <w:t>Coordination between parent node and child node.</w:t>
            </w:r>
            <w:r w:rsidR="004B324C" w:rsidRPr="00A70086">
              <w:rPr>
                <w:rFonts w:eastAsia="SimSun"/>
                <w:b/>
                <w:lang w:val="fr-FR" w:eastAsia="zh-CN"/>
              </w:rPr>
              <w:fldChar w:fldCharType="end"/>
            </w:r>
          </w:p>
          <w:p w:rsidR="006D0B5C" w:rsidRPr="00A70086" w:rsidRDefault="004B324C" w:rsidP="00A83639">
            <w:pPr>
              <w:pStyle w:val="afa"/>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_Ref47611256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SimSun"/>
                <w:b/>
                <w:lang w:val="fr-FR" w:eastAsia="zh-CN"/>
              </w:rPr>
              <w:fldChar w:fldCharType="end"/>
            </w:r>
          </w:p>
          <w:p w:rsidR="006D0B5C" w:rsidRPr="00A70086" w:rsidRDefault="004B324C" w:rsidP="00A83639">
            <w:pPr>
              <w:pStyle w:val="afa"/>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_Ref47611260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Enhance frequency domain resource configuration to support FDMed and SDMed resource multiplexing between backhaul link and access link.</w:t>
            </w:r>
            <w:r w:rsidRPr="00A70086">
              <w:rPr>
                <w:rFonts w:eastAsia="SimSun"/>
                <w:b/>
                <w:lang w:val="fr-FR" w:eastAsia="zh-CN"/>
              </w:rPr>
              <w:fldChar w:fldCharType="end"/>
            </w:r>
          </w:p>
          <w:p w:rsidR="006D0B5C" w:rsidRPr="00A70086" w:rsidRDefault="00221B6E" w:rsidP="00A83639">
            <w:pPr>
              <w:pStyle w:val="afa"/>
              <w:rPr>
                <w:rFonts w:eastAsia="SimSun"/>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afa"/>
              <w:rPr>
                <w:rFonts w:eastAsia="SimSun"/>
                <w:b/>
                <w:lang w:val="fr-FR" w:eastAsia="zh-CN"/>
              </w:rPr>
            </w:pPr>
            <w:r>
              <w:fldChar w:fldCharType="begin"/>
            </w:r>
            <w:r>
              <w:instrText xml:space="preserve"> REF _Ref47611267 \h  \* MER</w:instrText>
            </w:r>
            <w:r>
              <w:instrText xml:space="preserve">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afa"/>
              <w:rPr>
                <w:rFonts w:eastAsia="SimSun"/>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w:t>
            </w:r>
            <w:r w:rsidRPr="00AB254C">
              <w:lastRenderedPageBreak/>
              <w:t>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rsidR="00392E52" w:rsidRPr="00AA3DC9" w:rsidRDefault="00392E52" w:rsidP="00392E52">
            <w:pPr>
              <w:rPr>
                <w:rFonts w:eastAsia="SimSun"/>
                <w:b/>
                <w:bCs/>
                <w:sz w:val="22"/>
                <w:szCs w:val="18"/>
                <w:lang w:eastAsia="zh-CN"/>
              </w:rPr>
            </w:pPr>
          </w:p>
          <w:p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rsidR="00392E52" w:rsidRPr="00856E86" w:rsidRDefault="00392E52" w:rsidP="008D2178">
            <w:pPr>
              <w:pStyle w:val="aa"/>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rsidR="00392E52" w:rsidRPr="00856E86" w:rsidRDefault="00392E52" w:rsidP="008D2178">
            <w:pPr>
              <w:pStyle w:val="aa"/>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rsidR="00392E52" w:rsidRDefault="00392E52" w:rsidP="00392E52">
            <w:pPr>
              <w:rPr>
                <w:rFonts w:eastAsia="SimSun"/>
                <w:b/>
                <w:bCs/>
                <w:sz w:val="22"/>
                <w:szCs w:val="18"/>
                <w:u w:val="single"/>
                <w:lang w:eastAsia="zh-CN"/>
              </w:rPr>
            </w:pPr>
          </w:p>
          <w:p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游明朝"/>
                <w:b/>
                <w:sz w:val="22"/>
                <w:szCs w:val="22"/>
              </w:rPr>
            </w:pPr>
            <w:r w:rsidRPr="00832210">
              <w:rPr>
                <w:rFonts w:eastAsia="游明朝"/>
                <w:b/>
                <w:sz w:val="22"/>
                <w:szCs w:val="22"/>
                <w:u w:val="single"/>
              </w:rPr>
              <w:t>Proposal</w:t>
            </w:r>
            <w:r>
              <w:rPr>
                <w:rFonts w:eastAsia="游明朝"/>
                <w:b/>
                <w:sz w:val="22"/>
                <w:szCs w:val="22"/>
                <w:u w:val="single"/>
              </w:rPr>
              <w:t>4</w:t>
            </w:r>
            <w:r w:rsidRPr="00832210">
              <w:rPr>
                <w:rFonts w:eastAsia="游明朝" w:hint="eastAsia"/>
                <w:b/>
                <w:sz w:val="22"/>
                <w:szCs w:val="22"/>
              </w:rPr>
              <w:t>:</w:t>
            </w:r>
            <w:r>
              <w:rPr>
                <w:rFonts w:eastAsia="游明朝"/>
                <w:b/>
                <w:sz w:val="22"/>
                <w:szCs w:val="22"/>
              </w:rPr>
              <w:t xml:space="preserve"> Both semi-static signaling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4F4239" w:rsidRDefault="00392E52" w:rsidP="00392E52">
            <w:pPr>
              <w:rPr>
                <w:rStyle w:val="aff6"/>
                <w:u w:val="single"/>
              </w:rPr>
            </w:pPr>
            <w:r w:rsidRPr="004F4239">
              <w:rPr>
                <w:rStyle w:val="aff6"/>
                <w:u w:val="single"/>
              </w:rPr>
              <w:t>Proposal</w:t>
            </w:r>
            <w:r>
              <w:rPr>
                <w:rStyle w:val="aff6"/>
                <w:u w:val="single"/>
              </w:rPr>
              <w:t xml:space="preserve"> 1</w:t>
            </w:r>
            <w:r w:rsidRPr="004F4239">
              <w:rPr>
                <w:rStyle w:val="aff6"/>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aff6"/>
                <w:u w:val="single"/>
              </w:rPr>
            </w:pPr>
          </w:p>
          <w:p w:rsidR="00392E52" w:rsidRPr="004F4239" w:rsidRDefault="00392E52" w:rsidP="00392E52">
            <w:pPr>
              <w:rPr>
                <w:rStyle w:val="aff6"/>
                <w:u w:val="single"/>
              </w:rPr>
            </w:pPr>
            <w:r w:rsidRPr="004F4239">
              <w:rPr>
                <w:rStyle w:val="aff6"/>
                <w:u w:val="single"/>
              </w:rPr>
              <w:t>Proposal</w:t>
            </w:r>
            <w:r>
              <w:rPr>
                <w:rStyle w:val="aff6"/>
                <w:u w:val="single"/>
              </w:rPr>
              <w:t xml:space="preserve"> 2</w:t>
            </w:r>
            <w:r w:rsidRPr="004F4239">
              <w:rPr>
                <w:rStyle w:val="aff6"/>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rsidR="00B0059E" w:rsidRPr="00CB3AA3" w:rsidRDefault="00B0059E" w:rsidP="00B0059E">
            <w:pPr>
              <w:pStyle w:val="1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1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11"/>
              <w:jc w:val="both"/>
              <w:rPr>
                <w:rStyle w:val="aff6"/>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aa"/>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afc"/>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prefer to ha</w:t>
            </w:r>
            <w:r w:rsidR="0050018F">
              <w:rPr>
                <w:rFonts w:asciiTheme="minorHAnsi" w:eastAsia="Malgun Gothic" w:hAnsiTheme="minorHAnsi" w:cstheme="minorHAnsi"/>
                <w:bCs/>
                <w:sz w:val="22"/>
                <w:szCs w:val="22"/>
                <w:lang w:eastAsia="ko-KR"/>
              </w:rPr>
              <w:t>ve a basket agreement by covering</w:t>
            </w:r>
            <w:r>
              <w:rPr>
                <w:rFonts w:asciiTheme="minorHAnsi" w:eastAsia="Malgun Gothic"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Agree with main text</w:t>
            </w:r>
          </w:p>
        </w:tc>
        <w:tc>
          <w:tcPr>
            <w:tcW w:w="6109" w:type="dxa"/>
          </w:tcPr>
          <w:p w:rsidR="006B313E"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 xml:space="preserve">We have </w:t>
            </w:r>
            <w:r>
              <w:rPr>
                <w:rFonts w:ascii="Calibri" w:eastAsia="游明朝" w:hAnsi="Calibri"/>
                <w:bCs/>
                <w:sz w:val="22"/>
                <w:szCs w:val="22"/>
                <w:lang w:eastAsia="ja-JP"/>
              </w:rPr>
              <w:t xml:space="preserve">two </w:t>
            </w:r>
            <w:r>
              <w:rPr>
                <w:rFonts w:ascii="Calibri" w:eastAsia="游明朝" w:hAnsi="Calibri" w:hint="eastAsia"/>
                <w:bCs/>
                <w:sz w:val="22"/>
                <w:szCs w:val="22"/>
                <w:lang w:eastAsia="ja-JP"/>
              </w:rPr>
              <w:t>concern</w:t>
            </w:r>
            <w:r>
              <w:rPr>
                <w:rFonts w:ascii="Calibri" w:eastAsia="游明朝" w:hAnsi="Calibri"/>
                <w:bCs/>
                <w:sz w:val="22"/>
                <w:szCs w:val="22"/>
                <w:lang w:eastAsia="ja-JP"/>
              </w:rPr>
              <w:t>s</w:t>
            </w:r>
            <w:r>
              <w:rPr>
                <w:rFonts w:ascii="Calibri" w:eastAsia="游明朝" w:hAnsi="Calibri" w:hint="eastAsia"/>
                <w:bCs/>
                <w:sz w:val="22"/>
                <w:szCs w:val="22"/>
                <w:lang w:eastAsia="ja-JP"/>
              </w:rPr>
              <w:t xml:space="preserve"> for the sub bullet</w:t>
            </w:r>
            <w:r>
              <w:rPr>
                <w:rFonts w:ascii="Calibri" w:eastAsia="游明朝" w:hAnsi="Calibri"/>
                <w:bCs/>
                <w:sz w:val="22"/>
                <w:szCs w:val="22"/>
                <w:lang w:eastAsia="ja-JP"/>
              </w:rPr>
              <w:t>.</w:t>
            </w:r>
          </w:p>
          <w:p w:rsidR="006B313E" w:rsidRDefault="006B313E" w:rsidP="006B313E">
            <w:pPr>
              <w:rPr>
                <w:rFonts w:ascii="Calibri" w:eastAsia="游明朝" w:hAnsi="Calibri"/>
                <w:bCs/>
                <w:sz w:val="22"/>
                <w:szCs w:val="22"/>
                <w:lang w:eastAsia="ja-JP"/>
              </w:rPr>
            </w:pPr>
            <w:r>
              <w:rPr>
                <w:rFonts w:ascii="Calibri" w:eastAsia="游明朝" w:hAnsi="Calibri"/>
                <w:bCs/>
                <w:sz w:val="22"/>
                <w:szCs w:val="22"/>
                <w:lang w:eastAsia="ja-JP"/>
              </w:rPr>
              <w:t>1.</w:t>
            </w:r>
            <w:r>
              <w:rPr>
                <w:rFonts w:ascii="Calibri" w:eastAsia="游明朝" w:hAnsi="Calibri" w:hint="eastAsia"/>
                <w:bCs/>
                <w:sz w:val="22"/>
                <w:szCs w:val="22"/>
                <w:lang w:eastAsia="ja-JP"/>
              </w:rPr>
              <w:t xml:space="preserve"> </w:t>
            </w:r>
            <w:r>
              <w:rPr>
                <w:rFonts w:ascii="Calibri" w:eastAsia="游明朝" w:hAnsi="Calibri"/>
                <w:bCs/>
                <w:sz w:val="22"/>
                <w:szCs w:val="22"/>
                <w:lang w:eastAsia="ja-JP"/>
              </w:rPr>
              <w:t>I</w:t>
            </w:r>
            <w:r>
              <w:rPr>
                <w:rFonts w:ascii="Calibri" w:eastAsia="游明朝" w:hAnsi="Calibri" w:hint="eastAsia"/>
                <w:bCs/>
                <w:sz w:val="22"/>
                <w:szCs w:val="22"/>
                <w:lang w:eastAsia="ja-JP"/>
              </w:rPr>
              <w:t xml:space="preserve">t seems that </w:t>
            </w:r>
            <w:r>
              <w:rPr>
                <w:rFonts w:ascii="Calibri" w:eastAsia="游明朝" w:hAnsi="Calibri"/>
                <w:bCs/>
                <w:sz w:val="22"/>
                <w:szCs w:val="22"/>
                <w:lang w:eastAsia="ja-JP"/>
              </w:rPr>
              <w:t>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6B313E" w:rsidRPr="007D26B3" w:rsidRDefault="006B313E" w:rsidP="006B313E">
            <w:pPr>
              <w:rPr>
                <w:rFonts w:ascii="Calibri" w:eastAsia="游明朝" w:hAnsi="Calibri"/>
                <w:bCs/>
                <w:sz w:val="22"/>
                <w:szCs w:val="22"/>
                <w:lang w:eastAsia="ja-JP"/>
              </w:rPr>
            </w:pPr>
            <w:r>
              <w:rPr>
                <w:rFonts w:ascii="Calibri" w:eastAsia="游明朝" w:hAnsi="Calibri"/>
                <w:bCs/>
                <w:sz w:val="22"/>
                <w:szCs w:val="22"/>
                <w:lang w:eastAsia="ja-JP"/>
              </w:rPr>
              <w:t>2. “child IAB-DU” should be “IAB-DU” since we think simultaneous operation between IAB-DU and IAB-MT is not related to the configuration of its childe node DU.</w:t>
            </w: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lastRenderedPageBreak/>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aa"/>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aa"/>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aa"/>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aa"/>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aa"/>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Mostly Yes</w:t>
            </w:r>
          </w:p>
        </w:tc>
        <w:tc>
          <w:tcPr>
            <w:tcW w:w="6109" w:type="dxa"/>
          </w:tcPr>
          <w:p w:rsidR="006B313E" w:rsidRPr="007D26B3"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In our understanding, 2</w:t>
            </w:r>
            <w:r w:rsidRPr="007D26B3">
              <w:rPr>
                <w:rFonts w:ascii="Calibri" w:eastAsia="游明朝" w:hAnsi="Calibri" w:hint="eastAsia"/>
                <w:bCs/>
                <w:sz w:val="22"/>
                <w:szCs w:val="22"/>
                <w:vertAlign w:val="superscript"/>
                <w:lang w:eastAsia="ja-JP"/>
              </w:rPr>
              <w:t>nd</w:t>
            </w:r>
            <w:r>
              <w:rPr>
                <w:rFonts w:ascii="Calibri" w:eastAsia="游明朝" w:hAnsi="Calibri" w:hint="eastAsia"/>
                <w:bCs/>
                <w:sz w:val="22"/>
                <w:szCs w:val="22"/>
                <w:lang w:eastAsia="ja-JP"/>
              </w:rPr>
              <w:t xml:space="preserve"> </w:t>
            </w:r>
            <w:r>
              <w:rPr>
                <w:rFonts w:ascii="Calibri" w:eastAsia="游明朝" w:hAnsi="Calibri"/>
                <w:bCs/>
                <w:sz w:val="22"/>
                <w:szCs w:val="22"/>
                <w:lang w:eastAsia="ja-JP"/>
              </w:rPr>
              <w:t>bullet is for TDD pattern, not for the resource management, thus it’s better to capture this point in the bullet, for example “Enhancements to TDD UL/DL configuration for IAB-MT”.</w:t>
            </w: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lastRenderedPageBreak/>
        <w:br w:type="page"/>
      </w:r>
    </w:p>
    <w:p w:rsidR="00881446" w:rsidRPr="00881446" w:rsidRDefault="00881446" w:rsidP="00881446">
      <w:pPr>
        <w:pStyle w:val="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a"/>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a"/>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aa"/>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f6"/>
                <w:rFonts w:ascii="Calibri" w:hAnsi="Calibri" w:cs="Calibri"/>
                <w:sz w:val="20"/>
                <w:szCs w:val="20"/>
                <w:u w:val="single"/>
              </w:rPr>
            </w:pPr>
            <w:r w:rsidRPr="00CA0B9B">
              <w:rPr>
                <w:rStyle w:val="aff6"/>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1"/>
              <w:jc w:val="both"/>
              <w:rPr>
                <w:rStyle w:val="aff6"/>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Malgun Gothic" w:hAnsi="Calibri"/>
                <w:bCs/>
                <w:sz w:val="22"/>
                <w:szCs w:val="22"/>
                <w:lang w:eastAsia="ja-JP"/>
              </w:rPr>
            </w:pPr>
            <w:r>
              <w:rPr>
                <w:rFonts w:ascii="Calibri" w:eastAsia="SimSun" w:hAnsi="Calibri" w:cs="Calibri" w:hint="eastAsia"/>
                <w:color w:val="000000"/>
                <w:sz w:val="22"/>
                <w:szCs w:val="22"/>
                <w:lang w:eastAsia="zh-CN"/>
              </w:rPr>
              <w:t>ZTE</w:t>
            </w:r>
            <w:r>
              <w:rPr>
                <w:rFonts w:ascii="Calibri" w:eastAsia="Malgun Gothic" w:hAnsi="Calibri"/>
                <w:bCs/>
                <w:sz w:val="22"/>
                <w:szCs w:val="22"/>
                <w:lang w:eastAsia="ko-KR"/>
              </w:rPr>
              <w:t>, Sanechips</w:t>
            </w:r>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considered in Rel-17 </w:t>
            </w:r>
            <w:r>
              <w:rPr>
                <w:rFonts w:ascii="Calibri" w:eastAsiaTheme="minorEastAsia" w:hAnsi="Calibri" w:hint="eastAsia"/>
                <w:bCs/>
                <w:sz w:val="22"/>
                <w:szCs w:val="22"/>
                <w:lang w:eastAsia="zh-CN"/>
              </w:rPr>
              <w:lastRenderedPageBreak/>
              <w:t>IAB</w:t>
            </w:r>
          </w:p>
        </w:tc>
        <w:tc>
          <w:tcPr>
            <w:tcW w:w="6109" w:type="dxa"/>
          </w:tcPr>
          <w:p w:rsidR="001A7ABB" w:rsidRDefault="001A7ABB" w:rsidP="00D16385">
            <w:pPr>
              <w:rPr>
                <w:rFonts w:asciiTheme="minorHAnsi" w:eastAsia="SimSun" w:hAnsiTheme="minorHAnsi" w:cstheme="minorHAnsi"/>
                <w:bCs/>
                <w:sz w:val="22"/>
                <w:szCs w:val="22"/>
                <w:lang w:eastAsia="zh-CN"/>
              </w:rPr>
            </w:pPr>
            <w:r>
              <w:rPr>
                <w:rFonts w:ascii="Calibri" w:eastAsia="SimSun" w:hAnsi="Calibri"/>
                <w:bCs/>
                <w:sz w:val="22"/>
                <w:szCs w:val="22"/>
                <w:lang w:eastAsia="zh-CN"/>
              </w:rPr>
              <w:lastRenderedPageBreak/>
              <w:t xml:space="preserve">IAB MT should not go beyond what normal UE can support regarding to intra-carrier DC vs inter-carrier DC. Rel-17 IAB does not seem to have that kind of time budget to step ahead of UE </w:t>
            </w:r>
            <w:r>
              <w:rPr>
                <w:rFonts w:ascii="Calibri" w:eastAsia="SimSun" w:hAnsi="Calibri"/>
                <w:bCs/>
                <w:sz w:val="22"/>
                <w:szCs w:val="22"/>
                <w:lang w:eastAsia="zh-CN"/>
              </w:rPr>
              <w:lastRenderedPageBreak/>
              <w:t xml:space="preserve">features regarding to normal Uu link operations. </w:t>
            </w:r>
          </w:p>
        </w:tc>
      </w:tr>
      <w:tr w:rsidR="006B313E" w:rsidRPr="00710326" w:rsidTr="00A83639">
        <w:tc>
          <w:tcPr>
            <w:tcW w:w="1696"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游明朝" w:hAnsi="Calibri"/>
                <w:bCs/>
                <w:sz w:val="22"/>
                <w:szCs w:val="22"/>
                <w:lang w:eastAsia="ja-JP"/>
              </w:rPr>
            </w:pPr>
            <w:r>
              <w:rPr>
                <w:rFonts w:ascii="Calibri" w:eastAsia="游明朝" w:hAnsi="Calibri"/>
                <w:bCs/>
                <w:sz w:val="22"/>
                <w:szCs w:val="22"/>
                <w:lang w:eastAsia="ja-JP"/>
              </w:rPr>
              <w:t>Yes for inter-carrier DC</w:t>
            </w:r>
          </w:p>
        </w:tc>
        <w:tc>
          <w:tcPr>
            <w:tcW w:w="6109" w:type="dxa"/>
          </w:tcPr>
          <w:p w:rsidR="006B313E" w:rsidRDefault="006B313E" w:rsidP="006B313E">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rsidR="006B313E" w:rsidRPr="006F71C9" w:rsidRDefault="006B313E" w:rsidP="006B313E">
            <w:pPr>
              <w:rPr>
                <w:rFonts w:asciiTheme="minorHAnsi" w:eastAsia="游明朝" w:hAnsiTheme="minorHAnsi" w:cstheme="minorHAnsi"/>
                <w:bCs/>
                <w:sz w:val="22"/>
                <w:szCs w:val="22"/>
                <w:lang w:eastAsia="ja-JP"/>
              </w:rPr>
            </w:pPr>
            <w:r>
              <w:rPr>
                <w:rFonts w:asciiTheme="minorHAnsi" w:eastAsia="游明朝"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游明朝" w:hAnsiTheme="minorHAnsi" w:cstheme="minorHAnsi"/>
                <w:bCs/>
                <w:sz w:val="22"/>
                <w:szCs w:val="22"/>
                <w:lang w:eastAsia="ja-JP"/>
              </w:rPr>
              <w:t xml:space="preserve"> (e.g. f1+f2)</w:t>
            </w:r>
            <w:r>
              <w:rPr>
                <w:rFonts w:asciiTheme="minorHAnsi" w:eastAsia="游明朝" w:hAnsiTheme="minorHAnsi" w:cstheme="minorHAnsi" w:hint="eastAsia"/>
                <w:bCs/>
                <w:sz w:val="22"/>
                <w:szCs w:val="22"/>
                <w:lang w:eastAsia="ja-JP"/>
              </w:rPr>
              <w:t xml:space="preserve"> </w:t>
            </w:r>
            <w:r>
              <w:rPr>
                <w:rFonts w:asciiTheme="minorHAnsi" w:eastAsia="游明朝" w:hAnsiTheme="minorHAnsi" w:cstheme="minorHAnsi"/>
                <w:bCs/>
                <w:sz w:val="22"/>
                <w:szCs w:val="22"/>
                <w:lang w:eastAsia="ja-JP"/>
              </w:rPr>
              <w:t xml:space="preserve">fully or partially </w:t>
            </w:r>
            <w:r>
              <w:rPr>
                <w:rFonts w:asciiTheme="minorHAnsi" w:eastAsia="游明朝" w:hAnsiTheme="minorHAnsi" w:cstheme="minorHAnsi" w:hint="eastAsia"/>
                <w:bCs/>
                <w:sz w:val="22"/>
                <w:szCs w:val="22"/>
                <w:lang w:eastAsia="ja-JP"/>
              </w:rPr>
              <w:t>overlaps</w:t>
            </w:r>
            <w:r>
              <w:rPr>
                <w:rFonts w:asciiTheme="minorHAnsi" w:eastAsia="游明朝" w:hAnsiTheme="minorHAnsi" w:cstheme="minorHAnsi"/>
                <w:bCs/>
                <w:sz w:val="22"/>
                <w:szCs w:val="22"/>
                <w:lang w:eastAsia="ja-JP"/>
              </w:rPr>
              <w:t xml:space="preserve"> </w:t>
            </w:r>
            <w:r>
              <w:rPr>
                <w:rFonts w:asciiTheme="minorHAnsi" w:eastAsia="游明朝" w:hAnsiTheme="minorHAnsi" w:cstheme="minorHAnsi" w:hint="eastAsia"/>
                <w:bCs/>
                <w:sz w:val="22"/>
                <w:szCs w:val="22"/>
                <w:lang w:eastAsia="ja-JP"/>
              </w:rPr>
              <w:t xml:space="preserve"> with frequency bands for MT MSG</w:t>
            </w:r>
            <w:r>
              <w:rPr>
                <w:rFonts w:asciiTheme="minorHAnsi" w:eastAsia="游明朝" w:hAnsiTheme="minorHAnsi" w:cstheme="minorHAnsi"/>
                <w:bCs/>
                <w:sz w:val="22"/>
                <w:szCs w:val="22"/>
                <w:lang w:eastAsia="ja-JP"/>
              </w:rPr>
              <w:t xml:space="preserve"> (e.g. f1)</w:t>
            </w:r>
            <w:r>
              <w:rPr>
                <w:rFonts w:asciiTheme="minorHAnsi" w:eastAsia="游明朝" w:hAnsiTheme="minorHAnsi" w:cstheme="minorHAnsi" w:hint="eastAsia"/>
                <w:bCs/>
                <w:sz w:val="22"/>
                <w:szCs w:val="22"/>
                <w:lang w:eastAsia="ja-JP"/>
              </w:rPr>
              <w:t>/SSG</w:t>
            </w:r>
            <w:r>
              <w:rPr>
                <w:rFonts w:asciiTheme="minorHAnsi" w:eastAsia="游明朝" w:hAnsiTheme="minorHAnsi" w:cstheme="minorHAnsi"/>
                <w:bCs/>
                <w:sz w:val="22"/>
                <w:szCs w:val="22"/>
                <w:lang w:eastAsia="ja-JP"/>
              </w:rPr>
              <w:t xml:space="preserve"> (e.g. f2)</w:t>
            </w:r>
            <w:r>
              <w:rPr>
                <w:rFonts w:asciiTheme="minorHAnsi" w:eastAsia="游明朝" w:hAnsiTheme="minorHAnsi" w:cstheme="minorHAnsi" w:hint="eastAsia"/>
                <w:bCs/>
                <w:sz w:val="22"/>
                <w:szCs w:val="22"/>
                <w:lang w:eastAsia="ja-JP"/>
              </w:rPr>
              <w:t>.</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6B313E" w:rsidRPr="00710326" w:rsidTr="00091B15">
        <w:tc>
          <w:tcPr>
            <w:tcW w:w="1696"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2"/>
        <w:rPr>
          <w:rFonts w:ascii="Calibri" w:hAnsi="Calibri"/>
          <w:sz w:val="21"/>
          <w:szCs w:val="21"/>
        </w:rPr>
      </w:pPr>
      <w:r w:rsidRPr="00881446">
        <w:rPr>
          <w:rFonts w:eastAsia="ＭＳ Ｐゴシック"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a"/>
              <w:rPr>
                <w:rFonts w:asciiTheme="minorHAnsi" w:eastAsia="SimSun"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afa"/>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006D0B5C"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f6"/>
                <w:rFonts w:asciiTheme="minorHAnsi" w:hAnsiTheme="minorHAnsi" w:cstheme="minorHAnsi"/>
                <w:sz w:val="20"/>
                <w:szCs w:val="20"/>
                <w:u w:val="single"/>
              </w:rPr>
            </w:pPr>
            <w:r w:rsidRPr="00CA0B9B">
              <w:rPr>
                <w:rStyle w:val="aff6"/>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 xml:space="preserve">From a RAN1 perspective, the impact of multiple-parents scenarios on IAB-DU resource </w:t>
            </w:r>
            <w:r w:rsidRPr="00CA0B9B">
              <w:rPr>
                <w:rFonts w:asciiTheme="minorHAnsi" w:hAnsiTheme="minorHAnsi" w:cstheme="minorHAnsi"/>
                <w:b/>
                <w:bCs/>
                <w:sz w:val="20"/>
                <w:szCs w:val="20"/>
              </w:rPr>
              <w:lastRenderedPageBreak/>
              <w:t>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rsidR="00B0059E" w:rsidRPr="00CA0B9B" w:rsidRDefault="00B0059E" w:rsidP="00B0059E">
            <w:pPr>
              <w:pStyle w:val="11"/>
              <w:ind w:left="0" w:firstLine="0"/>
              <w:jc w:val="both"/>
              <w:rPr>
                <w:rStyle w:val="aff6"/>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Malgun Gothic" w:hAnsiTheme="minorHAnsi" w:cstheme="minorHAnsi"/>
                <w:bCs/>
                <w:sz w:val="22"/>
                <w:szCs w:val="22"/>
                <w:lang w:eastAsia="ja-JP"/>
              </w:rPr>
            </w:pPr>
          </w:p>
          <w:p w:rsidR="00944532" w:rsidRPr="00C22E00" w:rsidRDefault="00944532" w:rsidP="003B0BE8">
            <w:pPr>
              <w:rPr>
                <w:rFonts w:asciiTheme="minorHAnsi" w:eastAsia="Malgun Gothic"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游明朝" w:hAnsiTheme="minorHAnsi" w:cstheme="minorHAnsi"/>
                <w:bCs/>
                <w:sz w:val="22"/>
                <w:szCs w:val="22"/>
                <w:lang w:eastAsia="ja-JP"/>
              </w:rPr>
            </w:pPr>
            <w:r>
              <w:rPr>
                <w:rFonts w:asciiTheme="minorHAnsi" w:eastAsia="游明朝" w:hAnsiTheme="minorHAnsi" w:cstheme="minorHAnsi" w:hint="eastAsia"/>
                <w:bCs/>
                <w:sz w:val="22"/>
                <w:szCs w:val="22"/>
                <w:lang w:eastAsia="ja-JP"/>
              </w:rPr>
              <w:t>We prefer to consider</w:t>
            </w:r>
            <w:r>
              <w:rPr>
                <w:rFonts w:asciiTheme="minorHAnsi" w:eastAsia="游明朝" w:hAnsiTheme="minorHAnsi" w:cstheme="minorHAnsi"/>
                <w:bCs/>
                <w:sz w:val="22"/>
                <w:szCs w:val="22"/>
                <w:lang w:eastAsia="ja-JP"/>
              </w:rPr>
              <w:t xml:space="preserve"> only</w:t>
            </w:r>
            <w:r>
              <w:rPr>
                <w:rFonts w:asciiTheme="minorHAnsi" w:eastAsia="游明朝" w:hAnsiTheme="minorHAnsi" w:cstheme="minorHAnsi" w:hint="eastAsia"/>
                <w:bCs/>
                <w:sz w:val="22"/>
                <w:szCs w:val="22"/>
                <w:lang w:eastAsia="ja-JP"/>
              </w:rPr>
              <w:t xml:space="preserve"> inter-DC scenario.</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lastRenderedPageBreak/>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Malgun Gothic"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Default="00D16385" w:rsidP="003B0BE8">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09" w:type="dxa"/>
          </w:tcPr>
          <w:p w:rsidR="00D16385" w:rsidRDefault="0050018F"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w:t>
            </w:r>
            <w:r w:rsidR="00D16385">
              <w:rPr>
                <w:rFonts w:asciiTheme="minorHAnsi" w:eastAsia="Malgun Gothic"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aa"/>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aa"/>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D16385" w:rsidRPr="00710326" w:rsidTr="00091B15">
        <w:tc>
          <w:tcPr>
            <w:tcW w:w="1696" w:type="dxa"/>
          </w:tcPr>
          <w:p w:rsidR="00D16385" w:rsidRDefault="00D16385" w:rsidP="003B0BE8">
            <w:pPr>
              <w:rPr>
                <w:rFonts w:ascii="Calibri" w:eastAsia="Malgun Gothic" w:hAnsi="Calibri"/>
                <w:bCs/>
                <w:sz w:val="22"/>
                <w:szCs w:val="22"/>
                <w:lang w:eastAsia="ko-KR"/>
              </w:rPr>
            </w:pPr>
          </w:p>
        </w:tc>
        <w:tc>
          <w:tcPr>
            <w:tcW w:w="2265" w:type="dxa"/>
          </w:tcPr>
          <w:p w:rsidR="00D16385" w:rsidRDefault="00D16385" w:rsidP="003B0BE8">
            <w:pPr>
              <w:rPr>
                <w:rFonts w:ascii="Calibri" w:eastAsia="Malgun Gothic" w:hAnsi="Calibri"/>
                <w:bCs/>
                <w:sz w:val="22"/>
                <w:szCs w:val="22"/>
                <w:lang w:eastAsia="ko-KR"/>
              </w:rPr>
            </w:pPr>
          </w:p>
        </w:tc>
        <w:tc>
          <w:tcPr>
            <w:tcW w:w="6109" w:type="dxa"/>
          </w:tcPr>
          <w:p w:rsidR="00D16385" w:rsidRDefault="00D16385" w:rsidP="003B0BE8">
            <w:pPr>
              <w:rPr>
                <w:rFonts w:asciiTheme="minorHAnsi" w:eastAsia="Malgun Gothic" w:hAnsiTheme="minorHAnsi" w:cstheme="minorHAnsi"/>
                <w:bCs/>
                <w:sz w:val="22"/>
                <w:szCs w:val="22"/>
                <w:lang w:eastAsia="ko-KR"/>
              </w:rPr>
            </w:pPr>
          </w:p>
        </w:tc>
      </w:tr>
    </w:tbl>
    <w:p w:rsidR="00705902" w:rsidRDefault="00705902" w:rsidP="00705902">
      <w:pPr>
        <w:rPr>
          <w:rFonts w:ascii="Calibri" w:hAnsi="Calibri" w:cs="Calibri"/>
          <w:color w:val="000000"/>
          <w:sz w:val="22"/>
          <w:szCs w:val="22"/>
        </w:rPr>
      </w:pPr>
    </w:p>
    <w:p w:rsidR="00881446" w:rsidRPr="00881446" w:rsidRDefault="00881446" w:rsidP="00881446">
      <w:pPr>
        <w:pStyle w:val="2"/>
        <w:rPr>
          <w:rFonts w:eastAsia="ＭＳ Ｐゴシック"/>
          <w:sz w:val="24"/>
          <w:szCs w:val="18"/>
        </w:rPr>
      </w:pPr>
      <w:r w:rsidRPr="00881446">
        <w:rPr>
          <w:rFonts w:eastAsia="ＭＳ Ｐゴシック"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c"/>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a"/>
              <w:rPr>
                <w:rFonts w:asciiTheme="minorHAnsi" w:eastAsia="SimSun"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afc"/>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Malgun Gothic"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游明朝" w:hAnsi="Calibri"/>
                <w:bCs/>
                <w:sz w:val="22"/>
                <w:szCs w:val="22"/>
                <w:lang w:eastAsia="ja-JP"/>
              </w:rPr>
            </w:pPr>
            <w:bookmarkStart w:id="2" w:name="_GoBack" w:colFirst="0" w:colLast="0"/>
            <w:r>
              <w:rPr>
                <w:rFonts w:ascii="Calibri" w:eastAsia="游明朝" w:hAnsi="Calibri" w:hint="eastAsia"/>
                <w:bCs/>
                <w:sz w:val="22"/>
                <w:szCs w:val="22"/>
                <w:lang w:eastAsia="ja-JP"/>
              </w:rPr>
              <w:t>NTT DOCOMO</w:t>
            </w:r>
          </w:p>
        </w:tc>
        <w:tc>
          <w:tcPr>
            <w:tcW w:w="2265" w:type="dxa"/>
          </w:tcPr>
          <w:p w:rsidR="006B313E" w:rsidRPr="006F71C9" w:rsidRDefault="006B313E" w:rsidP="006B313E">
            <w:pPr>
              <w:rPr>
                <w:rFonts w:ascii="Calibri" w:eastAsia="游明朝" w:hAnsi="Calibri"/>
                <w:bCs/>
                <w:sz w:val="22"/>
                <w:szCs w:val="22"/>
                <w:lang w:eastAsia="ja-JP"/>
              </w:rPr>
            </w:pPr>
            <w:r>
              <w:rPr>
                <w:rFonts w:ascii="Calibri" w:eastAsia="游明朝"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bookmarkEnd w:id="2"/>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aa"/>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aa"/>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aa"/>
              <w:numPr>
                <w:ilvl w:val="0"/>
                <w:numId w:val="34"/>
              </w:numPr>
              <w:rPr>
                <w:rFonts w:ascii="Calibri" w:eastAsia="Calibri" w:hAnsi="Calibri"/>
                <w:b/>
                <w:bCs/>
                <w:sz w:val="22"/>
                <w:szCs w:val="22"/>
              </w:rPr>
            </w:pPr>
            <w:r>
              <w:rPr>
                <w:rFonts w:ascii="Calibri" w:eastAsia="Calibri" w:hAnsi="Calibri"/>
                <w:b/>
                <w:bCs/>
                <w:sz w:val="22"/>
                <w:szCs w:val="22"/>
              </w:rPr>
              <w:lastRenderedPageBreak/>
              <w:t>Resource allocation/scheduling conflict resolution rules at the parent or child node</w:t>
            </w:r>
          </w:p>
          <w:p w:rsidR="008A3099" w:rsidRPr="003A6B50" w:rsidRDefault="008A3099" w:rsidP="003A6B50">
            <w:pPr>
              <w:pStyle w:val="aa"/>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tcPr>
          <w:p w:rsidR="003B0BE8" w:rsidRPr="00850D81" w:rsidRDefault="003B0BE8" w:rsidP="003B0BE8">
            <w:pPr>
              <w:rPr>
                <w:rFonts w:ascii="Calibri" w:eastAsia="Malgun Gothic" w:hAnsi="Calibri"/>
                <w:bCs/>
                <w:sz w:val="22"/>
                <w:szCs w:val="22"/>
                <w:lang w:eastAsia="ko-KR"/>
              </w:rPr>
            </w:pPr>
          </w:p>
        </w:tc>
        <w:tc>
          <w:tcPr>
            <w:tcW w:w="6109" w:type="dxa"/>
          </w:tcPr>
          <w:p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Pr="00850D81" w:rsidRDefault="00D16385" w:rsidP="00D16385">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bl>
    <w:p w:rsidR="002A4D58" w:rsidRPr="00E124C5" w:rsidRDefault="00D3703A" w:rsidP="00E124C5">
      <w:pPr>
        <w:rPr>
          <w:rFonts w:ascii="Arial" w:hAnsi="Arial"/>
          <w:b/>
          <w:i/>
          <w:szCs w:val="20"/>
        </w:rPr>
      </w:pPr>
      <w:r>
        <w:br w:type="page"/>
      </w:r>
    </w:p>
    <w:p w:rsidR="002F634C" w:rsidRPr="00156B89" w:rsidRDefault="002F634C" w:rsidP="002F634C">
      <w:pPr>
        <w:pStyle w:val="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B6E" w:rsidRDefault="00221B6E" w:rsidP="00424124">
      <w:r>
        <w:separator/>
      </w:r>
    </w:p>
  </w:endnote>
  <w:endnote w:type="continuationSeparator" w:id="0">
    <w:p w:rsidR="00221B6E" w:rsidRDefault="00221B6E" w:rsidP="00424124">
      <w:r>
        <w:continuationSeparator/>
      </w:r>
    </w:p>
  </w:endnote>
  <w:endnote w:type="continuationNotice" w:id="1">
    <w:p w:rsidR="00221B6E" w:rsidRDefault="00221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B6E" w:rsidRDefault="00221B6E" w:rsidP="00424124">
      <w:r>
        <w:separator/>
      </w:r>
    </w:p>
  </w:footnote>
  <w:footnote w:type="continuationSeparator" w:id="0">
    <w:p w:rsidR="00221B6E" w:rsidRDefault="00221B6E" w:rsidP="00424124">
      <w:r>
        <w:continuationSeparator/>
      </w:r>
    </w:p>
  </w:footnote>
  <w:footnote w:type="continuationNotice" w:id="1">
    <w:p w:rsidR="00221B6E" w:rsidRDefault="00221B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ＭＳ 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9747A"/>
    <w:multiLevelType w:val="multilevel"/>
    <w:tmpl w:val="90FECFE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sz w:val="24"/>
        <w:szCs w:val="24"/>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付 (文字)"/>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rPr>
  </w:style>
  <w:style w:type="character" w:customStyle="1" w:styleId="afff">
    <w:name w:val="書式なし (文字)"/>
    <w:basedOn w:val="a1"/>
    <w:link w:val="affe"/>
    <w:uiPriority w:val="99"/>
    <w:rsid w:val="00984F1E"/>
    <w:rPr>
      <w:rFonts w:ascii="Arial" w:eastAsia="ＭＳ ゴシック"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0">
    <w:name w:val="标题 610"/>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0">
    <w:name w:val="标题 710"/>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ＭＳ 明朝" w:hAnsi="Arial"/>
      <w:b/>
      <w:sz w:val="20"/>
      <w:lang w:val="en-GB" w:eastAsia="en-GB"/>
    </w:rPr>
  </w:style>
  <w:style w:type="paragraph" w:customStyle="1" w:styleId="EW">
    <w:name w:val="EW"/>
    <w:basedOn w:val="a0"/>
    <w:rsid w:val="000F5064"/>
    <w:pPr>
      <w:keepLines/>
      <w:ind w:left="1702" w:hanging="1418"/>
    </w:pPr>
    <w:rPr>
      <w:rFonts w:ascii="Calibri" w:eastAsia="ＭＳ 明朝"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2.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6.xml><?xml version="1.0" encoding="utf-8"?>
<ds:datastoreItem xmlns:ds="http://schemas.openxmlformats.org/officeDocument/2006/customXml" ds:itemID="{2C6D37AC-1A12-4AC0-AB37-F87A0643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7163</Words>
  <Characters>40833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kurita</cp:lastModifiedBy>
  <cp:revision>5</cp:revision>
  <cp:lastPrinted>2016-02-23T10:51:00Z</cp:lastPrinted>
  <dcterms:created xsi:type="dcterms:W3CDTF">2020-08-24T22:21:00Z</dcterms:created>
  <dcterms:modified xsi:type="dcterms:W3CDTF">2020-08-25T02:11:00Z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