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AF80" w14:textId="512BB6FD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44626D">
        <w:rPr>
          <w:rFonts w:ascii="Arial" w:hAnsi="Arial" w:cs="Arial"/>
          <w:b/>
          <w:color w:val="000000"/>
          <w:sz w:val="24"/>
        </w:rPr>
        <w:t>2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CD77E0" w:rsidRPr="00CD77E0">
        <w:rPr>
          <w:rFonts w:ascii="Arial" w:hAnsi="Arial" w:cs="Arial"/>
          <w:b/>
          <w:color w:val="000000"/>
          <w:sz w:val="24"/>
        </w:rPr>
        <w:t>2006769</w:t>
      </w:r>
    </w:p>
    <w:p w14:paraId="3BEBC94F" w14:textId="7F3C41BC" w:rsidR="00785A29" w:rsidRDefault="0044626D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Aug.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17</w:t>
      </w:r>
      <w:r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28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20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7FB05D6E" w14:textId="5E80F9AB" w:rsidR="002429D9" w:rsidRDefault="002429D9" w:rsidP="002429D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>
        <w:rPr>
          <w:rFonts w:ascii="Arial" w:hAnsi="Arial"/>
          <w:color w:val="000000"/>
          <w:sz w:val="24"/>
        </w:rPr>
        <w:tab/>
        <w:t>7.2.4.</w:t>
      </w:r>
      <w:r w:rsidR="00E74DD6">
        <w:rPr>
          <w:rFonts w:ascii="Arial" w:hAnsi="Arial"/>
          <w:color w:val="000000"/>
          <w:sz w:val="24"/>
        </w:rPr>
        <w:t>2.1</w:t>
      </w:r>
    </w:p>
    <w:p w14:paraId="2BFD3F8C" w14:textId="256A8E7B" w:rsidR="002429D9" w:rsidRDefault="002429D9" w:rsidP="002429D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  <w:r w:rsidR="004C56AC">
        <w:rPr>
          <w:rFonts w:ascii="Arial" w:hAnsi="Arial"/>
          <w:sz w:val="24"/>
        </w:rPr>
        <w:t xml:space="preserve"> </w:t>
      </w:r>
    </w:p>
    <w:p w14:paraId="2D7B97A1" w14:textId="61EE6FEA" w:rsidR="002429D9" w:rsidRDefault="002429D9" w:rsidP="002429D9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E74DD6">
        <w:rPr>
          <w:rFonts w:ascii="Arial" w:hAnsi="Arial"/>
          <w:sz w:val="22"/>
        </w:rPr>
        <w:t>Sidelink Resource Allocation Mode 1</w:t>
      </w:r>
    </w:p>
    <w:p w14:paraId="7974D70C" w14:textId="77777777" w:rsidR="002429D9" w:rsidRDefault="002429D9" w:rsidP="002429D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Discussion/Decision</w:t>
      </w:r>
    </w:p>
    <w:p w14:paraId="126AE637" w14:textId="77777777" w:rsidR="002429D9" w:rsidRPr="00677958" w:rsidRDefault="002429D9" w:rsidP="00F756EC">
      <w:pPr>
        <w:pStyle w:val="Heading1"/>
      </w:pPr>
      <w:r>
        <w:t>Introduction</w:t>
      </w:r>
    </w:p>
    <w:p w14:paraId="73D0635B" w14:textId="060E3179" w:rsidR="00E14434" w:rsidRDefault="00E14434" w:rsidP="00E14434">
      <w:pPr>
        <w:jc w:val="both"/>
        <w:rPr>
          <w:lang w:val="en-US"/>
        </w:rPr>
      </w:pPr>
      <w:r>
        <w:rPr>
          <w:lang w:val="en-US"/>
        </w:rPr>
        <w:t xml:space="preserve">In this contribution, we </w:t>
      </w:r>
      <w:r w:rsidR="00063E2C">
        <w:rPr>
          <w:lang w:val="en-US"/>
        </w:rPr>
        <w:t>discuss open issues</w:t>
      </w:r>
      <w:r>
        <w:rPr>
          <w:lang w:val="en-US"/>
        </w:rPr>
        <w:t xml:space="preserve"> for NR V2X specifications regarding </w:t>
      </w:r>
      <w:r w:rsidR="00E74DD6">
        <w:rPr>
          <w:lang w:val="en-US"/>
        </w:rPr>
        <w:t>Mode 1 resource allocation</w:t>
      </w:r>
      <w:r>
        <w:rPr>
          <w:lang w:val="en-US"/>
        </w:rPr>
        <w:t>.</w:t>
      </w:r>
    </w:p>
    <w:bookmarkEnd w:id="1"/>
    <w:p w14:paraId="1CC073FD" w14:textId="479ABA9C" w:rsidR="00AB1356" w:rsidRDefault="00AB1356" w:rsidP="00AB1356">
      <w:pPr>
        <w:pStyle w:val="Heading1"/>
      </w:pPr>
      <w:r>
        <w:t>DCI Size Alignment</w:t>
      </w:r>
    </w:p>
    <w:p w14:paraId="15F5DAE6" w14:textId="1FDF9A09" w:rsidR="00631724" w:rsidRPr="00631724" w:rsidRDefault="00631724" w:rsidP="008A0191">
      <w:pPr>
        <w:jc w:val="both"/>
        <w:rPr>
          <w:lang w:eastAsia="zh-CN"/>
        </w:rPr>
      </w:pPr>
      <w:r>
        <w:rPr>
          <w:lang w:eastAsia="zh-CN"/>
        </w:rPr>
        <w:t xml:space="preserve">The following agreement and working assumption were made in RAN1 99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_Ref32590964 \r \h </w:instrText>
      </w:r>
      <w:r>
        <w:rPr>
          <w:lang w:eastAsia="zh-CN"/>
        </w:rPr>
      </w:r>
      <w:r w:rsidR="008A0191">
        <w:rPr>
          <w:lang w:eastAsia="zh-CN"/>
        </w:rPr>
        <w:instrText xml:space="preserve"> \* MERGEFORMAT </w:instrText>
      </w:r>
      <w:r>
        <w:rPr>
          <w:lang w:eastAsia="zh-CN"/>
        </w:rPr>
        <w:fldChar w:fldCharType="separate"/>
      </w:r>
      <w:r w:rsidR="009308AF">
        <w:rPr>
          <w:lang w:eastAsia="zh-CN"/>
        </w:rPr>
        <w:t>[5]</w:t>
      </w:r>
      <w:r>
        <w:rPr>
          <w:lang w:eastAsia="zh-CN"/>
        </w:rPr>
        <w:fldChar w:fldCharType="end"/>
      </w:r>
      <w:r w:rsidR="00E0497C">
        <w:rPr>
          <w:lang w:eastAsia="zh-CN"/>
        </w:rPr>
        <w:t>:</w:t>
      </w:r>
    </w:p>
    <w:p w14:paraId="2993E7F1" w14:textId="77777777" w:rsidR="00631724" w:rsidRDefault="00631724" w:rsidP="008A0191">
      <w:pPr>
        <w:ind w:left="360"/>
        <w:jc w:val="both"/>
        <w:rPr>
          <w:rFonts w:eastAsia="Batang"/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2A35C46C" w14:textId="77777777" w:rsidR="00631724" w:rsidRDefault="00631724" w:rsidP="008A0191">
      <w:pPr>
        <w:pStyle w:val="ListParagraph"/>
        <w:numPr>
          <w:ilvl w:val="0"/>
          <w:numId w:val="10"/>
        </w:numPr>
        <w:spacing w:after="160" w:line="256" w:lineRule="auto"/>
        <w:ind w:left="1080"/>
        <w:contextualSpacing w:val="0"/>
        <w:jc w:val="both"/>
        <w:rPr>
          <w:bCs/>
          <w:lang w:eastAsia="ja-JP"/>
        </w:rPr>
      </w:pPr>
      <w:r>
        <w:rPr>
          <w:bCs/>
          <w:lang w:eastAsia="ja-JP"/>
        </w:rPr>
        <w:t xml:space="preserve">Existing DCI size budget is maintained when the UE is configured with SL </w:t>
      </w:r>
    </w:p>
    <w:p w14:paraId="6BBD1BBA" w14:textId="77777777" w:rsidR="00631724" w:rsidRDefault="00631724" w:rsidP="008A0191">
      <w:pPr>
        <w:numPr>
          <w:ilvl w:val="0"/>
          <w:numId w:val="10"/>
        </w:numPr>
        <w:spacing w:after="0"/>
        <w:ind w:left="1080"/>
        <w:jc w:val="both"/>
        <w:rPr>
          <w:lang w:eastAsia="x-none"/>
        </w:rPr>
      </w:pPr>
      <w:r>
        <w:rPr>
          <w:lang w:eastAsia="x-none"/>
        </w:rPr>
        <w:t>(</w:t>
      </w:r>
      <w:r>
        <w:rPr>
          <w:highlight w:val="darkYellow"/>
          <w:lang w:eastAsia="x-none"/>
        </w:rPr>
        <w:t>working assumption</w:t>
      </w:r>
      <w:r>
        <w:rPr>
          <w:lang w:eastAsia="x-none"/>
        </w:rPr>
        <w:t>): The size of the new DCI format and the size of one of the existing NR DCI formats are aligned.</w:t>
      </w:r>
    </w:p>
    <w:p w14:paraId="75A857C7" w14:textId="09BD4F7D" w:rsidR="00AB1356" w:rsidRDefault="00BB1C95" w:rsidP="008A0191">
      <w:pPr>
        <w:jc w:val="both"/>
        <w:rPr>
          <w:lang w:eastAsia="zh-CN"/>
        </w:rPr>
      </w:pPr>
      <w:r>
        <w:rPr>
          <w:lang w:eastAsia="zh-CN"/>
        </w:rPr>
        <w:t xml:space="preserve">In the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controlling LTE sidelink, the following agreement was made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_Ref37238208 \r \h </w:instrText>
      </w:r>
      <w:r>
        <w:rPr>
          <w:lang w:eastAsia="zh-CN"/>
        </w:rPr>
      </w:r>
      <w:r w:rsidR="008A0191">
        <w:rPr>
          <w:lang w:eastAsia="zh-CN"/>
        </w:rPr>
        <w:instrText xml:space="preserve"> \* MERGEFORMAT </w:instrText>
      </w:r>
      <w:r>
        <w:rPr>
          <w:lang w:eastAsia="zh-CN"/>
        </w:rPr>
        <w:fldChar w:fldCharType="separate"/>
      </w:r>
      <w:r w:rsidR="009308AF">
        <w:rPr>
          <w:lang w:eastAsia="zh-CN"/>
        </w:rPr>
        <w:t>[6]</w:t>
      </w:r>
      <w:r>
        <w:rPr>
          <w:lang w:eastAsia="zh-CN"/>
        </w:rPr>
        <w:fldChar w:fldCharType="end"/>
      </w:r>
      <w:r>
        <w:rPr>
          <w:lang w:eastAsia="zh-CN"/>
        </w:rPr>
        <w:t>:</w:t>
      </w:r>
    </w:p>
    <w:p w14:paraId="0A9F9782" w14:textId="1192A1A2" w:rsidR="00BB1C95" w:rsidRPr="00BB1C95" w:rsidRDefault="00BB1C95" w:rsidP="008A0191">
      <w:pPr>
        <w:widowControl w:val="0"/>
        <w:spacing w:after="0"/>
        <w:ind w:left="360"/>
        <w:jc w:val="both"/>
        <w:rPr>
          <w:rFonts w:eastAsiaTheme="minorEastAsia"/>
          <w:lang w:eastAsia="ko-KR"/>
        </w:rPr>
      </w:pPr>
      <w:r w:rsidRPr="00BB1C95">
        <w:rPr>
          <w:rFonts w:eastAsiaTheme="minorEastAsia"/>
          <w:highlight w:val="green"/>
          <w:lang w:eastAsia="ko-KR"/>
        </w:rPr>
        <w:t>Agreements</w:t>
      </w:r>
    </w:p>
    <w:p w14:paraId="27840D3A" w14:textId="77777777" w:rsidR="00BB1C95" w:rsidRPr="00BB1C95" w:rsidRDefault="00BB1C95" w:rsidP="008A0191">
      <w:pPr>
        <w:pStyle w:val="ListParagraph"/>
        <w:widowControl w:val="0"/>
        <w:numPr>
          <w:ilvl w:val="0"/>
          <w:numId w:val="11"/>
        </w:numPr>
        <w:spacing w:after="0"/>
        <w:ind w:left="1080"/>
        <w:jc w:val="both"/>
        <w:rPr>
          <w:color w:val="2F2F2F"/>
        </w:rPr>
      </w:pPr>
      <w:r w:rsidRPr="00BB1C95">
        <w:rPr>
          <w:color w:val="2F2F2F"/>
        </w:rPr>
        <w:t xml:space="preserve">If UE is configured to monitor DCI 3_0, the sizes of DCI 3_1 and DCI 3_0 are is aligned by zero padding </w:t>
      </w:r>
    </w:p>
    <w:p w14:paraId="0FFC29FD" w14:textId="77777777" w:rsidR="00BB1C95" w:rsidRPr="00BB1C95" w:rsidRDefault="00BB1C95" w:rsidP="008A0191">
      <w:pPr>
        <w:pStyle w:val="ListParagraph"/>
        <w:widowControl w:val="0"/>
        <w:numPr>
          <w:ilvl w:val="0"/>
          <w:numId w:val="11"/>
        </w:numPr>
        <w:spacing w:after="0"/>
        <w:ind w:left="1080"/>
        <w:jc w:val="both"/>
        <w:rPr>
          <w:color w:val="2F2F2F"/>
        </w:rPr>
      </w:pPr>
      <w:r w:rsidRPr="00BB1C95">
        <w:rPr>
          <w:color w:val="2F2F2F"/>
        </w:rPr>
        <w:t xml:space="preserve">If UE is not configured to monitor DCI 3_0, the mechanism for size alignment between DCI 3_0 and </w:t>
      </w:r>
      <w:proofErr w:type="spellStart"/>
      <w:r w:rsidRPr="00BB1C95">
        <w:rPr>
          <w:color w:val="2F2F2F"/>
        </w:rPr>
        <w:t>Uu</w:t>
      </w:r>
      <w:proofErr w:type="spellEnd"/>
      <w:r w:rsidRPr="00BB1C95">
        <w:rPr>
          <w:color w:val="2F2F2F"/>
        </w:rPr>
        <w:t xml:space="preserve"> DCI is reused for size alignment between DCI 3_1 and </w:t>
      </w:r>
      <w:proofErr w:type="spellStart"/>
      <w:r w:rsidRPr="00BB1C95">
        <w:rPr>
          <w:color w:val="2F2F2F"/>
        </w:rPr>
        <w:t>Uu</w:t>
      </w:r>
      <w:proofErr w:type="spellEnd"/>
      <w:r w:rsidRPr="00BB1C95">
        <w:rPr>
          <w:color w:val="2F2F2F"/>
        </w:rPr>
        <w:t xml:space="preserve"> DCI</w:t>
      </w:r>
    </w:p>
    <w:p w14:paraId="64487F2E" w14:textId="77777777" w:rsidR="00BB1C95" w:rsidRDefault="00BB1C95" w:rsidP="008A0191">
      <w:pPr>
        <w:jc w:val="both"/>
        <w:rPr>
          <w:lang w:eastAsia="zh-CN"/>
        </w:rPr>
      </w:pPr>
    </w:p>
    <w:p w14:paraId="59D09286" w14:textId="21136D5A" w:rsidR="008968A0" w:rsidRDefault="0034007A" w:rsidP="008A0191">
      <w:pPr>
        <w:jc w:val="both"/>
        <w:rPr>
          <w:lang w:eastAsia="zh-CN"/>
        </w:rPr>
      </w:pPr>
      <w:r>
        <w:rPr>
          <w:lang w:eastAsia="zh-CN"/>
        </w:rPr>
        <w:t xml:space="preserve">To implement the above, it </w:t>
      </w:r>
      <w:r w:rsidR="002A029C">
        <w:rPr>
          <w:lang w:eastAsia="zh-CN"/>
        </w:rPr>
        <w:t xml:space="preserve">is </w:t>
      </w:r>
      <w:r>
        <w:rPr>
          <w:lang w:eastAsia="zh-CN"/>
        </w:rPr>
        <w:t>simplest to align DCI 3-0 (DCI 3-1) size with DCI 0-1 or 1-1. If</w:t>
      </w:r>
      <w:r w:rsidR="00D50817">
        <w:rPr>
          <w:lang w:eastAsia="zh-CN"/>
        </w:rPr>
        <w:t xml:space="preserve"> neither DCI 0-1 nor DCI 1-1 is configured, and</w:t>
      </w:r>
      <w:r w:rsidR="008968A0">
        <w:rPr>
          <w:lang w:eastAsia="zh-CN"/>
        </w:rPr>
        <w:t xml:space="preserve"> the size budget can still be maintained, DCI 3-0 size is not aligned. Otherwise, DCI 3-0 is size aligned with the largest </w:t>
      </w:r>
      <w:proofErr w:type="spellStart"/>
      <w:r w:rsidR="008968A0">
        <w:rPr>
          <w:lang w:eastAsia="zh-CN"/>
        </w:rPr>
        <w:t>Uu</w:t>
      </w:r>
      <w:proofErr w:type="spellEnd"/>
      <w:r w:rsidR="008968A0">
        <w:rPr>
          <w:lang w:eastAsia="zh-CN"/>
        </w:rPr>
        <w:t xml:space="preserve"> DCI format configured for the UE.</w:t>
      </w:r>
    </w:p>
    <w:p w14:paraId="3EFB0174" w14:textId="39BE0946" w:rsidR="008968A0" w:rsidRDefault="008968A0" w:rsidP="008A0191">
      <w:pPr>
        <w:pStyle w:val="Caption"/>
        <w:jc w:val="both"/>
      </w:pPr>
      <w:bookmarkStart w:id="3" w:name="_Toc4771101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308AF">
        <w:rPr>
          <w:noProof/>
        </w:rPr>
        <w:t>1</w:t>
      </w:r>
      <w:r>
        <w:fldChar w:fldCharType="end"/>
      </w:r>
      <w:r>
        <w:t xml:space="preserve">: DCI 3-0 size is aligned with </w:t>
      </w:r>
      <w:r w:rsidR="00034AB1">
        <w:t xml:space="preserve">the larger </w:t>
      </w:r>
      <w:r>
        <w:t>of DCI 0-1 or 1-1 if either of the latter two is configured.</w:t>
      </w:r>
      <w:bookmarkEnd w:id="3"/>
    </w:p>
    <w:p w14:paraId="39970A13" w14:textId="4EC01F7E" w:rsidR="007A7AC0" w:rsidRDefault="008968A0" w:rsidP="008A0191">
      <w:pPr>
        <w:pStyle w:val="Caption"/>
        <w:jc w:val="both"/>
        <w:rPr>
          <w:lang w:eastAsia="zh-CN"/>
        </w:rPr>
      </w:pPr>
      <w:bookmarkStart w:id="4" w:name="_Toc4771101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308AF">
        <w:rPr>
          <w:noProof/>
        </w:rPr>
        <w:t>2</w:t>
      </w:r>
      <w:r>
        <w:fldChar w:fldCharType="end"/>
      </w:r>
      <w:r>
        <w:t xml:space="preserve">: DCI 3-0 size is aligned with the largest DCI format that the </w:t>
      </w:r>
      <w:r w:rsidR="00D03CD7">
        <w:t xml:space="preserve">UE </w:t>
      </w:r>
      <w:r>
        <w:t>monitors if neither DCI 0-1 nor 1-1 is configured</w:t>
      </w:r>
      <w:r w:rsidR="006A1974">
        <w:t xml:space="preserve"> and the DCI size budget would be exceeded otherwise</w:t>
      </w:r>
      <w:r>
        <w:t>.</w:t>
      </w:r>
      <w:bookmarkEnd w:id="4"/>
      <w:r w:rsidR="00D50817">
        <w:rPr>
          <w:lang w:eastAsia="zh-CN"/>
        </w:rPr>
        <w:t xml:space="preserve"> </w:t>
      </w:r>
    </w:p>
    <w:p w14:paraId="01967141" w14:textId="032E9759" w:rsidR="007B31F5" w:rsidRDefault="007B31F5" w:rsidP="008A0191">
      <w:pPr>
        <w:pStyle w:val="Heading1"/>
      </w:pPr>
      <w:r>
        <w:t xml:space="preserve">Scheduling from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</w:p>
    <w:p w14:paraId="3B3547A5" w14:textId="693ECE64" w:rsidR="00482A43" w:rsidRDefault="00482A43" w:rsidP="008A0191">
      <w:pPr>
        <w:jc w:val="both"/>
        <w:rPr>
          <w:lang w:eastAsia="zh-CN"/>
        </w:rPr>
      </w:pPr>
      <w:r>
        <w:rPr>
          <w:lang w:eastAsia="zh-CN"/>
        </w:rPr>
        <w:t xml:space="preserve">One remaining open issue is whether the UE monitors DCI formats 3-0 and 3-1 on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. Such a requirement increases UE complexity </w:t>
      </w:r>
      <w:r w:rsidR="00E645D5">
        <w:rPr>
          <w:lang w:eastAsia="zh-CN"/>
        </w:rPr>
        <w:t>while</w:t>
      </w:r>
      <w:r>
        <w:rPr>
          <w:lang w:eastAsia="zh-CN"/>
        </w:rPr>
        <w:t xml:space="preserve"> its benefits have not been studied for sidelink. Therefore, we propose to have the UE only monitor DCI 3-0 and 3-1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.</w:t>
      </w:r>
    </w:p>
    <w:p w14:paraId="2D70DCA4" w14:textId="381DB791" w:rsidR="00482A43" w:rsidRPr="00482A43" w:rsidRDefault="00482A43" w:rsidP="008A0191">
      <w:pPr>
        <w:pStyle w:val="Caption"/>
        <w:jc w:val="both"/>
        <w:rPr>
          <w:lang w:eastAsia="zh-CN"/>
        </w:rPr>
      </w:pPr>
      <w:r>
        <w:rPr>
          <w:lang w:eastAsia="zh-CN"/>
        </w:rPr>
        <w:t xml:space="preserve"> </w:t>
      </w:r>
      <w:bookmarkStart w:id="5" w:name="_Toc4771101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308AF">
        <w:rPr>
          <w:noProof/>
        </w:rPr>
        <w:t>3</w:t>
      </w:r>
      <w:r>
        <w:fldChar w:fldCharType="end"/>
      </w:r>
      <w:r>
        <w:t>: DCI fo</w:t>
      </w:r>
      <w:bookmarkStart w:id="6" w:name="_GoBack"/>
      <w:bookmarkEnd w:id="6"/>
      <w:r>
        <w:t xml:space="preserve">rmats 3-0 and 3-1 are only monitored on </w:t>
      </w:r>
      <w:proofErr w:type="spellStart"/>
      <w:r>
        <w:t>PCell</w:t>
      </w:r>
      <w:bookmarkEnd w:id="5"/>
      <w:proofErr w:type="spellEnd"/>
    </w:p>
    <w:p w14:paraId="28F0426F" w14:textId="4406D6AE" w:rsidR="008234EA" w:rsidRDefault="008234EA" w:rsidP="00F756EC">
      <w:pPr>
        <w:pStyle w:val="Heading1"/>
      </w:pPr>
      <w:r>
        <w:lastRenderedPageBreak/>
        <w:t>Conclusion</w:t>
      </w:r>
    </w:p>
    <w:p w14:paraId="052E659F" w14:textId="77777777" w:rsidR="009308AF" w:rsidRDefault="0060371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color w:val="FF0000"/>
          <w:lang w:val="en-US" w:eastAsia="zh-CN"/>
        </w:rPr>
        <w:fldChar w:fldCharType="begin"/>
      </w:r>
      <w:r>
        <w:rPr>
          <w:color w:val="FF0000"/>
          <w:lang w:val="en-US" w:eastAsia="zh-CN"/>
        </w:rPr>
        <w:instrText xml:space="preserve"> TOC \n \h \z \c "Proposal" </w:instrText>
      </w:r>
      <w:r>
        <w:rPr>
          <w:color w:val="FF0000"/>
          <w:lang w:val="en-US" w:eastAsia="zh-CN"/>
        </w:rPr>
        <w:fldChar w:fldCharType="separate"/>
      </w:r>
      <w:hyperlink w:anchor="_Toc47711012" w:history="1">
        <w:r w:rsidR="009308AF" w:rsidRPr="00114D53">
          <w:rPr>
            <w:rStyle w:val="Hyperlink"/>
            <w:noProof/>
          </w:rPr>
          <w:t>Proposal 1: DCI 3-0 size is aligned with the larger of DCI 0-1 or 1-1 if either of the latter two is configured.</w:t>
        </w:r>
      </w:hyperlink>
    </w:p>
    <w:p w14:paraId="5FFD4460" w14:textId="77777777" w:rsidR="009308AF" w:rsidRDefault="009308AF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1013" w:history="1">
        <w:r w:rsidRPr="00114D53">
          <w:rPr>
            <w:rStyle w:val="Hyperlink"/>
            <w:noProof/>
          </w:rPr>
          <w:t>Proposal 2: DCI 3-0 size is aligned with the largest DCI format that the UE monitors if neither DCI 0-1 nor 1-1 is configured and the DCI size budget would be exceeded otherwise.</w:t>
        </w:r>
      </w:hyperlink>
    </w:p>
    <w:p w14:paraId="1234F8E2" w14:textId="77777777" w:rsidR="009308AF" w:rsidRDefault="009308AF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1014" w:history="1">
        <w:r w:rsidRPr="00114D53">
          <w:rPr>
            <w:rStyle w:val="Hyperlink"/>
            <w:noProof/>
          </w:rPr>
          <w:t>Proposal 3: DCI formats 3-0 and 3-1 are only monitored on PCell</w:t>
        </w:r>
      </w:hyperlink>
    </w:p>
    <w:p w14:paraId="3D60BF86" w14:textId="153CC00F" w:rsidR="00603711" w:rsidRDefault="00603711" w:rsidP="00D42F56">
      <w:pPr>
        <w:jc w:val="both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fldChar w:fldCharType="end"/>
      </w:r>
    </w:p>
    <w:p w14:paraId="68E19F63" w14:textId="10B5C917" w:rsidR="002429D9" w:rsidRPr="00BE5B8C" w:rsidRDefault="002429D9" w:rsidP="00F756EC">
      <w:pPr>
        <w:pStyle w:val="Heading1"/>
      </w:pPr>
      <w:r>
        <w:t>References</w:t>
      </w:r>
      <w:bookmarkStart w:id="7" w:name="_Hlk4777878"/>
    </w:p>
    <w:bookmarkEnd w:id="7"/>
    <w:p w14:paraId="40D3CB11" w14:textId="1DF45887" w:rsidR="002429D9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 xml:space="preserve">3GPP TS </w:t>
      </w:r>
      <w:r w:rsidR="001774E3">
        <w:rPr>
          <w:bCs/>
          <w:kern w:val="2"/>
          <w:sz w:val="20"/>
        </w:rPr>
        <w:t>38.211</w:t>
      </w:r>
      <w:r>
        <w:rPr>
          <w:bCs/>
          <w:kern w:val="2"/>
          <w:sz w:val="20"/>
        </w:rPr>
        <w:t xml:space="preserve"> V16.</w:t>
      </w:r>
      <w:r w:rsidR="00915ACC">
        <w:rPr>
          <w:bCs/>
          <w:kern w:val="2"/>
          <w:sz w:val="20"/>
        </w:rPr>
        <w:t>1</w:t>
      </w:r>
      <w:r>
        <w:rPr>
          <w:bCs/>
          <w:kern w:val="2"/>
          <w:sz w:val="20"/>
        </w:rPr>
        <w:t>.0, NR, Physical Channels and Modulation (Release 16).</w:t>
      </w:r>
    </w:p>
    <w:p w14:paraId="3207DD27" w14:textId="6BE3067C" w:rsidR="001774E3" w:rsidRPr="001774E3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8" w:name="_Hlk32587763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38.212</w:t>
      </w:r>
      <w:r>
        <w:rPr>
          <w:bCs/>
          <w:kern w:val="2"/>
          <w:sz w:val="20"/>
        </w:rPr>
        <w:t xml:space="preserve"> V16.</w:t>
      </w:r>
      <w:r w:rsidR="00915ACC">
        <w:rPr>
          <w:bCs/>
          <w:kern w:val="2"/>
          <w:sz w:val="20"/>
        </w:rPr>
        <w:t>1</w:t>
      </w:r>
      <w:r>
        <w:rPr>
          <w:bCs/>
          <w:kern w:val="2"/>
          <w:sz w:val="20"/>
        </w:rPr>
        <w:t>.0, NR, Multiplexing and Channel Coding (Release 16).</w:t>
      </w:r>
      <w:bookmarkEnd w:id="8"/>
    </w:p>
    <w:p w14:paraId="5BE594B6" w14:textId="0F397C8C" w:rsidR="001774E3" w:rsidRPr="001774E3" w:rsidRDefault="00EC3496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9" w:name="_Hlk32587768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38.213</w:t>
      </w:r>
      <w:r>
        <w:rPr>
          <w:bCs/>
          <w:kern w:val="2"/>
          <w:sz w:val="20"/>
        </w:rPr>
        <w:t xml:space="preserve"> V16.</w:t>
      </w:r>
      <w:r w:rsidR="00915ACC">
        <w:rPr>
          <w:bCs/>
          <w:kern w:val="2"/>
          <w:sz w:val="20"/>
        </w:rPr>
        <w:t>1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C</w:t>
      </w:r>
      <w:r w:rsidRPr="00EC3496">
        <w:rPr>
          <w:bCs/>
          <w:kern w:val="2"/>
          <w:sz w:val="20"/>
        </w:rPr>
        <w:t>ontrol</w:t>
      </w:r>
      <w:r>
        <w:rPr>
          <w:bCs/>
          <w:kern w:val="2"/>
          <w:sz w:val="20"/>
        </w:rPr>
        <w:t xml:space="preserve"> (Release 16).</w:t>
      </w:r>
      <w:bookmarkEnd w:id="9"/>
    </w:p>
    <w:p w14:paraId="4FD1787B" w14:textId="5F6AE051" w:rsidR="001774E3" w:rsidRDefault="00EC3496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10" w:name="_Hlk32587775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38.214</w:t>
      </w:r>
      <w:r>
        <w:rPr>
          <w:bCs/>
          <w:kern w:val="2"/>
          <w:sz w:val="20"/>
        </w:rPr>
        <w:t xml:space="preserve"> V16.</w:t>
      </w:r>
      <w:r w:rsidR="00915ACC">
        <w:rPr>
          <w:bCs/>
          <w:kern w:val="2"/>
          <w:sz w:val="20"/>
        </w:rPr>
        <w:t>1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D</w:t>
      </w:r>
      <w:r w:rsidRPr="00EC3496">
        <w:rPr>
          <w:bCs/>
          <w:kern w:val="2"/>
          <w:sz w:val="20"/>
        </w:rPr>
        <w:t>ata</w:t>
      </w:r>
      <w:r>
        <w:rPr>
          <w:bCs/>
          <w:kern w:val="2"/>
          <w:sz w:val="20"/>
        </w:rPr>
        <w:t xml:space="preserve"> (Release 16).</w:t>
      </w:r>
      <w:bookmarkEnd w:id="10"/>
    </w:p>
    <w:p w14:paraId="6D102B45" w14:textId="31D5E49C" w:rsidR="00F6426B" w:rsidRDefault="00F6426B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11" w:name="_Ref32590964"/>
      <w:r>
        <w:rPr>
          <w:bCs/>
          <w:kern w:val="2"/>
          <w:sz w:val="20"/>
          <w:szCs w:val="18"/>
        </w:rPr>
        <w:t>Chairman’s Notes, RAN1 #99, November 2019, Reno, USA.</w:t>
      </w:r>
      <w:bookmarkEnd w:id="11"/>
    </w:p>
    <w:p w14:paraId="6367CE5A" w14:textId="19973014" w:rsidR="00F62851" w:rsidRDefault="00D1579E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12" w:name="_Ref37238208"/>
      <w:r>
        <w:rPr>
          <w:bCs/>
          <w:kern w:val="2"/>
          <w:sz w:val="20"/>
          <w:szCs w:val="18"/>
        </w:rPr>
        <w:t>Chairman’s Notes, RAN1 #100e, March 2020.</w:t>
      </w:r>
      <w:bookmarkEnd w:id="12"/>
    </w:p>
    <w:p w14:paraId="581C1E9F" w14:textId="6F529579" w:rsidR="0094769F" w:rsidRPr="0094769F" w:rsidRDefault="0094769F" w:rsidP="0094769F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13" w:name="_Ref40462573"/>
      <w:r>
        <w:rPr>
          <w:bCs/>
          <w:kern w:val="2"/>
          <w:sz w:val="20"/>
          <w:szCs w:val="18"/>
        </w:rPr>
        <w:t>Chairman’s Notes, RAN1 #100bis-e, April 2020.</w:t>
      </w:r>
      <w:bookmarkEnd w:id="13"/>
    </w:p>
    <w:sectPr w:rsidR="0094769F" w:rsidRPr="009476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5C62D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24750A25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5A735EF7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7DED2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1AA1074E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69227920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  <w:num w:numId="11">
    <w:abstractNumId w:val="2"/>
  </w:num>
  <w:num w:numId="1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1187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34AB1"/>
    <w:rsid w:val="000445C4"/>
    <w:rsid w:val="000459EC"/>
    <w:rsid w:val="00060691"/>
    <w:rsid w:val="00061E3D"/>
    <w:rsid w:val="00063E2C"/>
    <w:rsid w:val="00070301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7310"/>
    <w:rsid w:val="00097693"/>
    <w:rsid w:val="000A00F2"/>
    <w:rsid w:val="000A5AF4"/>
    <w:rsid w:val="000C1A38"/>
    <w:rsid w:val="000C2896"/>
    <w:rsid w:val="000D0276"/>
    <w:rsid w:val="000E200B"/>
    <w:rsid w:val="000F3971"/>
    <w:rsid w:val="000F4597"/>
    <w:rsid w:val="000F544F"/>
    <w:rsid w:val="000F7931"/>
    <w:rsid w:val="000F7D75"/>
    <w:rsid w:val="00101C56"/>
    <w:rsid w:val="00101F23"/>
    <w:rsid w:val="00101F72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1A68"/>
    <w:rsid w:val="00133D29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2A83"/>
    <w:rsid w:val="0018572B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1875"/>
    <w:rsid w:val="001F4726"/>
    <w:rsid w:val="001F5357"/>
    <w:rsid w:val="002056E5"/>
    <w:rsid w:val="00212155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C25"/>
    <w:rsid w:val="002C19D8"/>
    <w:rsid w:val="002C2A98"/>
    <w:rsid w:val="002D23BA"/>
    <w:rsid w:val="002D593F"/>
    <w:rsid w:val="002D7CAA"/>
    <w:rsid w:val="002E7A25"/>
    <w:rsid w:val="002F38E9"/>
    <w:rsid w:val="002F4FE5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64658"/>
    <w:rsid w:val="00366F9D"/>
    <w:rsid w:val="003825E8"/>
    <w:rsid w:val="0038433C"/>
    <w:rsid w:val="003848AB"/>
    <w:rsid w:val="00386C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C207D"/>
    <w:rsid w:val="003C479D"/>
    <w:rsid w:val="003C5290"/>
    <w:rsid w:val="003E2653"/>
    <w:rsid w:val="003E455B"/>
    <w:rsid w:val="003E5300"/>
    <w:rsid w:val="003F00F6"/>
    <w:rsid w:val="003F2360"/>
    <w:rsid w:val="003F3607"/>
    <w:rsid w:val="003F5EFC"/>
    <w:rsid w:val="00400189"/>
    <w:rsid w:val="00404C92"/>
    <w:rsid w:val="00405546"/>
    <w:rsid w:val="00406B18"/>
    <w:rsid w:val="004077AE"/>
    <w:rsid w:val="00413FFE"/>
    <w:rsid w:val="00417C8F"/>
    <w:rsid w:val="00437BFB"/>
    <w:rsid w:val="0044163A"/>
    <w:rsid w:val="0044626D"/>
    <w:rsid w:val="00451682"/>
    <w:rsid w:val="0045368E"/>
    <w:rsid w:val="00457587"/>
    <w:rsid w:val="00460B85"/>
    <w:rsid w:val="00463688"/>
    <w:rsid w:val="00472C51"/>
    <w:rsid w:val="0047783E"/>
    <w:rsid w:val="00482A43"/>
    <w:rsid w:val="00482D82"/>
    <w:rsid w:val="00484F44"/>
    <w:rsid w:val="00485FE2"/>
    <w:rsid w:val="00491D0A"/>
    <w:rsid w:val="004928E4"/>
    <w:rsid w:val="00496227"/>
    <w:rsid w:val="004A37BD"/>
    <w:rsid w:val="004A47CC"/>
    <w:rsid w:val="004A5949"/>
    <w:rsid w:val="004A645B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5FAC"/>
    <w:rsid w:val="0053640D"/>
    <w:rsid w:val="0055285E"/>
    <w:rsid w:val="00554731"/>
    <w:rsid w:val="00561296"/>
    <w:rsid w:val="0056725F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5A53"/>
    <w:rsid w:val="005C0AE2"/>
    <w:rsid w:val="005C5006"/>
    <w:rsid w:val="005C6D35"/>
    <w:rsid w:val="005C71F4"/>
    <w:rsid w:val="005D1B80"/>
    <w:rsid w:val="005D32D6"/>
    <w:rsid w:val="005D4777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31724"/>
    <w:rsid w:val="0063618B"/>
    <w:rsid w:val="00640A6C"/>
    <w:rsid w:val="00645ED6"/>
    <w:rsid w:val="00646577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E097F"/>
    <w:rsid w:val="006E1856"/>
    <w:rsid w:val="006E1D5F"/>
    <w:rsid w:val="006E44D4"/>
    <w:rsid w:val="006F05E6"/>
    <w:rsid w:val="006F433C"/>
    <w:rsid w:val="006F6F46"/>
    <w:rsid w:val="006F7928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3035"/>
    <w:rsid w:val="007672D7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A7AC0"/>
    <w:rsid w:val="007B31F5"/>
    <w:rsid w:val="007B6185"/>
    <w:rsid w:val="007B70EC"/>
    <w:rsid w:val="007D2B43"/>
    <w:rsid w:val="007E0229"/>
    <w:rsid w:val="007E41B1"/>
    <w:rsid w:val="007E41FC"/>
    <w:rsid w:val="007E62A0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39F0"/>
    <w:rsid w:val="00814FDF"/>
    <w:rsid w:val="00817968"/>
    <w:rsid w:val="0082229E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0191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08AF"/>
    <w:rsid w:val="00935507"/>
    <w:rsid w:val="00940B57"/>
    <w:rsid w:val="00940BE4"/>
    <w:rsid w:val="00943B27"/>
    <w:rsid w:val="0094769F"/>
    <w:rsid w:val="00951379"/>
    <w:rsid w:val="009516E4"/>
    <w:rsid w:val="009542C5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64C7"/>
    <w:rsid w:val="00A24104"/>
    <w:rsid w:val="00A266CC"/>
    <w:rsid w:val="00A27DF6"/>
    <w:rsid w:val="00A43243"/>
    <w:rsid w:val="00A43321"/>
    <w:rsid w:val="00A551DB"/>
    <w:rsid w:val="00A555BD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297E"/>
    <w:rsid w:val="00AC014E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2135"/>
    <w:rsid w:val="00B4671E"/>
    <w:rsid w:val="00B50CB7"/>
    <w:rsid w:val="00B64E8B"/>
    <w:rsid w:val="00B71388"/>
    <w:rsid w:val="00B7413F"/>
    <w:rsid w:val="00B77552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51F72"/>
    <w:rsid w:val="00C570C5"/>
    <w:rsid w:val="00C63C96"/>
    <w:rsid w:val="00C70BC0"/>
    <w:rsid w:val="00C740A1"/>
    <w:rsid w:val="00C75AC6"/>
    <w:rsid w:val="00C828D3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D77E0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3CD7"/>
    <w:rsid w:val="00D041E0"/>
    <w:rsid w:val="00D14270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6F35"/>
    <w:rsid w:val="00D46F3E"/>
    <w:rsid w:val="00D50817"/>
    <w:rsid w:val="00D516BD"/>
    <w:rsid w:val="00D51A46"/>
    <w:rsid w:val="00D627EC"/>
    <w:rsid w:val="00D666F9"/>
    <w:rsid w:val="00D7071C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F95"/>
    <w:rsid w:val="00DD6A81"/>
    <w:rsid w:val="00DE069C"/>
    <w:rsid w:val="00DE74ED"/>
    <w:rsid w:val="00DF1236"/>
    <w:rsid w:val="00E041F5"/>
    <w:rsid w:val="00E0497C"/>
    <w:rsid w:val="00E130BD"/>
    <w:rsid w:val="00E1324E"/>
    <w:rsid w:val="00E14434"/>
    <w:rsid w:val="00E144AE"/>
    <w:rsid w:val="00E17830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78E6"/>
    <w:rsid w:val="00E604C6"/>
    <w:rsid w:val="00E60EBF"/>
    <w:rsid w:val="00E63275"/>
    <w:rsid w:val="00E645D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503E"/>
    <w:rsid w:val="00ED16E9"/>
    <w:rsid w:val="00ED3C6A"/>
    <w:rsid w:val="00ED669E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38ED"/>
    <w:rsid w:val="00F2433B"/>
    <w:rsid w:val="00F2458D"/>
    <w:rsid w:val="00F34FCB"/>
    <w:rsid w:val="00F4073F"/>
    <w:rsid w:val="00F47028"/>
    <w:rsid w:val="00F47CCE"/>
    <w:rsid w:val="00F47DC7"/>
    <w:rsid w:val="00F523F6"/>
    <w:rsid w:val="00F539C7"/>
    <w:rsid w:val="00F62851"/>
    <w:rsid w:val="00F6426B"/>
    <w:rsid w:val="00F73E13"/>
    <w:rsid w:val="00F74AA4"/>
    <w:rsid w:val="00F756EC"/>
    <w:rsid w:val="00F761AD"/>
    <w:rsid w:val="00F8713E"/>
    <w:rsid w:val="00F90435"/>
    <w:rsid w:val="00F91CE7"/>
    <w:rsid w:val="00F95AF7"/>
    <w:rsid w:val="00FA0C10"/>
    <w:rsid w:val="00FA7B0A"/>
    <w:rsid w:val="00FB0302"/>
    <w:rsid w:val="00FB36AF"/>
    <w:rsid w:val="00FB53E3"/>
    <w:rsid w:val="00FC0A96"/>
    <w:rsid w:val="00FC7E14"/>
    <w:rsid w:val="00FD4CDC"/>
    <w:rsid w:val="00FE0EE6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SRVZ567275SS-924214940-2353</_dlc_DocId>
    <_dlc_DocIdUrl xmlns="932dab1a-f806-440a-b546-5f112cb4e652">
      <Url>https://projects.qualcomm.com/sites/libra/_layouts/15/DocIdRedir.aspx?ID=SRVZ567275SS-924214940-2353</Url>
      <Description>SRVZ567275SS-924214940-2353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BF069C-7F77-4186-9498-8EEF67AE9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E2C1AD-ED0B-4267-BBB9-6B98C34CD9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7FEDA4-0CD4-4A3C-9208-70D42A0F5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9916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579</cp:revision>
  <dcterms:created xsi:type="dcterms:W3CDTF">2019-03-30T01:53:00Z</dcterms:created>
  <dcterms:modified xsi:type="dcterms:W3CDTF">2020-08-07T23:43:00Z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c3334713-e28e-4dac-ace8-be312b6750d5</vt:lpwstr>
  </property>
</Properties>
</file>