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4629FED3"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9220F4" w:rsidRPr="009220F4">
        <w:rPr>
          <w:rFonts w:cs="Arial"/>
          <w:noProof w:val="0"/>
          <w:sz w:val="28"/>
          <w:szCs w:val="28"/>
          <w:lang w:val="en-US"/>
        </w:rPr>
        <w:t>R1-2006565</w:t>
      </w:r>
    </w:p>
    <w:p w14:paraId="60A54BD6" w14:textId="19CE5C49"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bookmarkStart w:id="2" w:name="_GoBack"/>
      <w:bookmarkEnd w:id="2"/>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1C13550"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C38AF">
        <w:rPr>
          <w:rFonts w:ascii="Arial" w:hAnsi="Arial" w:cs="Arial"/>
          <w:b/>
          <w:sz w:val="28"/>
          <w:szCs w:val="28"/>
          <w:lang w:val="en-US"/>
        </w:rPr>
        <w:t xml:space="preserve">Enhancement on multi-beam operation for </w:t>
      </w:r>
      <w:r w:rsidR="00AB0270">
        <w:rPr>
          <w:rFonts w:ascii="Arial" w:hAnsi="Arial" w:cs="Arial"/>
          <w:b/>
          <w:sz w:val="28"/>
          <w:szCs w:val="28"/>
          <w:lang w:val="en-US"/>
        </w:rPr>
        <w:t>UE with multi-panel</w:t>
      </w:r>
    </w:p>
    <w:p w14:paraId="26DC8AEB" w14:textId="6066CFE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CC38AF">
        <w:rPr>
          <w:rFonts w:ascii="Arial" w:hAnsi="Arial" w:cs="Arial"/>
          <w:b/>
          <w:sz w:val="28"/>
          <w:szCs w:val="28"/>
          <w:lang w:val="pt-BR"/>
        </w:rPr>
        <w:t>2</w:t>
      </w:r>
      <w:r w:rsidR="00C66CD3" w:rsidRPr="006C7D35">
        <w:rPr>
          <w:rFonts w:ascii="Arial" w:hAnsi="Arial" w:cs="Arial"/>
          <w:b/>
          <w:sz w:val="28"/>
          <w:szCs w:val="28"/>
          <w:lang w:val="pt-BR"/>
        </w:rPr>
        <w:t>.</w:t>
      </w:r>
      <w:r w:rsidR="00CC38AF">
        <w:rPr>
          <w:rFonts w:ascii="Arial"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51F3D373"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was agreed. For enhancement on multi-beam operations,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53145F2C" w14:textId="77777777" w:rsidR="00CC38AF" w:rsidRPr="0051690F" w:rsidRDefault="00CC38AF" w:rsidP="00CC38AF">
            <w:pPr>
              <w:pStyle w:val="ListParagraph"/>
              <w:numPr>
                <w:ilvl w:val="0"/>
                <w:numId w:val="46"/>
              </w:numPr>
              <w:snapToGrid/>
              <w:spacing w:after="0" w:afterAutospacing="0"/>
              <w:ind w:leftChars="0" w:left="720"/>
            </w:pPr>
            <w:r w:rsidRPr="0051690F">
              <w:t xml:space="preserve">Enhancement on multi-beam operation, mainly targeting FR2 while also applicable to FR1: </w:t>
            </w:r>
          </w:p>
          <w:p w14:paraId="4F93FD71" w14:textId="77777777" w:rsidR="00CC38AF" w:rsidRPr="0051690F" w:rsidRDefault="00CC38AF" w:rsidP="00CC38AF">
            <w:pPr>
              <w:pStyle w:val="ListParagraph"/>
              <w:numPr>
                <w:ilvl w:val="1"/>
                <w:numId w:val="46"/>
              </w:numPr>
              <w:snapToGrid/>
              <w:spacing w:after="0" w:afterAutospacing="0"/>
              <w:ind w:leftChars="0" w:left="1440"/>
            </w:pPr>
            <w:r w:rsidRPr="0051690F">
              <w:t>Identify and specify features to facilitate more efficient (lower latency and overhead) DL/UL beam management to support higher intra- and L1/L2-centric inter-cell mobility and/or a larger number of configured TCI states:</w:t>
            </w:r>
          </w:p>
          <w:p w14:paraId="7B6EA573" w14:textId="77777777" w:rsidR="00CC38AF" w:rsidRPr="0051690F" w:rsidRDefault="00CC38AF" w:rsidP="00CC38AF">
            <w:pPr>
              <w:pStyle w:val="ListParagraph"/>
              <w:numPr>
                <w:ilvl w:val="2"/>
                <w:numId w:val="46"/>
              </w:numPr>
              <w:snapToGrid/>
              <w:spacing w:after="0" w:afterAutospacing="0"/>
              <w:ind w:leftChars="0" w:left="2160"/>
            </w:pPr>
            <w:r>
              <w:t>C</w:t>
            </w:r>
            <w:r w:rsidRPr="0051690F">
              <w:t>ommon beam for data and control transmission/reception for DL and UL, especially for intra-band CA</w:t>
            </w:r>
          </w:p>
          <w:p w14:paraId="5ECE1EF7" w14:textId="77777777" w:rsidR="00CC38AF" w:rsidRPr="0051690F" w:rsidRDefault="00CC38AF" w:rsidP="00CC38AF">
            <w:pPr>
              <w:pStyle w:val="ListParagraph"/>
              <w:numPr>
                <w:ilvl w:val="2"/>
                <w:numId w:val="46"/>
              </w:numPr>
              <w:snapToGrid/>
              <w:spacing w:after="0" w:afterAutospacing="0"/>
              <w:ind w:leftChars="0" w:left="2160"/>
            </w:pPr>
            <w:r w:rsidRPr="0051690F">
              <w:t>Unified TCI framework for DL</w:t>
            </w:r>
            <w:r>
              <w:t xml:space="preserve"> and </w:t>
            </w:r>
            <w:r w:rsidRPr="0051690F">
              <w:t>UL beam indication</w:t>
            </w:r>
          </w:p>
          <w:p w14:paraId="2486E30B" w14:textId="77777777" w:rsidR="00CC38AF" w:rsidRPr="0051690F" w:rsidRDefault="00CC38AF" w:rsidP="00CC38AF">
            <w:pPr>
              <w:pStyle w:val="ListParagraph"/>
              <w:numPr>
                <w:ilvl w:val="2"/>
                <w:numId w:val="46"/>
              </w:numPr>
              <w:snapToGrid/>
              <w:spacing w:after="0" w:afterAutospacing="0"/>
              <w:ind w:leftChars="0" w:left="216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00DD47D9" w14:textId="75B393E2" w:rsidR="00CC38AF" w:rsidRPr="00CC38AF" w:rsidRDefault="00CC38AF" w:rsidP="00CC38AF">
            <w:pPr>
              <w:pStyle w:val="ListParagraph"/>
              <w:numPr>
                <w:ilvl w:val="1"/>
                <w:numId w:val="46"/>
              </w:numPr>
              <w:snapToGrid/>
              <w:spacing w:after="0" w:afterAutospacing="0"/>
              <w:ind w:leftChars="0" w:left="144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1AC3B138" w14:textId="6E1BD246"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n this contribution, we share our initial views on enhancement of multi-beam operation</w:t>
      </w:r>
      <w:r w:rsidR="00AB0270">
        <w:rPr>
          <w:rFonts w:eastAsiaTheme="minorEastAsia"/>
          <w:sz w:val="24"/>
          <w:szCs w:val="24"/>
          <w:lang w:eastAsia="ja-JP"/>
        </w:rPr>
        <w:t xml:space="preserve"> for UE equipped with multi-panel operation</w:t>
      </w:r>
      <w:r>
        <w:rPr>
          <w:rFonts w:eastAsiaTheme="minorEastAsia"/>
          <w:sz w:val="24"/>
          <w:szCs w:val="24"/>
          <w:lang w:eastAsia="ja-JP"/>
        </w:rPr>
        <w:t>.</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51FD3D9" w14:textId="522316CC" w:rsidR="00557FD4" w:rsidRDefault="00557FD4" w:rsidP="00557FD4">
      <w:pPr>
        <w:pStyle w:val="Heading2"/>
        <w:spacing w:after="180"/>
        <w:rPr>
          <w:lang w:val="en-US"/>
        </w:rPr>
      </w:pPr>
      <w:r>
        <w:t>UL multi-beam operation with multiple panels</w:t>
      </w:r>
    </w:p>
    <w:p w14:paraId="257C85A5" w14:textId="3C5EA923" w:rsidR="00557FD4" w:rsidRDefault="00557FD4" w:rsidP="00557FD4">
      <w:pPr>
        <w:rPr>
          <w:lang w:val="en-US"/>
        </w:rPr>
      </w:pPr>
      <w:r>
        <w:rPr>
          <w:rFonts w:hint="eastAsia"/>
          <w:lang w:val="en-US"/>
        </w:rPr>
        <w:t>I</w:t>
      </w:r>
      <w:r>
        <w:rPr>
          <w:lang w:val="en-US"/>
        </w:rPr>
        <w:t>n Rel-16, the MPE related issues have been discussed and the following agreements/conclusions were made.</w:t>
      </w:r>
    </w:p>
    <w:p w14:paraId="268204D3" w14:textId="4D55F76C" w:rsidR="00557FD4" w:rsidRDefault="00557FD4" w:rsidP="00557FD4">
      <w:pPr>
        <w:rPr>
          <w:lang w:val="en-US"/>
        </w:rPr>
      </w:pPr>
      <w:r>
        <w:rPr>
          <w:rFonts w:hint="eastAsia"/>
          <w:lang w:val="en-US"/>
        </w:rPr>
        <w:t>R</w:t>
      </w:r>
      <w:r>
        <w:rPr>
          <w:lang w:val="en-US"/>
        </w:rPr>
        <w:t>AN1#97</w:t>
      </w:r>
      <w:r w:rsidR="003826DE">
        <w:rPr>
          <w:lang w:val="en-US"/>
        </w:rPr>
        <w:t>:</w:t>
      </w:r>
    </w:p>
    <w:tbl>
      <w:tblPr>
        <w:tblStyle w:val="TableGrid"/>
        <w:tblW w:w="0" w:type="auto"/>
        <w:tblLook w:val="04A0" w:firstRow="1" w:lastRow="0" w:firstColumn="1" w:lastColumn="0" w:noHBand="0" w:noVBand="1"/>
      </w:tblPr>
      <w:tblGrid>
        <w:gridCol w:w="9954"/>
      </w:tblGrid>
      <w:tr w:rsidR="00557FD4" w14:paraId="2009FE08" w14:textId="77777777" w:rsidTr="00557FD4">
        <w:tc>
          <w:tcPr>
            <w:tcW w:w="9954" w:type="dxa"/>
          </w:tcPr>
          <w:p w14:paraId="4C55DE16" w14:textId="06DC8834" w:rsidR="00557FD4" w:rsidRDefault="00557FD4" w:rsidP="00557FD4">
            <w:pPr>
              <w:adjustRightInd w:val="0"/>
              <w:rPr>
                <w:rFonts w:eastAsia="Batang"/>
                <w:b/>
                <w:sz w:val="20"/>
                <w:szCs w:val="22"/>
                <w:highlight w:val="green"/>
                <w:lang w:val="en-US"/>
              </w:rPr>
            </w:pPr>
            <w:r>
              <w:rPr>
                <w:b/>
                <w:szCs w:val="22"/>
                <w:highlight w:val="green"/>
              </w:rPr>
              <w:lastRenderedPageBreak/>
              <w:t>Agreement</w:t>
            </w:r>
          </w:p>
          <w:p w14:paraId="1535D1C1" w14:textId="77777777" w:rsidR="00557FD4" w:rsidRDefault="00557FD4" w:rsidP="00557FD4">
            <w:pPr>
              <w:adjustRightInd w:val="0"/>
              <w:rPr>
                <w:szCs w:val="22"/>
              </w:rPr>
            </w:pPr>
            <w:r>
              <w:rPr>
                <w:szCs w:val="22"/>
              </w:rPr>
              <w:t>Down-select in RAN1#98 from the following options for beam management enhancements:</w:t>
            </w:r>
          </w:p>
          <w:p w14:paraId="4CBC91D5" w14:textId="77777777" w:rsidR="00557FD4" w:rsidRDefault="00557FD4" w:rsidP="00557FD4">
            <w:pPr>
              <w:numPr>
                <w:ilvl w:val="0"/>
                <w:numId w:val="47"/>
              </w:numPr>
              <w:autoSpaceDN w:val="0"/>
              <w:adjustRightInd w:val="0"/>
              <w:spacing w:after="0" w:afterAutospacing="0"/>
              <w:ind w:left="720" w:hanging="320"/>
              <w:contextualSpacing/>
              <w:jc w:val="left"/>
              <w:rPr>
                <w:szCs w:val="22"/>
              </w:rPr>
            </w:pPr>
            <w:r>
              <w:rPr>
                <w:szCs w:val="22"/>
              </w:rPr>
              <w:t>Alt1. Support UE to report CRI/SSBRI where the CRI/SSBRI refers to a preferred spatial relation RS for UL transmission</w:t>
            </w:r>
          </w:p>
          <w:p w14:paraId="79338579" w14:textId="77777777" w:rsidR="00557FD4" w:rsidRDefault="00557FD4" w:rsidP="00557FD4">
            <w:pPr>
              <w:numPr>
                <w:ilvl w:val="1"/>
                <w:numId w:val="47"/>
              </w:numPr>
              <w:autoSpaceDN w:val="0"/>
              <w:adjustRightInd w:val="0"/>
              <w:spacing w:after="0" w:afterAutospacing="0"/>
              <w:contextualSpacing/>
              <w:jc w:val="left"/>
              <w:rPr>
                <w:szCs w:val="22"/>
              </w:rPr>
            </w:pPr>
            <w:r>
              <w:rPr>
                <w:szCs w:val="22"/>
              </w:rPr>
              <w:t>FFS: Whether to support SRI in addition to CRI/SSBRI</w:t>
            </w:r>
          </w:p>
          <w:p w14:paraId="48945EC7" w14:textId="77777777" w:rsidR="00557FD4" w:rsidRDefault="00557FD4" w:rsidP="00557FD4">
            <w:pPr>
              <w:numPr>
                <w:ilvl w:val="1"/>
                <w:numId w:val="47"/>
              </w:numPr>
              <w:autoSpaceDN w:val="0"/>
              <w:adjustRightInd w:val="0"/>
              <w:spacing w:after="0" w:afterAutospacing="0"/>
              <w:contextualSpacing/>
              <w:jc w:val="left"/>
              <w:rPr>
                <w:szCs w:val="22"/>
              </w:rPr>
            </w:pPr>
            <w:r>
              <w:rPr>
                <w:szCs w:val="22"/>
              </w:rPr>
              <w:t>FFS on details of the reporting configuration (e.g. separate or joint reporting with existing DL beam reporting, introduction of new information from UE such as MPR)</w:t>
            </w:r>
          </w:p>
          <w:p w14:paraId="7F04E0D0" w14:textId="77777777" w:rsidR="00557FD4" w:rsidRDefault="00557FD4" w:rsidP="00557FD4">
            <w:pPr>
              <w:numPr>
                <w:ilvl w:val="0"/>
                <w:numId w:val="47"/>
              </w:numPr>
              <w:autoSpaceDN w:val="0"/>
              <w:adjustRightInd w:val="0"/>
              <w:spacing w:after="0" w:afterAutospacing="0"/>
              <w:ind w:left="720" w:hanging="320"/>
              <w:contextualSpacing/>
              <w:jc w:val="left"/>
              <w:rPr>
                <w:szCs w:val="22"/>
              </w:rPr>
            </w:pPr>
            <w:r>
              <w:rPr>
                <w:szCs w:val="22"/>
              </w:rPr>
              <w:t>Alt2. Support SRI field in the DCI can be used to indicate multiple SRS resources and UE’s autonomous selection of one SRS resource for PUSCH beam determination out of the multiple</w:t>
            </w:r>
          </w:p>
          <w:p w14:paraId="79319AAC" w14:textId="77777777" w:rsidR="00557FD4" w:rsidRDefault="00557FD4" w:rsidP="00557FD4">
            <w:pPr>
              <w:numPr>
                <w:ilvl w:val="0"/>
                <w:numId w:val="47"/>
              </w:numPr>
              <w:autoSpaceDN w:val="0"/>
              <w:adjustRightInd w:val="0"/>
              <w:spacing w:after="0" w:afterAutospacing="0"/>
              <w:ind w:left="720" w:hanging="320"/>
              <w:contextualSpacing/>
              <w:jc w:val="left"/>
              <w:rPr>
                <w:szCs w:val="22"/>
              </w:rPr>
            </w:pPr>
            <w:r>
              <w:rPr>
                <w:szCs w:val="22"/>
              </w:rPr>
              <w:t>Alt3: Reuse Rel-15 beam specific PHR reporting to determine beam-specific MPE impact transparently, i.e., by difference value between Pc,max (which is calculated based on P-MPR) and the required transmission power.</w:t>
            </w:r>
          </w:p>
          <w:p w14:paraId="7F07B649" w14:textId="77777777" w:rsidR="00557FD4" w:rsidRDefault="00557FD4" w:rsidP="00557FD4">
            <w:pPr>
              <w:numPr>
                <w:ilvl w:val="1"/>
                <w:numId w:val="47"/>
              </w:numPr>
              <w:autoSpaceDN w:val="0"/>
              <w:adjustRightInd w:val="0"/>
              <w:spacing w:after="0" w:afterAutospacing="0"/>
              <w:contextualSpacing/>
              <w:jc w:val="left"/>
              <w:rPr>
                <w:szCs w:val="22"/>
              </w:rPr>
            </w:pPr>
            <w:r>
              <w:rPr>
                <w:szCs w:val="22"/>
              </w:rPr>
              <w:t xml:space="preserve">FFS: Enhancement on UL beam configuration for virtual PHR. </w:t>
            </w:r>
          </w:p>
          <w:p w14:paraId="65E90DD2" w14:textId="4B098E26" w:rsidR="00557FD4" w:rsidRDefault="00557FD4" w:rsidP="00557FD4">
            <w:pPr>
              <w:numPr>
                <w:ilvl w:val="0"/>
                <w:numId w:val="47"/>
              </w:numPr>
              <w:autoSpaceDN w:val="0"/>
              <w:adjustRightInd w:val="0"/>
              <w:spacing w:after="0" w:afterAutospacing="0"/>
              <w:ind w:left="720" w:hanging="320"/>
              <w:contextualSpacing/>
              <w:jc w:val="left"/>
              <w:rPr>
                <w:szCs w:val="22"/>
              </w:rPr>
            </w:pPr>
            <w:r>
              <w:rPr>
                <w:szCs w:val="22"/>
              </w:rPr>
              <w:t xml:space="preserve">Alt4: No enhancements considering MPE issues in Rel-16 RAN1 specifications. It is up to UE implementation in conjunction to RAN4 </w:t>
            </w:r>
            <w:r w:rsidR="002B18EE">
              <w:rPr>
                <w:szCs w:val="22"/>
              </w:rPr>
              <w:t>specification</w:t>
            </w:r>
            <w:r>
              <w:rPr>
                <w:szCs w:val="22"/>
              </w:rPr>
              <w:t xml:space="preserve"> support.</w:t>
            </w:r>
          </w:p>
          <w:p w14:paraId="0EDBC465" w14:textId="420A5707" w:rsidR="00557FD4" w:rsidRPr="00557FD4" w:rsidRDefault="00557FD4" w:rsidP="00557FD4">
            <w:pPr>
              <w:jc w:val="left"/>
              <w:rPr>
                <w:rFonts w:ascii="Times" w:hAnsi="Times"/>
                <w:szCs w:val="24"/>
                <w:lang w:eastAsia="en-US"/>
              </w:rPr>
            </w:pPr>
            <w:r>
              <w:rPr>
                <w:rFonts w:ascii="Times" w:hAnsi="Times"/>
                <w:lang w:eastAsia="en-US"/>
              </w:rPr>
              <w:t>If no consensus in RAN1#98, no further discussion in RAN1.</w:t>
            </w:r>
          </w:p>
        </w:tc>
      </w:tr>
    </w:tbl>
    <w:p w14:paraId="142D3B97" w14:textId="1A0347D9" w:rsidR="00557FD4" w:rsidRDefault="00557FD4" w:rsidP="00557FD4">
      <w:pPr>
        <w:rPr>
          <w:lang w:val="en-US"/>
        </w:rPr>
      </w:pPr>
    </w:p>
    <w:p w14:paraId="0AE81E49" w14:textId="34890048" w:rsidR="00557FD4" w:rsidRDefault="00557FD4" w:rsidP="00557FD4">
      <w:pPr>
        <w:rPr>
          <w:lang w:val="en-US"/>
        </w:rPr>
      </w:pPr>
      <w:r>
        <w:rPr>
          <w:rFonts w:hint="eastAsia"/>
          <w:lang w:val="en-US"/>
        </w:rPr>
        <w:t>R</w:t>
      </w:r>
      <w:r>
        <w:rPr>
          <w:lang w:val="en-US"/>
        </w:rPr>
        <w:t>AN1#98</w:t>
      </w:r>
    </w:p>
    <w:tbl>
      <w:tblPr>
        <w:tblStyle w:val="TableGrid"/>
        <w:tblW w:w="0" w:type="auto"/>
        <w:tblLook w:val="04A0" w:firstRow="1" w:lastRow="0" w:firstColumn="1" w:lastColumn="0" w:noHBand="0" w:noVBand="1"/>
      </w:tblPr>
      <w:tblGrid>
        <w:gridCol w:w="9954"/>
      </w:tblGrid>
      <w:tr w:rsidR="00557FD4" w14:paraId="35556D02" w14:textId="77777777" w:rsidTr="00557FD4">
        <w:tc>
          <w:tcPr>
            <w:tcW w:w="9954" w:type="dxa"/>
          </w:tcPr>
          <w:p w14:paraId="2943AA4A" w14:textId="77777777" w:rsidR="00557FD4" w:rsidRDefault="00557FD4" w:rsidP="00557FD4">
            <w:pPr>
              <w:jc w:val="left"/>
              <w:rPr>
                <w:rFonts w:ascii="Times" w:hAnsi="Times"/>
                <w:b/>
                <w:bCs/>
                <w:lang w:eastAsia="x-none"/>
              </w:rPr>
            </w:pPr>
            <w:r>
              <w:rPr>
                <w:rFonts w:ascii="Times" w:hAnsi="Times"/>
                <w:b/>
                <w:bCs/>
                <w:lang w:eastAsia="x-none"/>
              </w:rPr>
              <w:t>Conclusion</w:t>
            </w:r>
          </w:p>
          <w:p w14:paraId="0EA043CB" w14:textId="2C8589C6" w:rsidR="00557FD4" w:rsidRPr="00557FD4" w:rsidRDefault="00557FD4" w:rsidP="00557FD4">
            <w:pPr>
              <w:jc w:val="left"/>
              <w:rPr>
                <w:rFonts w:ascii="Times" w:hAnsi="Times"/>
                <w:lang w:eastAsia="x-none"/>
              </w:rPr>
            </w:pPr>
            <w:r>
              <w:rPr>
                <w:rFonts w:ascii="Times" w:hAnsi="Times"/>
                <w:lang w:eastAsia="x-none"/>
              </w:rPr>
              <w:t>On the issue of beam management enhancements to address MPE, there is no consensus in RAN1 to introduce additional specification support in RAN1. No further discussion for Rel-16 from RAN1 perspective.</w:t>
            </w:r>
          </w:p>
        </w:tc>
      </w:tr>
    </w:tbl>
    <w:p w14:paraId="3D833FD8" w14:textId="6F3507AD" w:rsidR="00557FD4" w:rsidRPr="00557FD4" w:rsidRDefault="00557FD4" w:rsidP="00557FD4">
      <w:pPr>
        <w:rPr>
          <w:lang w:val="en-US"/>
        </w:rPr>
      </w:pPr>
    </w:p>
    <w:p w14:paraId="3D9415FC" w14:textId="4149DC0F" w:rsidR="00557FD4" w:rsidRDefault="00557FD4" w:rsidP="00557FD4">
      <w:r>
        <w:rPr>
          <w:rFonts w:hint="eastAsia"/>
          <w:lang w:val="en-US"/>
        </w:rPr>
        <w:t>I</w:t>
      </w:r>
      <w:r>
        <w:rPr>
          <w:lang w:val="en-US"/>
        </w:rPr>
        <w:t>n Rel-16 discussions, there was no consensus to introduce specification support of MPE related issues. In our perspective, the agreements in RAN1#97 is a starting point to discus</w:t>
      </w:r>
      <w:r w:rsidR="002B18EE">
        <w:rPr>
          <w:lang w:val="en-US"/>
        </w:rPr>
        <w:t xml:space="preserve">s this issue to support </w:t>
      </w:r>
      <w:r w:rsidR="002B18EE" w:rsidRPr="00011D22">
        <w:t>UL beam selection for UEs equipped with multiple panels</w:t>
      </w:r>
      <w:r w:rsidR="002B18EE">
        <w:t xml:space="preserve"> in Rel-17. </w:t>
      </w:r>
    </w:p>
    <w:p w14:paraId="73F10593" w14:textId="7CE1900C" w:rsidR="002B18EE" w:rsidRPr="00557FD4" w:rsidRDefault="002B18EE" w:rsidP="00557FD4">
      <w:pPr>
        <w:rPr>
          <w:lang w:val="en-US"/>
        </w:rPr>
      </w:pPr>
      <w:r w:rsidRPr="00304125">
        <w:rPr>
          <w:rFonts w:hint="eastAsia"/>
          <w:b/>
          <w:bCs/>
        </w:rPr>
        <w:t>P</w:t>
      </w:r>
      <w:r w:rsidRPr="00304125">
        <w:rPr>
          <w:b/>
          <w:bCs/>
        </w:rPr>
        <w:t>roposal</w:t>
      </w:r>
      <w:r w:rsidR="00304125" w:rsidRPr="00304125">
        <w:rPr>
          <w:b/>
          <w:bCs/>
        </w:rPr>
        <w:t xml:space="preserve"> 1</w:t>
      </w:r>
      <w:r w:rsidRPr="00304125">
        <w:rPr>
          <w:b/>
          <w:bCs/>
        </w:rPr>
        <w:t xml:space="preserve">: </w:t>
      </w:r>
      <w:r>
        <w:t>RAN1 should discuss agreements in RAN1#97 for UE as a starting point.</w:t>
      </w:r>
    </w:p>
    <w:p w14:paraId="4763FFEB" w14:textId="74600C60" w:rsidR="000D78FC" w:rsidRDefault="000D78FC" w:rsidP="0017537B">
      <w:pPr>
        <w:rPr>
          <w:lang w:val="en-US"/>
        </w:rPr>
      </w:pPr>
    </w:p>
    <w:p w14:paraId="23C7ADFF" w14:textId="6EE6818C" w:rsidR="00304125" w:rsidRDefault="00304125" w:rsidP="0017537B">
      <w:pPr>
        <w:rPr>
          <w:lang w:val="en-US"/>
        </w:rPr>
      </w:pPr>
      <w:r>
        <w:rPr>
          <w:lang w:val="en-US"/>
        </w:rPr>
        <w:t>As an use case of multi-panel UE, to avoid the impact of MPE, the dense Rx point deployment including heterogeneous network is important. Figure 1 shows one example of the deployment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304125" w14:paraId="45BC654F" w14:textId="77777777" w:rsidTr="00304125">
        <w:tc>
          <w:tcPr>
            <w:tcW w:w="9954" w:type="dxa"/>
          </w:tcPr>
          <w:p w14:paraId="68EC210A" w14:textId="2B2275F4" w:rsidR="00304125" w:rsidRDefault="00304125" w:rsidP="00304125">
            <w:pPr>
              <w:jc w:val="center"/>
              <w:rPr>
                <w:lang w:val="en-US"/>
              </w:rPr>
            </w:pPr>
            <w:r w:rsidRPr="00304125">
              <w:rPr>
                <w:noProof/>
                <w:lang w:val="en-US"/>
              </w:rPr>
              <w:lastRenderedPageBreak/>
              <w:drawing>
                <wp:inline distT="0" distB="0" distL="0" distR="0" wp14:anchorId="2044A9DD" wp14:editId="6108A0B1">
                  <wp:extent cx="5559793" cy="21600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793" cy="2160000"/>
                          </a:xfrm>
                          <a:prstGeom prst="rect">
                            <a:avLst/>
                          </a:prstGeom>
                          <a:noFill/>
                          <a:ln>
                            <a:noFill/>
                          </a:ln>
                        </pic:spPr>
                      </pic:pic>
                    </a:graphicData>
                  </a:graphic>
                </wp:inline>
              </w:drawing>
            </w:r>
          </w:p>
        </w:tc>
      </w:tr>
      <w:tr w:rsidR="00304125" w14:paraId="4E48AD3A" w14:textId="77777777" w:rsidTr="00304125">
        <w:tc>
          <w:tcPr>
            <w:tcW w:w="9954" w:type="dxa"/>
          </w:tcPr>
          <w:p w14:paraId="67875805" w14:textId="56869DFF" w:rsidR="00304125" w:rsidRDefault="00304125" w:rsidP="00304125">
            <w:pPr>
              <w:jc w:val="center"/>
              <w:rPr>
                <w:lang w:val="en-US"/>
              </w:rPr>
            </w:pPr>
            <w:r>
              <w:rPr>
                <w:rFonts w:hint="eastAsia"/>
                <w:lang w:val="en-US"/>
              </w:rPr>
              <w:t>F</w:t>
            </w:r>
            <w:r>
              <w:rPr>
                <w:lang w:val="en-US"/>
              </w:rPr>
              <w:t>igure 1 An example of deployment scenario</w:t>
            </w:r>
          </w:p>
        </w:tc>
      </w:tr>
    </w:tbl>
    <w:p w14:paraId="1C04CEEC" w14:textId="05682A0A" w:rsidR="00304125" w:rsidRDefault="00304125" w:rsidP="0017537B">
      <w:pPr>
        <w:rPr>
          <w:lang w:val="en-US"/>
        </w:rPr>
      </w:pPr>
    </w:p>
    <w:p w14:paraId="0821726A" w14:textId="45FF38B4" w:rsidR="00304125" w:rsidRDefault="00304125" w:rsidP="0017537B">
      <w:pPr>
        <w:rPr>
          <w:lang w:val="en-US"/>
        </w:rPr>
      </w:pPr>
      <w:r>
        <w:rPr>
          <w:lang w:val="en-US"/>
        </w:rPr>
        <w:t>For example, a UE panel #1 transmits UL signals to a Rx point covering macro coverage and a UE panel #2 transmits UL signals to a Rx point within a macro coverage.</w:t>
      </w:r>
      <w:r w:rsidR="009D0C9B">
        <w:rPr>
          <w:lang w:val="en-US"/>
        </w:rPr>
        <w:t xml:space="preserve"> In this case, even if UL coverage loss due to the MPE occurs, another panel can be used. For this purpose, Rx point specific enhancement (e.g. power control) is needed.</w:t>
      </w:r>
    </w:p>
    <w:p w14:paraId="5F8A6AA5" w14:textId="3ED6CEB3" w:rsidR="00304125" w:rsidRDefault="00304125" w:rsidP="0017537B">
      <w:pPr>
        <w:rPr>
          <w:lang w:val="en-US"/>
        </w:rPr>
      </w:pPr>
      <w:r w:rsidRPr="009D0C9B">
        <w:rPr>
          <w:rFonts w:hint="eastAsia"/>
          <w:b/>
          <w:bCs/>
          <w:lang w:val="en-US"/>
        </w:rPr>
        <w:t>P</w:t>
      </w:r>
      <w:r w:rsidRPr="009D0C9B">
        <w:rPr>
          <w:b/>
          <w:bCs/>
          <w:lang w:val="en-US"/>
        </w:rPr>
        <w:t>roposal 2:</w:t>
      </w:r>
      <w:r w:rsidR="009D0C9B">
        <w:rPr>
          <w:lang w:val="en-US"/>
        </w:rPr>
        <w:t xml:space="preserve"> Rx point specific enhancement should be introduced.</w:t>
      </w:r>
    </w:p>
    <w:p w14:paraId="22F3E861" w14:textId="77777777" w:rsidR="00304125" w:rsidRPr="00304125" w:rsidRDefault="00304125"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64C9F24D" w14:textId="77777777" w:rsidR="005F1477" w:rsidRPr="00557FD4" w:rsidRDefault="005F1477" w:rsidP="005F1477">
      <w:pPr>
        <w:rPr>
          <w:lang w:val="en-US"/>
        </w:rPr>
      </w:pPr>
      <w:r w:rsidRPr="00304125">
        <w:rPr>
          <w:rFonts w:hint="eastAsia"/>
          <w:b/>
          <w:bCs/>
        </w:rPr>
        <w:t>P</w:t>
      </w:r>
      <w:r w:rsidRPr="00304125">
        <w:rPr>
          <w:b/>
          <w:bCs/>
        </w:rPr>
        <w:t xml:space="preserve">roposal 1: </w:t>
      </w:r>
      <w:r>
        <w:t>RAN1 should discuss agreements in RAN1#97 for UE as a starting point.</w:t>
      </w:r>
    </w:p>
    <w:p w14:paraId="5CE6AF08" w14:textId="360D20D3" w:rsidR="005F1477" w:rsidRPr="004F08DD" w:rsidRDefault="005F1477" w:rsidP="00121D2A">
      <w:pPr>
        <w:rPr>
          <w:lang w:val="en-US"/>
        </w:rPr>
      </w:pPr>
      <w:r w:rsidRPr="009D0C9B">
        <w:rPr>
          <w:rFonts w:hint="eastAsia"/>
          <w:b/>
          <w:bCs/>
          <w:lang w:val="en-US"/>
        </w:rPr>
        <w:t>P</w:t>
      </w:r>
      <w:r w:rsidRPr="009D0C9B">
        <w:rPr>
          <w:b/>
          <w:bCs/>
          <w:lang w:val="en-US"/>
        </w:rPr>
        <w:t>roposal 2:</w:t>
      </w:r>
      <w:r>
        <w:rPr>
          <w:lang w:val="en-US"/>
        </w:rPr>
        <w:t xml:space="preserve"> Rx point specific enhancement should be introduced.</w:t>
      </w:r>
    </w:p>
    <w:p w14:paraId="594C724E" w14:textId="77777777" w:rsidR="005F1477" w:rsidRDefault="005F1477"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14CCFCF"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4792BF2C" w14:textId="2ACD2F7D" w:rsidR="006C7D35" w:rsidRPr="008D4430" w:rsidRDefault="006C7D35" w:rsidP="002345AD">
      <w:pPr>
        <w:pStyle w:val="textintend2"/>
        <w:widowControl w:val="0"/>
        <w:numPr>
          <w:ilvl w:val="0"/>
          <w:numId w:val="0"/>
        </w:numPr>
        <w:snapToGrid w:val="0"/>
        <w:spacing w:after="0"/>
        <w:rPr>
          <w:szCs w:val="24"/>
        </w:rPr>
      </w:pPr>
    </w:p>
    <w:sectPr w:rsidR="006C7D35" w:rsidRPr="008D443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667B6" w14:textId="77777777" w:rsidR="00580A1F" w:rsidRDefault="00580A1F">
      <w:r>
        <w:separator/>
      </w:r>
    </w:p>
  </w:endnote>
  <w:endnote w:type="continuationSeparator" w:id="0">
    <w:p w14:paraId="568B842C" w14:textId="77777777" w:rsidR="00580A1F" w:rsidRDefault="00580A1F">
      <w:r>
        <w:continuationSeparator/>
      </w:r>
    </w:p>
  </w:endnote>
  <w:endnote w:type="continuationNotice" w:id="1">
    <w:p w14:paraId="4393E63D" w14:textId="77777777" w:rsidR="00580A1F" w:rsidRDefault="00580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07ABA" w14:textId="77777777" w:rsidR="00580A1F" w:rsidRDefault="00580A1F">
      <w:r>
        <w:separator/>
      </w:r>
    </w:p>
  </w:footnote>
  <w:footnote w:type="continuationSeparator" w:id="0">
    <w:p w14:paraId="5268F3AD" w14:textId="77777777" w:rsidR="00580A1F" w:rsidRDefault="00580A1F">
      <w:r>
        <w:continuationSeparator/>
      </w:r>
    </w:p>
  </w:footnote>
  <w:footnote w:type="continuationNotice" w:id="1">
    <w:p w14:paraId="3515FA21" w14:textId="77777777" w:rsidR="00580A1F" w:rsidRDefault="00580A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3"/>
  </w:num>
  <w:num w:numId="6">
    <w:abstractNumId w:val="34"/>
  </w:num>
  <w:num w:numId="7">
    <w:abstractNumId w:val="31"/>
  </w:num>
  <w:num w:numId="8">
    <w:abstractNumId w:val="3"/>
  </w:num>
  <w:num w:numId="9">
    <w:abstractNumId w:val="45"/>
  </w:num>
  <w:num w:numId="10">
    <w:abstractNumId w:val="26"/>
  </w:num>
  <w:num w:numId="11">
    <w:abstractNumId w:val="29"/>
  </w:num>
  <w:num w:numId="12">
    <w:abstractNumId w:val="2"/>
  </w:num>
  <w:num w:numId="13">
    <w:abstractNumId w:val="16"/>
  </w:num>
  <w:num w:numId="14">
    <w:abstractNumId w:val="28"/>
  </w:num>
  <w:num w:numId="15">
    <w:abstractNumId w:val="35"/>
  </w:num>
  <w:num w:numId="16">
    <w:abstractNumId w:val="20"/>
  </w:num>
  <w:num w:numId="17">
    <w:abstractNumId w:val="22"/>
  </w:num>
  <w:num w:numId="18">
    <w:abstractNumId w:val="7"/>
  </w:num>
  <w:num w:numId="19">
    <w:abstractNumId w:val="8"/>
  </w:num>
  <w:num w:numId="20">
    <w:abstractNumId w:val="10"/>
  </w:num>
  <w:num w:numId="21">
    <w:abstractNumId w:val="39"/>
  </w:num>
  <w:num w:numId="22">
    <w:abstractNumId w:val="0"/>
  </w:num>
  <w:num w:numId="23">
    <w:abstractNumId w:val="23"/>
  </w:num>
  <w:num w:numId="24">
    <w:abstractNumId w:val="36"/>
  </w:num>
  <w:num w:numId="25">
    <w:abstractNumId w:val="40"/>
  </w:num>
  <w:num w:numId="26">
    <w:abstractNumId w:val="25"/>
  </w:num>
  <w:num w:numId="27">
    <w:abstractNumId w:val="46"/>
  </w:num>
  <w:num w:numId="28">
    <w:abstractNumId w:val="17"/>
  </w:num>
  <w:num w:numId="29">
    <w:abstractNumId w:val="13"/>
  </w:num>
  <w:num w:numId="30">
    <w:abstractNumId w:val="9"/>
  </w:num>
  <w:num w:numId="31">
    <w:abstractNumId w:val="37"/>
  </w:num>
  <w:num w:numId="32">
    <w:abstractNumId w:val="1"/>
  </w:num>
  <w:num w:numId="33">
    <w:abstractNumId w:val="15"/>
  </w:num>
  <w:num w:numId="34">
    <w:abstractNumId w:val="14"/>
  </w:num>
  <w:num w:numId="35">
    <w:abstractNumId w:val="44"/>
  </w:num>
  <w:num w:numId="36">
    <w:abstractNumId w:val="30"/>
  </w:num>
  <w:num w:numId="37">
    <w:abstractNumId w:val="38"/>
  </w:num>
  <w:num w:numId="38">
    <w:abstractNumId w:val="19"/>
  </w:num>
  <w:num w:numId="39">
    <w:abstractNumId w:val="18"/>
  </w:num>
  <w:num w:numId="40">
    <w:abstractNumId w:val="32"/>
  </w:num>
  <w:num w:numId="41">
    <w:abstractNumId w:val="6"/>
  </w:num>
  <w:num w:numId="42">
    <w:abstractNumId w:val="43"/>
  </w:num>
  <w:num w:numId="43">
    <w:abstractNumId w:val="24"/>
  </w:num>
  <w:num w:numId="44">
    <w:abstractNumId w:val="21"/>
  </w:num>
  <w:num w:numId="45">
    <w:abstractNumId w:val="4"/>
  </w:num>
  <w:num w:numId="46">
    <w:abstractNumId w:val="27"/>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49E"/>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1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0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7FD"/>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747C6-2A5A-403C-A531-48FF286D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28</cp:revision>
  <cp:lastPrinted>2019-03-18T06:48:00Z</cp:lastPrinted>
  <dcterms:created xsi:type="dcterms:W3CDTF">2020-07-28T08:34:00Z</dcterms:created>
  <dcterms:modified xsi:type="dcterms:W3CDTF">2020-08-07T23:50:00Z</dcterms:modified>
</cp:coreProperties>
</file>