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3D69365E"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060B0" w:rsidRPr="006060B0">
        <w:rPr>
          <w:rFonts w:ascii="Times New Roman" w:eastAsiaTheme="minorHAnsi" w:hAnsi="Times New Roman" w:cstheme="minorBidi"/>
          <w:b/>
          <w:bCs/>
          <w:sz w:val="24"/>
          <w:szCs w:val="28"/>
          <w:lang w:val="en-US"/>
        </w:rPr>
        <w:t>2006239</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7A97B66" w:rsidR="00FA20F7" w:rsidRPr="00146444" w:rsidRDefault="00FA20F7" w:rsidP="006A5538">
      <w:pPr>
        <w:pStyle w:val="CRCoverPage"/>
        <w:tabs>
          <w:tab w:val="left" w:pos="1980"/>
        </w:tabs>
        <w:spacing w:after="0"/>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4224FD">
        <w:rPr>
          <w:rFonts w:ascii="Times New Roman" w:hAnsi="Times New Roman"/>
          <w:b/>
          <w:bCs/>
          <w:sz w:val="22"/>
          <w:szCs w:val="22"/>
          <w:lang w:val="en-US"/>
        </w:rPr>
        <w:t>5</w:t>
      </w:r>
      <w:r w:rsidR="001029A1">
        <w:rPr>
          <w:rFonts w:ascii="Times New Roman" w:hAnsi="Times New Roman"/>
          <w:b/>
          <w:bCs/>
          <w:sz w:val="22"/>
          <w:szCs w:val="22"/>
          <w:lang w:val="en-US"/>
        </w:rPr>
        <w:t>.</w:t>
      </w:r>
      <w:r w:rsidR="006A5538">
        <w:rPr>
          <w:rFonts w:ascii="Times New Roman" w:hAnsi="Times New Roman"/>
          <w:b/>
          <w:bCs/>
          <w:sz w:val="22"/>
          <w:szCs w:val="22"/>
          <w:lang w:val="en-US"/>
        </w:rPr>
        <w:t>2</w:t>
      </w:r>
    </w:p>
    <w:p w14:paraId="186753AF" w14:textId="4A889E2B" w:rsidR="00FA20F7" w:rsidRPr="00146444" w:rsidRDefault="0092027E" w:rsidP="006A5538">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AA49F4">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9F5E932" w:rsidR="00FA20F7" w:rsidRPr="00146444" w:rsidRDefault="00FA20F7" w:rsidP="006A5538">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00746" w:rsidRPr="00A00746">
        <w:rPr>
          <w:rFonts w:ascii="Times New Roman" w:hAnsi="Times New Roman" w:cs="Times New Roman"/>
          <w:b/>
          <w:bCs/>
        </w:rPr>
        <w:t>Discussion on evaluation of latency</w:t>
      </w:r>
    </w:p>
    <w:p w14:paraId="20F2A3ED" w14:textId="3A078327" w:rsidR="00FA20F7" w:rsidRPr="00146444" w:rsidRDefault="00A51E32" w:rsidP="006A5538">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CB06CF1" w14:textId="4536680E" w:rsidR="009B254E" w:rsidRPr="003F52E8" w:rsidRDefault="00DA1980" w:rsidP="006B6BFB">
      <w:pPr>
        <w:spacing w:before="120" w:after="120"/>
        <w:jc w:val="both"/>
      </w:pPr>
      <w:r>
        <w:t xml:space="preserve">In RAN Plenary #86, agreements were made to discuss enhancements to improve latency and accuracy of Rel. 16 positioning techniques. In Rel.17, less than one meter of accuracy is required for general commercial use case. For </w:t>
      </w:r>
      <w:proofErr w:type="spellStart"/>
      <w:r>
        <w:t>IIoT</w:t>
      </w:r>
      <w:proofErr w:type="spellEnd"/>
      <w:r>
        <w:t xml:space="preserve"> applications, less than 20cm of accuracy is required. The target latency requirement is less than 100ms while for </w:t>
      </w:r>
      <w:proofErr w:type="spellStart"/>
      <w:r>
        <w:t>IIoT</w:t>
      </w:r>
      <w:proofErr w:type="spellEnd"/>
      <w:r>
        <w:t xml:space="preserve"> applications order of 10ms is desired.</w:t>
      </w:r>
      <w:r w:rsidR="000005F5">
        <w:t xml:space="preserve"> During RAN1#101</w:t>
      </w:r>
      <w:r w:rsidR="009B254E">
        <w:t xml:space="preserve">e, the following agreement was made considering </w:t>
      </w:r>
      <w:r w:rsidR="00D42B88">
        <w:t>evaluation for latency</w:t>
      </w:r>
      <w:r w:rsidR="001C091D">
        <w:t xml:space="preserve"> </w:t>
      </w:r>
      <w:r w:rsidR="001C091D">
        <w:fldChar w:fldCharType="begin"/>
      </w:r>
      <w:r w:rsidR="001C091D">
        <w:instrText xml:space="preserve"> REF _Ref47443492 \r \h </w:instrText>
      </w:r>
      <w:r w:rsidR="006B6BFB">
        <w:instrText xml:space="preserve"> \* MERGEFORMAT </w:instrText>
      </w:r>
      <w:r w:rsidR="001C091D">
        <w:fldChar w:fldCharType="separate"/>
      </w:r>
      <w:r w:rsidR="001C091D">
        <w:t>[2]</w:t>
      </w:r>
      <w:r w:rsidR="001C091D">
        <w:fldChar w:fldCharType="end"/>
      </w:r>
      <w:r w:rsidR="009B254E">
        <w:t>.</w:t>
      </w:r>
    </w:p>
    <w:tbl>
      <w:tblPr>
        <w:tblStyle w:val="TableGrid"/>
        <w:tblW w:w="0" w:type="auto"/>
        <w:tblLook w:val="04A0" w:firstRow="1" w:lastRow="0" w:firstColumn="1" w:lastColumn="0" w:noHBand="0" w:noVBand="1"/>
      </w:tblPr>
      <w:tblGrid>
        <w:gridCol w:w="9629"/>
      </w:tblGrid>
      <w:tr w:rsidR="009B254E" w14:paraId="5ABD9DF4" w14:textId="77777777" w:rsidTr="009B254E">
        <w:tc>
          <w:tcPr>
            <w:tcW w:w="9629" w:type="dxa"/>
          </w:tcPr>
          <w:p w14:paraId="49EFDCD4" w14:textId="77777777" w:rsidR="00D42B88" w:rsidRPr="00B422DA" w:rsidRDefault="00D42B88" w:rsidP="00D42B88">
            <w:pPr>
              <w:pStyle w:val="ListParagraph"/>
              <w:ind w:left="0"/>
              <w:rPr>
                <w:rFonts w:asciiTheme="majorHAnsi" w:hAnsiTheme="majorHAnsi" w:cstheme="majorHAnsi"/>
                <w:szCs w:val="20"/>
                <w:lang w:eastAsia="zh-CN"/>
              </w:rPr>
            </w:pPr>
            <w:r w:rsidRPr="00B422DA">
              <w:rPr>
                <w:rFonts w:asciiTheme="majorHAnsi" w:hAnsiTheme="majorHAnsi" w:cstheme="majorHAnsi"/>
                <w:szCs w:val="20"/>
                <w:highlight w:val="green"/>
                <w:lang w:eastAsia="zh-CN"/>
              </w:rPr>
              <w:t>Agreement:</w:t>
            </w:r>
          </w:p>
          <w:p w14:paraId="11F77D98" w14:textId="77777777" w:rsidR="00D42B88" w:rsidRPr="00B422DA" w:rsidRDefault="00D42B88" w:rsidP="00D42B88">
            <w:pPr>
              <w:pStyle w:val="ListParagraph"/>
              <w:ind w:left="0"/>
              <w:rPr>
                <w:rFonts w:asciiTheme="majorHAnsi" w:hAnsiTheme="majorHAnsi" w:cstheme="majorHAnsi"/>
                <w:szCs w:val="20"/>
                <w:lang w:eastAsia="zh-CN"/>
              </w:rPr>
            </w:pPr>
            <w:r w:rsidRPr="00B422DA">
              <w:rPr>
                <w:rFonts w:asciiTheme="majorHAnsi" w:hAnsiTheme="majorHAnsi" w:cstheme="majorHAnsi"/>
                <w:szCs w:val="20"/>
                <w:lang w:eastAsia="zh-CN"/>
              </w:rPr>
              <w:t>Physical layer latency can be evaluated through analysis and, optionally, numerical evaluation.</w:t>
            </w:r>
          </w:p>
          <w:p w14:paraId="5E99FC1F" w14:textId="77777777" w:rsidR="00D42B88" w:rsidRPr="00B422DA" w:rsidRDefault="00D42B88" w:rsidP="00D42B88">
            <w:pPr>
              <w:pStyle w:val="ListParagraph"/>
              <w:ind w:left="0"/>
              <w:rPr>
                <w:rFonts w:asciiTheme="majorHAnsi" w:hAnsiTheme="majorHAnsi" w:cstheme="majorHAnsi"/>
                <w:szCs w:val="20"/>
                <w:lang w:eastAsia="zh-CN"/>
              </w:rPr>
            </w:pPr>
          </w:p>
          <w:p w14:paraId="546A0B2D" w14:textId="77777777" w:rsidR="00D42B88" w:rsidRPr="00B422DA" w:rsidRDefault="00D42B88" w:rsidP="00D42B88">
            <w:pPr>
              <w:pStyle w:val="ListParagraph"/>
              <w:ind w:left="0"/>
              <w:rPr>
                <w:rFonts w:asciiTheme="majorHAnsi" w:hAnsiTheme="majorHAnsi" w:cstheme="majorHAnsi"/>
                <w:szCs w:val="20"/>
                <w:lang w:eastAsia="zh-CN"/>
              </w:rPr>
            </w:pPr>
            <w:r w:rsidRPr="00B422DA">
              <w:rPr>
                <w:rFonts w:asciiTheme="majorHAnsi" w:hAnsiTheme="majorHAnsi" w:cstheme="majorHAnsi"/>
                <w:szCs w:val="20"/>
                <w:highlight w:val="green"/>
                <w:lang w:eastAsia="zh-CN"/>
              </w:rPr>
              <w:t>Agreement:</w:t>
            </w:r>
          </w:p>
          <w:p w14:paraId="033B95FE" w14:textId="77777777" w:rsidR="00D42B88" w:rsidRPr="00B422DA" w:rsidRDefault="00D42B88" w:rsidP="00D42B88">
            <w:pPr>
              <w:pStyle w:val="ListParagraph"/>
              <w:ind w:left="0"/>
              <w:rPr>
                <w:rFonts w:asciiTheme="majorHAnsi" w:hAnsiTheme="majorHAnsi" w:cstheme="majorHAnsi"/>
                <w:szCs w:val="20"/>
                <w:lang w:eastAsia="zh-CN"/>
              </w:rPr>
            </w:pPr>
            <w:r w:rsidRPr="00B422DA">
              <w:rPr>
                <w:rFonts w:asciiTheme="majorHAnsi" w:hAnsiTheme="majorHAnsi" w:cstheme="majorHAnsi"/>
                <w:szCs w:val="20"/>
                <w:lang w:eastAsia="zh-CN"/>
              </w:rPr>
              <w:t>Higher layer positioning latency can be evaluated in this SI.</w:t>
            </w:r>
          </w:p>
          <w:p w14:paraId="1FF5E02E" w14:textId="77777777" w:rsidR="00D42B88" w:rsidRPr="00B422DA" w:rsidRDefault="00D42B88" w:rsidP="00D064DF">
            <w:pPr>
              <w:pStyle w:val="ListParagraph"/>
              <w:numPr>
                <w:ilvl w:val="0"/>
                <w:numId w:val="12"/>
              </w:numPr>
              <w:rPr>
                <w:rFonts w:asciiTheme="majorHAnsi" w:hAnsiTheme="majorHAnsi" w:cstheme="majorHAnsi"/>
                <w:szCs w:val="20"/>
                <w:lang w:eastAsia="zh-CN"/>
              </w:rPr>
            </w:pPr>
            <w:r w:rsidRPr="00B422DA">
              <w:rPr>
                <w:rFonts w:asciiTheme="majorHAnsi" w:hAnsiTheme="majorHAnsi" w:cstheme="majorHAnsi"/>
                <w:szCs w:val="20"/>
                <w:lang w:eastAsia="zh-CN"/>
              </w:rPr>
              <w:t>FFS: how to evaluate higher-layer positioning latency</w:t>
            </w:r>
          </w:p>
          <w:p w14:paraId="0B5BC5BD" w14:textId="36A61350" w:rsidR="009B254E" w:rsidRPr="00B422DA" w:rsidRDefault="00D42B88" w:rsidP="00D064DF">
            <w:pPr>
              <w:numPr>
                <w:ilvl w:val="0"/>
                <w:numId w:val="12"/>
              </w:numPr>
              <w:rPr>
                <w:rFonts w:asciiTheme="majorHAnsi" w:hAnsiTheme="majorHAnsi" w:cstheme="majorHAnsi"/>
                <w:szCs w:val="20"/>
                <w:lang w:eastAsia="x-none"/>
              </w:rPr>
            </w:pPr>
            <w:r w:rsidRPr="00B422DA">
              <w:rPr>
                <w:rFonts w:asciiTheme="majorHAnsi" w:hAnsiTheme="majorHAnsi" w:cstheme="majorHAnsi"/>
                <w:szCs w:val="20"/>
                <w:lang w:eastAsia="zh-CN"/>
              </w:rPr>
              <w:t>FFS: which higher-layers should be included in the evaluation</w:t>
            </w:r>
          </w:p>
        </w:tc>
      </w:tr>
    </w:tbl>
    <w:p w14:paraId="74FB3F07" w14:textId="25B78060" w:rsidR="00FC2434" w:rsidRDefault="00FC2434" w:rsidP="006B6BFB">
      <w:pPr>
        <w:spacing w:before="120" w:after="120"/>
      </w:pPr>
      <w:r>
        <w:t>In addition, the following agreements were made during RAN1#101e.</w:t>
      </w:r>
    </w:p>
    <w:tbl>
      <w:tblPr>
        <w:tblStyle w:val="TableGrid"/>
        <w:tblW w:w="0" w:type="auto"/>
        <w:tblLook w:val="04A0" w:firstRow="1" w:lastRow="0" w:firstColumn="1" w:lastColumn="0" w:noHBand="0" w:noVBand="1"/>
      </w:tblPr>
      <w:tblGrid>
        <w:gridCol w:w="9629"/>
      </w:tblGrid>
      <w:tr w:rsidR="00FC2434" w14:paraId="61711FC7" w14:textId="77777777" w:rsidTr="00FC2434">
        <w:tc>
          <w:tcPr>
            <w:tcW w:w="9629" w:type="dxa"/>
          </w:tcPr>
          <w:p w14:paraId="5F283542" w14:textId="77777777" w:rsidR="00FC2434" w:rsidRDefault="00FC2434" w:rsidP="00FC2434">
            <w:pPr>
              <w:pStyle w:val="ListParagraph"/>
              <w:ind w:left="0"/>
              <w:rPr>
                <w:szCs w:val="20"/>
              </w:rPr>
            </w:pPr>
            <w:r>
              <w:rPr>
                <w:szCs w:val="20"/>
                <w:highlight w:val="green"/>
              </w:rPr>
              <w:t>Agreement:</w:t>
            </w:r>
          </w:p>
          <w:p w14:paraId="24900855" w14:textId="77777777" w:rsidR="00FC2434" w:rsidRDefault="00FC2434" w:rsidP="00D064DF">
            <w:pPr>
              <w:pStyle w:val="ListParagraph"/>
              <w:numPr>
                <w:ilvl w:val="0"/>
                <w:numId w:val="13"/>
              </w:numPr>
              <w:ind w:left="360"/>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14:paraId="449C792C" w14:textId="77777777" w:rsidR="00FC2434" w:rsidRDefault="00FC2434" w:rsidP="00D064DF">
            <w:pPr>
              <w:pStyle w:val="ListParagraph"/>
              <w:numPr>
                <w:ilvl w:val="1"/>
                <w:numId w:val="14"/>
              </w:numPr>
              <w:tabs>
                <w:tab w:val="left" w:pos="1004"/>
              </w:tabs>
              <w:spacing w:line="256" w:lineRule="auto"/>
              <w:ind w:left="1080"/>
              <w:contextualSpacing/>
              <w:rPr>
                <w:szCs w:val="20"/>
                <w:lang w:eastAsia="zh-CN"/>
              </w:rPr>
            </w:pPr>
            <w:r>
              <w:rPr>
                <w:szCs w:val="20"/>
              </w:rPr>
              <w:t>Horizontal position accuracy (&lt; 1 m) for [90%] of UEs</w:t>
            </w:r>
          </w:p>
          <w:p w14:paraId="41E17416" w14:textId="77777777" w:rsidR="00FC2434" w:rsidRDefault="00FC2434" w:rsidP="00D064DF">
            <w:pPr>
              <w:pStyle w:val="ListParagraph"/>
              <w:numPr>
                <w:ilvl w:val="1"/>
                <w:numId w:val="14"/>
              </w:numPr>
              <w:tabs>
                <w:tab w:val="left" w:pos="1004"/>
              </w:tabs>
              <w:spacing w:line="256" w:lineRule="auto"/>
              <w:ind w:left="1080"/>
              <w:contextualSpacing/>
              <w:rPr>
                <w:szCs w:val="20"/>
                <w:lang w:eastAsia="zh-CN"/>
              </w:rPr>
            </w:pPr>
            <w:r>
              <w:rPr>
                <w:szCs w:val="20"/>
              </w:rPr>
              <w:t>Vertical position accuracy (&lt; [2 or 3] m) for [90%] of UEs</w:t>
            </w:r>
          </w:p>
          <w:p w14:paraId="012F4770" w14:textId="77777777" w:rsidR="00FC2434" w:rsidRDefault="00FC2434" w:rsidP="00D064DF">
            <w:pPr>
              <w:pStyle w:val="ListParagraph"/>
              <w:numPr>
                <w:ilvl w:val="1"/>
                <w:numId w:val="14"/>
              </w:numPr>
              <w:tabs>
                <w:tab w:val="left" w:pos="1004"/>
              </w:tabs>
              <w:spacing w:line="256" w:lineRule="auto"/>
              <w:ind w:left="1080"/>
              <w:contextualSpacing/>
              <w:rPr>
                <w:szCs w:val="20"/>
                <w:lang w:eastAsia="zh-CN"/>
              </w:rPr>
            </w:pPr>
            <w:r>
              <w:rPr>
                <w:szCs w:val="20"/>
              </w:rPr>
              <w:t>End-to-end latency for position estimation of UE (&lt; [100 ms])</w:t>
            </w:r>
          </w:p>
          <w:p w14:paraId="0DD44631" w14:textId="77777777" w:rsidR="00FC2434" w:rsidRDefault="00FC2434" w:rsidP="00D064DF">
            <w:pPr>
              <w:pStyle w:val="ListParagraph"/>
              <w:numPr>
                <w:ilvl w:val="1"/>
                <w:numId w:val="14"/>
              </w:numPr>
              <w:tabs>
                <w:tab w:val="left" w:pos="1004"/>
              </w:tabs>
              <w:spacing w:line="256" w:lineRule="auto"/>
              <w:ind w:left="1080"/>
              <w:contextualSpacing/>
              <w:rPr>
                <w:szCs w:val="20"/>
                <w:lang w:eastAsia="zh-CN"/>
              </w:rPr>
            </w:pPr>
            <w:r>
              <w:rPr>
                <w:szCs w:val="20"/>
              </w:rPr>
              <w:t>FFS: Physical layer latency for position estimation of UE (&lt; [10 ms])</w:t>
            </w:r>
          </w:p>
          <w:p w14:paraId="2395899D" w14:textId="77777777" w:rsidR="00FC2434" w:rsidRDefault="00FC2434" w:rsidP="00D064DF">
            <w:pPr>
              <w:pStyle w:val="ListParagraph"/>
              <w:numPr>
                <w:ilvl w:val="0"/>
                <w:numId w:val="13"/>
              </w:numPr>
              <w:ind w:left="360"/>
              <w:rPr>
                <w:szCs w:val="20"/>
                <w:lang w:eastAsia="zh-CN"/>
              </w:rPr>
            </w:pPr>
            <w:r>
              <w:rPr>
                <w:szCs w:val="20"/>
                <w:lang w:eastAsia="zh-CN"/>
              </w:rPr>
              <w:t xml:space="preserve">In Rel-17 target positioning requirements for </w:t>
            </w:r>
            <w:proofErr w:type="spellStart"/>
            <w:r>
              <w:rPr>
                <w:b/>
                <w:bCs/>
                <w:szCs w:val="20"/>
                <w:lang w:eastAsia="zh-CN"/>
              </w:rPr>
              <w:t>IIoT</w:t>
            </w:r>
            <w:proofErr w:type="spellEnd"/>
            <w:r>
              <w:rPr>
                <w:b/>
                <w:bCs/>
                <w:szCs w:val="20"/>
                <w:lang w:eastAsia="zh-CN"/>
              </w:rPr>
              <w:t xml:space="preserve"> use cases</w:t>
            </w:r>
            <w:r>
              <w:rPr>
                <w:szCs w:val="20"/>
                <w:lang w:eastAsia="zh-CN"/>
              </w:rPr>
              <w:t xml:space="preserve"> are defined as follows:</w:t>
            </w:r>
          </w:p>
          <w:p w14:paraId="3ACD19C6" w14:textId="77777777" w:rsidR="00FC2434" w:rsidRDefault="00FC2434" w:rsidP="00D064DF">
            <w:pPr>
              <w:pStyle w:val="ListParagraph"/>
              <w:numPr>
                <w:ilvl w:val="1"/>
                <w:numId w:val="14"/>
              </w:numPr>
              <w:tabs>
                <w:tab w:val="left" w:pos="1004"/>
              </w:tabs>
              <w:spacing w:line="256" w:lineRule="auto"/>
              <w:ind w:left="1080"/>
              <w:contextualSpacing/>
              <w:rPr>
                <w:szCs w:val="20"/>
              </w:rPr>
            </w:pPr>
            <w:r>
              <w:rPr>
                <w:szCs w:val="20"/>
              </w:rPr>
              <w:t>Horizontal position accuracy (&lt; X m) for [90%] of UEs</w:t>
            </w:r>
          </w:p>
          <w:p w14:paraId="696298EE" w14:textId="77777777" w:rsidR="00FC2434" w:rsidRDefault="00FC2434" w:rsidP="00D064DF">
            <w:pPr>
              <w:pStyle w:val="ListParagraph"/>
              <w:numPr>
                <w:ilvl w:val="2"/>
                <w:numId w:val="14"/>
              </w:numPr>
              <w:tabs>
                <w:tab w:val="left" w:pos="1004"/>
              </w:tabs>
              <w:spacing w:line="256" w:lineRule="auto"/>
              <w:contextualSpacing/>
              <w:rPr>
                <w:szCs w:val="20"/>
              </w:rPr>
            </w:pPr>
            <w:r>
              <w:rPr>
                <w:szCs w:val="20"/>
              </w:rPr>
              <w:t>X = [0.2 or 0.5] m</w:t>
            </w:r>
          </w:p>
          <w:p w14:paraId="0691DC73" w14:textId="77777777" w:rsidR="00FC2434" w:rsidRDefault="00FC2434" w:rsidP="00D064DF">
            <w:pPr>
              <w:pStyle w:val="ListParagraph"/>
              <w:numPr>
                <w:ilvl w:val="1"/>
                <w:numId w:val="14"/>
              </w:numPr>
              <w:tabs>
                <w:tab w:val="left" w:pos="1004"/>
              </w:tabs>
              <w:spacing w:line="256" w:lineRule="auto"/>
              <w:ind w:left="1080"/>
              <w:contextualSpacing/>
              <w:rPr>
                <w:szCs w:val="20"/>
              </w:rPr>
            </w:pPr>
            <w:r>
              <w:rPr>
                <w:szCs w:val="20"/>
              </w:rPr>
              <w:t>Vertical position accuracy (&lt; Y m) for [90%] of UEs</w:t>
            </w:r>
          </w:p>
          <w:p w14:paraId="24C2D02A" w14:textId="77777777" w:rsidR="00FC2434" w:rsidRDefault="00FC2434" w:rsidP="00D064DF">
            <w:pPr>
              <w:pStyle w:val="ListParagraph"/>
              <w:numPr>
                <w:ilvl w:val="2"/>
                <w:numId w:val="14"/>
              </w:numPr>
              <w:tabs>
                <w:tab w:val="left" w:pos="1004"/>
              </w:tabs>
              <w:spacing w:line="256" w:lineRule="auto"/>
              <w:contextualSpacing/>
              <w:rPr>
                <w:szCs w:val="20"/>
              </w:rPr>
            </w:pPr>
            <w:r>
              <w:rPr>
                <w:szCs w:val="20"/>
              </w:rPr>
              <w:t>Y = [0.2 or 1] m</w:t>
            </w:r>
          </w:p>
          <w:p w14:paraId="60B8B16C" w14:textId="77777777" w:rsidR="00FC2434" w:rsidRDefault="00FC2434" w:rsidP="00D064DF">
            <w:pPr>
              <w:pStyle w:val="ListParagraph"/>
              <w:numPr>
                <w:ilvl w:val="1"/>
                <w:numId w:val="14"/>
              </w:numPr>
              <w:tabs>
                <w:tab w:val="left" w:pos="1004"/>
              </w:tabs>
              <w:spacing w:line="256" w:lineRule="auto"/>
              <w:ind w:left="1080"/>
              <w:contextualSpacing/>
              <w:rPr>
                <w:szCs w:val="20"/>
              </w:rPr>
            </w:pPr>
            <w:r>
              <w:rPr>
                <w:szCs w:val="20"/>
              </w:rPr>
              <w:t>End-to-end latency for position estimation of UE (&lt; [10ms, 20ms, or 100ms])</w:t>
            </w:r>
          </w:p>
          <w:p w14:paraId="287B7818" w14:textId="77777777" w:rsidR="00FC2434" w:rsidRDefault="00FC2434" w:rsidP="00D064DF">
            <w:pPr>
              <w:pStyle w:val="ListParagraph"/>
              <w:numPr>
                <w:ilvl w:val="1"/>
                <w:numId w:val="14"/>
              </w:numPr>
              <w:tabs>
                <w:tab w:val="left" w:pos="1004"/>
              </w:tabs>
              <w:spacing w:line="256" w:lineRule="auto"/>
              <w:ind w:left="1080"/>
              <w:contextualSpacing/>
              <w:rPr>
                <w:szCs w:val="20"/>
              </w:rPr>
            </w:pPr>
            <w:r>
              <w:rPr>
                <w:szCs w:val="20"/>
              </w:rPr>
              <w:t>FFS: Physical layer latency for position estimation of UE (&lt; [10ms])</w:t>
            </w:r>
          </w:p>
          <w:p w14:paraId="799EF02E" w14:textId="1BD52E13" w:rsidR="00FC2434" w:rsidRPr="00FC2434" w:rsidRDefault="00FC2434" w:rsidP="00D064DF">
            <w:pPr>
              <w:pStyle w:val="ListParagraph"/>
              <w:numPr>
                <w:ilvl w:val="0"/>
                <w:numId w:val="13"/>
              </w:numPr>
              <w:ind w:left="360"/>
              <w:rPr>
                <w:szCs w:val="20"/>
              </w:rPr>
            </w:pPr>
            <w:r>
              <w:rPr>
                <w:szCs w:val="20"/>
                <w:lang w:eastAsia="zh-CN"/>
              </w:rPr>
              <w:t>Note: Target positioning requirements may not necessarily be reached for all scenarios</w:t>
            </w:r>
          </w:p>
        </w:tc>
      </w:tr>
    </w:tbl>
    <w:p w14:paraId="4FF0A5C8" w14:textId="5A886B73" w:rsidR="00842377" w:rsidRPr="000005F5" w:rsidRDefault="00842377" w:rsidP="006B6BFB">
      <w:pPr>
        <w:spacing w:before="120" w:after="120"/>
        <w:jc w:val="both"/>
      </w:pPr>
      <w:r>
        <w:t xml:space="preserve">In this contribution, we address </w:t>
      </w:r>
      <w:r w:rsidR="00620717">
        <w:t>delay components</w:t>
      </w:r>
      <w:r>
        <w:t xml:space="preserve"> concerning</w:t>
      </w:r>
      <w:r w:rsidR="001771E2">
        <w:t xml:space="preserve"> UE </w:t>
      </w:r>
      <w:r w:rsidR="00362B2F">
        <w:t>at</w:t>
      </w:r>
      <w:r>
        <w:t xml:space="preserve"> both physical layer and higher layer positioning latency.</w:t>
      </w:r>
      <w:r w:rsidR="00620717">
        <w:t xml:space="preserve"> Analysis from our companion contribution </w:t>
      </w:r>
      <w:r w:rsidR="00620717">
        <w:fldChar w:fldCharType="begin"/>
      </w:r>
      <w:r w:rsidR="00620717">
        <w:instrText xml:space="preserve"> REF _Ref47696208 \r \h </w:instrText>
      </w:r>
      <w:r w:rsidR="0056159E">
        <w:instrText xml:space="preserve"> \* MERGEFORMAT </w:instrText>
      </w:r>
      <w:r w:rsidR="00620717">
        <w:fldChar w:fldCharType="separate"/>
      </w:r>
      <w:r w:rsidR="00620717">
        <w:t>[3]</w:t>
      </w:r>
      <w:r w:rsidR="00620717">
        <w:fldChar w:fldCharType="end"/>
      </w:r>
      <w:r w:rsidR="00620717">
        <w:t xml:space="preserve"> is referred in this contribution.</w:t>
      </w:r>
      <w:r w:rsidR="00D2712B">
        <w:t xml:space="preserve"> </w:t>
      </w:r>
    </w:p>
    <w:p w14:paraId="507F0B03" w14:textId="308724DD" w:rsidR="004843FA" w:rsidRDefault="00D078FB" w:rsidP="004843FA">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Latency analysis</w:t>
      </w:r>
    </w:p>
    <w:p w14:paraId="6B66113E" w14:textId="7E281F42" w:rsidR="003A2D95" w:rsidRPr="003A2D95" w:rsidRDefault="009E2425" w:rsidP="006B6BFB">
      <w:pPr>
        <w:spacing w:before="120" w:after="120"/>
        <w:jc w:val="both"/>
        <w:rPr>
          <w:lang w:val="en-GB" w:eastAsia="zh-CN"/>
        </w:rPr>
      </w:pPr>
      <w:r w:rsidRPr="00F55B47">
        <w:rPr>
          <w:lang w:val="en-GB" w:eastAsia="zh-CN"/>
        </w:rPr>
        <w:t xml:space="preserve">In our companion contribution, components that introduce latencies in the network are explained </w:t>
      </w:r>
      <w:r w:rsidRPr="00F55B47">
        <w:rPr>
          <w:lang w:val="en-GB" w:eastAsia="zh-CN"/>
        </w:rPr>
        <w:fldChar w:fldCharType="begin"/>
      </w:r>
      <w:r w:rsidRPr="00F55B47">
        <w:rPr>
          <w:lang w:val="en-GB" w:eastAsia="zh-CN"/>
        </w:rPr>
        <w:instrText xml:space="preserve"> REF _Ref47696208 \r \h </w:instrText>
      </w:r>
      <w:r w:rsidR="00F55B47">
        <w:rPr>
          <w:lang w:val="en-GB" w:eastAsia="zh-CN"/>
        </w:rPr>
        <w:instrText xml:space="preserve"> \* MERGEFORMAT </w:instrText>
      </w:r>
      <w:r w:rsidRPr="00F55B47">
        <w:rPr>
          <w:lang w:val="en-GB" w:eastAsia="zh-CN"/>
        </w:rPr>
      </w:r>
      <w:r w:rsidRPr="00F55B47">
        <w:rPr>
          <w:lang w:val="en-GB" w:eastAsia="zh-CN"/>
        </w:rPr>
        <w:fldChar w:fldCharType="separate"/>
      </w:r>
      <w:r w:rsidRPr="00F55B47">
        <w:rPr>
          <w:lang w:val="en-GB" w:eastAsia="zh-CN"/>
        </w:rPr>
        <w:t>[3]</w:t>
      </w:r>
      <w:r w:rsidRPr="00F55B47">
        <w:rPr>
          <w:lang w:val="en-GB" w:eastAsia="zh-CN"/>
        </w:rPr>
        <w:fldChar w:fldCharType="end"/>
      </w:r>
      <w:r w:rsidRPr="00F55B47">
        <w:rPr>
          <w:lang w:val="en-GB" w:eastAsia="zh-CN"/>
        </w:rPr>
        <w:t xml:space="preserve">. Namely, from the physical layer perspective, the following </w:t>
      </w:r>
      <w:r w:rsidR="003A2D95">
        <w:rPr>
          <w:lang w:val="en-GB" w:eastAsia="zh-CN"/>
        </w:rPr>
        <w:t>four</w:t>
      </w:r>
      <w:r w:rsidRPr="00F55B47">
        <w:rPr>
          <w:lang w:val="en-GB" w:eastAsia="zh-CN"/>
        </w:rPr>
        <w:t xml:space="preserve"> </w:t>
      </w:r>
      <w:r w:rsidR="00362B2F" w:rsidRPr="00F55B47">
        <w:rPr>
          <w:lang w:val="en-GB" w:eastAsia="zh-CN"/>
        </w:rPr>
        <w:t>delay</w:t>
      </w:r>
      <w:r w:rsidR="00587615" w:rsidRPr="00F55B47">
        <w:rPr>
          <w:lang w:val="en-GB" w:eastAsia="zh-CN"/>
        </w:rPr>
        <w:t xml:space="preserve"> </w:t>
      </w:r>
      <w:r w:rsidRPr="00F55B47">
        <w:rPr>
          <w:lang w:val="en-GB" w:eastAsia="zh-CN"/>
        </w:rPr>
        <w:t>components impact latencies for</w:t>
      </w:r>
      <w:r w:rsidR="003A2D95">
        <w:rPr>
          <w:lang w:val="en-GB" w:eastAsia="zh-CN"/>
        </w:rPr>
        <w:t xml:space="preserve"> RS:</w:t>
      </w:r>
    </w:p>
    <w:p w14:paraId="0DBAF06F" w14:textId="77777777" w:rsidR="00F55B47" w:rsidRPr="00F55B47" w:rsidRDefault="00F55B47" w:rsidP="006B6BFB">
      <w:pPr>
        <w:pStyle w:val="ListParagraph"/>
        <w:numPr>
          <w:ilvl w:val="0"/>
          <w:numId w:val="15"/>
        </w:numPr>
        <w:spacing w:before="120" w:after="120"/>
        <w:contextualSpacing/>
        <w:jc w:val="both"/>
        <w:rPr>
          <w:rFonts w:asciiTheme="minorHAnsi" w:hAnsiTheme="minorHAnsi"/>
          <w:b/>
          <w:bCs/>
        </w:rPr>
      </w:pPr>
      <w:bookmarkStart w:id="1" w:name="_Hlk46854703"/>
      <w:r w:rsidRPr="00F55B47">
        <w:rPr>
          <w:rFonts w:asciiTheme="minorHAnsi" w:hAnsiTheme="minorHAnsi"/>
          <w:b/>
          <w:bCs/>
        </w:rPr>
        <w:t xml:space="preserve">T1: Time duration for positioning initialization: </w:t>
      </w:r>
    </w:p>
    <w:p w14:paraId="57A69CBA" w14:textId="267497E4" w:rsidR="00F55B47" w:rsidRPr="00F55B47" w:rsidRDefault="00F55B47" w:rsidP="006B6BFB">
      <w:pPr>
        <w:pStyle w:val="ListParagraph"/>
        <w:numPr>
          <w:ilvl w:val="1"/>
          <w:numId w:val="16"/>
        </w:numPr>
        <w:spacing w:before="120" w:after="120"/>
        <w:contextualSpacing/>
        <w:jc w:val="both"/>
        <w:rPr>
          <w:rFonts w:asciiTheme="minorHAnsi" w:hAnsiTheme="minorHAnsi"/>
          <w:b/>
          <w:bCs/>
        </w:rPr>
      </w:pPr>
      <w:r w:rsidRPr="00F55B47">
        <w:rPr>
          <w:rFonts w:asciiTheme="minorHAnsi" w:hAnsiTheme="minorHAnsi"/>
        </w:rPr>
        <w:t xml:space="preserve">DL: </w:t>
      </w:r>
      <w:r w:rsidR="00362B2F" w:rsidRPr="00F55B47">
        <w:rPr>
          <w:rFonts w:asciiTheme="minorHAnsi" w:hAnsiTheme="minorHAnsi"/>
        </w:rPr>
        <w:t>Signaling</w:t>
      </w:r>
      <w:r w:rsidRPr="00F55B47">
        <w:rPr>
          <w:rFonts w:asciiTheme="minorHAnsi" w:hAnsiTheme="minorHAnsi"/>
        </w:rPr>
        <w:t xml:space="preserve"> for provisioning of PRS configuration and initialization of PRS measurement at UE</w:t>
      </w:r>
    </w:p>
    <w:p w14:paraId="2DD77392" w14:textId="5F5D8864" w:rsidR="00F55B47" w:rsidRPr="00F55B47" w:rsidRDefault="00F55B47" w:rsidP="006B6BFB">
      <w:pPr>
        <w:pStyle w:val="ListParagraph"/>
        <w:numPr>
          <w:ilvl w:val="1"/>
          <w:numId w:val="16"/>
        </w:numPr>
        <w:spacing w:before="120" w:after="120"/>
        <w:contextualSpacing/>
        <w:jc w:val="both"/>
        <w:rPr>
          <w:rFonts w:asciiTheme="minorHAnsi" w:hAnsiTheme="minorHAnsi"/>
          <w:b/>
          <w:bCs/>
        </w:rPr>
      </w:pPr>
      <w:r w:rsidRPr="00F55B47">
        <w:rPr>
          <w:rFonts w:asciiTheme="minorHAnsi" w:hAnsiTheme="minorHAnsi"/>
        </w:rPr>
        <w:t xml:space="preserve">UL: </w:t>
      </w:r>
      <w:r w:rsidR="00362B2F" w:rsidRPr="00F55B47">
        <w:rPr>
          <w:rFonts w:asciiTheme="minorHAnsi" w:hAnsiTheme="minorHAnsi"/>
        </w:rPr>
        <w:t>Signaling</w:t>
      </w:r>
      <w:r w:rsidRPr="00F55B47">
        <w:rPr>
          <w:rFonts w:asciiTheme="minorHAnsi" w:hAnsiTheme="minorHAnsi"/>
        </w:rPr>
        <w:t xml:space="preserve"> for reception of </w:t>
      </w:r>
      <w:proofErr w:type="spellStart"/>
      <w:r w:rsidRPr="00F55B47">
        <w:rPr>
          <w:rFonts w:asciiTheme="minorHAnsi" w:hAnsiTheme="minorHAnsi"/>
        </w:rPr>
        <w:t>SRSp</w:t>
      </w:r>
      <w:proofErr w:type="spellEnd"/>
      <w:r w:rsidRPr="00F55B47">
        <w:rPr>
          <w:rFonts w:asciiTheme="minorHAnsi" w:hAnsiTheme="minorHAnsi"/>
        </w:rPr>
        <w:t xml:space="preserve"> configuration at UE and initialization for SRS transmission</w:t>
      </w:r>
    </w:p>
    <w:p w14:paraId="3D798660" w14:textId="77777777" w:rsidR="00F55B47" w:rsidRPr="00F55B47" w:rsidRDefault="00F55B47" w:rsidP="006B6BFB">
      <w:pPr>
        <w:pStyle w:val="ListParagraph"/>
        <w:numPr>
          <w:ilvl w:val="0"/>
          <w:numId w:val="15"/>
        </w:numPr>
        <w:spacing w:before="120" w:after="120"/>
        <w:contextualSpacing/>
        <w:jc w:val="both"/>
        <w:rPr>
          <w:rFonts w:asciiTheme="minorHAnsi" w:hAnsiTheme="minorHAnsi"/>
          <w:b/>
          <w:bCs/>
        </w:rPr>
      </w:pPr>
      <w:r w:rsidRPr="00F55B47">
        <w:rPr>
          <w:rFonts w:asciiTheme="minorHAnsi" w:hAnsiTheme="minorHAnsi"/>
          <w:b/>
          <w:bCs/>
        </w:rPr>
        <w:t>T2: Time duration for RS reception/transmission and processing</w:t>
      </w:r>
      <w:bookmarkEnd w:id="1"/>
      <w:r w:rsidRPr="00F55B47">
        <w:rPr>
          <w:rFonts w:asciiTheme="minorHAnsi" w:hAnsiTheme="minorHAnsi"/>
          <w:b/>
          <w:bCs/>
        </w:rPr>
        <w:t xml:space="preserve">: </w:t>
      </w:r>
    </w:p>
    <w:p w14:paraId="7A24DEA6" w14:textId="77777777" w:rsidR="00F55B47" w:rsidRPr="00F55B47" w:rsidRDefault="00F55B47" w:rsidP="006B6BFB">
      <w:pPr>
        <w:pStyle w:val="ListParagraph"/>
        <w:numPr>
          <w:ilvl w:val="1"/>
          <w:numId w:val="16"/>
        </w:numPr>
        <w:spacing w:before="120" w:after="120"/>
        <w:contextualSpacing/>
        <w:jc w:val="both"/>
        <w:rPr>
          <w:rFonts w:asciiTheme="minorHAnsi" w:hAnsiTheme="minorHAnsi"/>
        </w:rPr>
      </w:pPr>
      <w:r w:rsidRPr="00F55B47">
        <w:rPr>
          <w:rFonts w:asciiTheme="minorHAnsi" w:hAnsiTheme="minorHAnsi"/>
        </w:rPr>
        <w:t>DL: PRS reception, measurement and processing at UE</w:t>
      </w:r>
    </w:p>
    <w:p w14:paraId="737E74F9" w14:textId="77777777" w:rsidR="00F55B47" w:rsidRPr="00F55B47" w:rsidRDefault="00F55B47" w:rsidP="006B6BFB">
      <w:pPr>
        <w:pStyle w:val="ListParagraph"/>
        <w:numPr>
          <w:ilvl w:val="1"/>
          <w:numId w:val="16"/>
        </w:numPr>
        <w:spacing w:before="120" w:after="120"/>
        <w:contextualSpacing/>
        <w:jc w:val="both"/>
        <w:rPr>
          <w:rFonts w:asciiTheme="minorHAnsi" w:hAnsiTheme="minorHAnsi"/>
        </w:rPr>
      </w:pPr>
      <w:r w:rsidRPr="00F55B47">
        <w:rPr>
          <w:rFonts w:asciiTheme="minorHAnsi" w:hAnsiTheme="minorHAnsi"/>
        </w:rPr>
        <w:t xml:space="preserve">UL: </w:t>
      </w:r>
      <w:proofErr w:type="spellStart"/>
      <w:r w:rsidRPr="00F55B47">
        <w:rPr>
          <w:rFonts w:asciiTheme="minorHAnsi" w:hAnsiTheme="minorHAnsi"/>
        </w:rPr>
        <w:t>SRSp</w:t>
      </w:r>
      <w:proofErr w:type="spellEnd"/>
      <w:r w:rsidRPr="00F55B47">
        <w:rPr>
          <w:rFonts w:asciiTheme="minorHAnsi" w:hAnsiTheme="minorHAnsi"/>
        </w:rPr>
        <w:t xml:space="preserve"> transmission and processing at UE</w:t>
      </w:r>
    </w:p>
    <w:p w14:paraId="555A593C" w14:textId="77777777" w:rsidR="00F55B47" w:rsidRPr="00F55B47" w:rsidRDefault="00F55B47" w:rsidP="006B6BFB">
      <w:pPr>
        <w:pStyle w:val="ListParagraph"/>
        <w:numPr>
          <w:ilvl w:val="0"/>
          <w:numId w:val="15"/>
        </w:numPr>
        <w:spacing w:before="120" w:after="120"/>
        <w:contextualSpacing/>
        <w:jc w:val="both"/>
        <w:rPr>
          <w:rFonts w:asciiTheme="minorHAnsi" w:hAnsiTheme="minorHAnsi"/>
        </w:rPr>
      </w:pPr>
      <w:r w:rsidRPr="00F55B47">
        <w:rPr>
          <w:rFonts w:asciiTheme="minorHAnsi" w:hAnsiTheme="minorHAnsi"/>
          <w:b/>
          <w:bCs/>
        </w:rPr>
        <w:t xml:space="preserve">T3: Time duration for measurement reporting and processing: </w:t>
      </w:r>
    </w:p>
    <w:p w14:paraId="061E387A" w14:textId="77777777" w:rsidR="00F55B47" w:rsidRPr="00F55B47" w:rsidRDefault="00F55B47" w:rsidP="006B6BFB">
      <w:pPr>
        <w:pStyle w:val="ListParagraph"/>
        <w:numPr>
          <w:ilvl w:val="1"/>
          <w:numId w:val="16"/>
        </w:numPr>
        <w:spacing w:before="120" w:after="120"/>
        <w:contextualSpacing/>
        <w:jc w:val="both"/>
        <w:rPr>
          <w:rFonts w:asciiTheme="minorHAnsi" w:hAnsiTheme="minorHAnsi"/>
        </w:rPr>
      </w:pPr>
      <w:r w:rsidRPr="00F55B47">
        <w:rPr>
          <w:rFonts w:asciiTheme="minorHAnsi" w:hAnsiTheme="minorHAnsi"/>
        </w:rPr>
        <w:t xml:space="preserve">DL: Transmission of measurement reports from UE to serving </w:t>
      </w:r>
      <w:proofErr w:type="spellStart"/>
      <w:r w:rsidRPr="00F55B47">
        <w:rPr>
          <w:rFonts w:asciiTheme="minorHAnsi" w:hAnsiTheme="minorHAnsi"/>
        </w:rPr>
        <w:t>gNB</w:t>
      </w:r>
      <w:proofErr w:type="spellEnd"/>
      <w:r w:rsidRPr="00F55B47">
        <w:rPr>
          <w:rFonts w:asciiTheme="minorHAnsi" w:hAnsiTheme="minorHAnsi"/>
        </w:rPr>
        <w:t xml:space="preserve"> </w:t>
      </w:r>
    </w:p>
    <w:p w14:paraId="50696674" w14:textId="77777777" w:rsidR="00F55B47" w:rsidRPr="00F55B47" w:rsidRDefault="00F55B47" w:rsidP="006B6BFB">
      <w:pPr>
        <w:pStyle w:val="ListParagraph"/>
        <w:numPr>
          <w:ilvl w:val="1"/>
          <w:numId w:val="16"/>
        </w:numPr>
        <w:spacing w:before="120" w:after="120"/>
        <w:contextualSpacing/>
        <w:jc w:val="both"/>
        <w:rPr>
          <w:rFonts w:asciiTheme="minorHAnsi" w:hAnsiTheme="minorHAnsi"/>
        </w:rPr>
      </w:pPr>
      <w:r w:rsidRPr="00F55B47">
        <w:rPr>
          <w:rFonts w:asciiTheme="minorHAnsi" w:hAnsiTheme="minorHAnsi"/>
        </w:rPr>
        <w:t xml:space="preserve">UL: Measurement of </w:t>
      </w:r>
      <w:proofErr w:type="spellStart"/>
      <w:r w:rsidRPr="00F55B47">
        <w:rPr>
          <w:rFonts w:asciiTheme="minorHAnsi" w:hAnsiTheme="minorHAnsi"/>
        </w:rPr>
        <w:t>SRSp</w:t>
      </w:r>
      <w:proofErr w:type="spellEnd"/>
      <w:r w:rsidRPr="00F55B47">
        <w:rPr>
          <w:rFonts w:asciiTheme="minorHAnsi" w:hAnsiTheme="minorHAnsi"/>
        </w:rPr>
        <w:t xml:space="preserve"> and processing at </w:t>
      </w:r>
      <w:proofErr w:type="spellStart"/>
      <w:r w:rsidRPr="00F55B47">
        <w:rPr>
          <w:rFonts w:asciiTheme="minorHAnsi" w:hAnsiTheme="minorHAnsi"/>
        </w:rPr>
        <w:t>gNB</w:t>
      </w:r>
      <w:proofErr w:type="spellEnd"/>
      <w:r w:rsidRPr="00F55B47">
        <w:rPr>
          <w:rFonts w:asciiTheme="minorHAnsi" w:hAnsiTheme="minorHAnsi"/>
        </w:rPr>
        <w:t>/TRPs</w:t>
      </w:r>
    </w:p>
    <w:p w14:paraId="768C4A93" w14:textId="77777777" w:rsidR="00F55B47" w:rsidRPr="00F55B47" w:rsidRDefault="00F55B47" w:rsidP="006B6BFB">
      <w:pPr>
        <w:pStyle w:val="ListParagraph"/>
        <w:numPr>
          <w:ilvl w:val="0"/>
          <w:numId w:val="15"/>
        </w:numPr>
        <w:spacing w:before="120" w:after="120"/>
        <w:contextualSpacing/>
        <w:jc w:val="both"/>
        <w:rPr>
          <w:rFonts w:asciiTheme="minorHAnsi" w:hAnsiTheme="minorHAnsi"/>
        </w:rPr>
      </w:pPr>
      <w:r w:rsidRPr="00F55B47">
        <w:rPr>
          <w:rFonts w:asciiTheme="minorHAnsi" w:hAnsiTheme="minorHAnsi"/>
          <w:b/>
          <w:bCs/>
        </w:rPr>
        <w:t xml:space="preserve">T4: Time duration for data forwarding/routing and processing in network: </w:t>
      </w:r>
    </w:p>
    <w:p w14:paraId="7F15F2D1" w14:textId="00AE310A" w:rsidR="00F55B47" w:rsidRPr="00F55B47" w:rsidRDefault="00362B2F" w:rsidP="006B6BFB">
      <w:pPr>
        <w:pStyle w:val="ListParagraph"/>
        <w:numPr>
          <w:ilvl w:val="1"/>
          <w:numId w:val="16"/>
        </w:numPr>
        <w:spacing w:before="120" w:after="120"/>
        <w:contextualSpacing/>
        <w:jc w:val="both"/>
        <w:rPr>
          <w:rFonts w:asciiTheme="minorHAnsi" w:hAnsiTheme="minorHAnsi"/>
        </w:rPr>
      </w:pPr>
      <w:r w:rsidRPr="00F55B47">
        <w:rPr>
          <w:rFonts w:asciiTheme="minorHAnsi" w:hAnsiTheme="minorHAnsi"/>
        </w:rPr>
        <w:t>Signaling</w:t>
      </w:r>
      <w:r w:rsidR="00F55B47" w:rsidRPr="00F55B47">
        <w:rPr>
          <w:rFonts w:asciiTheme="minorHAnsi" w:hAnsiTheme="minorHAnsi"/>
        </w:rPr>
        <w:t xml:space="preserve"> between </w:t>
      </w:r>
      <w:proofErr w:type="spellStart"/>
      <w:r w:rsidR="00F55B47" w:rsidRPr="00F55B47">
        <w:rPr>
          <w:rFonts w:asciiTheme="minorHAnsi" w:hAnsiTheme="minorHAnsi"/>
        </w:rPr>
        <w:t>gNB</w:t>
      </w:r>
      <w:proofErr w:type="spellEnd"/>
      <w:r w:rsidR="00F55B47" w:rsidRPr="00F55B47">
        <w:rPr>
          <w:rFonts w:asciiTheme="minorHAnsi" w:hAnsiTheme="minorHAnsi"/>
        </w:rPr>
        <w:t xml:space="preserve"> and LMF via AMF</w:t>
      </w:r>
    </w:p>
    <w:p w14:paraId="72110520" w14:textId="3E3B52A5" w:rsidR="003F52E8" w:rsidRPr="003F52E8" w:rsidRDefault="00F55B47" w:rsidP="006B6BFB">
      <w:pPr>
        <w:pStyle w:val="ListParagraph"/>
        <w:numPr>
          <w:ilvl w:val="1"/>
          <w:numId w:val="16"/>
        </w:numPr>
        <w:spacing w:before="120" w:after="120"/>
        <w:contextualSpacing/>
        <w:jc w:val="both"/>
        <w:rPr>
          <w:rFonts w:asciiTheme="minorHAnsi" w:hAnsiTheme="minorHAnsi"/>
        </w:rPr>
      </w:pPr>
      <w:r w:rsidRPr="00F55B47">
        <w:rPr>
          <w:rFonts w:asciiTheme="minorHAnsi" w:hAnsiTheme="minorHAnsi"/>
        </w:rPr>
        <w:t xml:space="preserve">Processing and position calculation at LMF and </w:t>
      </w:r>
      <w:r w:rsidR="00362B2F" w:rsidRPr="00F55B47">
        <w:rPr>
          <w:rFonts w:asciiTheme="minorHAnsi" w:hAnsiTheme="minorHAnsi"/>
        </w:rPr>
        <w:t>signaling</w:t>
      </w:r>
      <w:r w:rsidRPr="00F55B47">
        <w:rPr>
          <w:rFonts w:asciiTheme="minorHAnsi" w:hAnsiTheme="minorHAnsi"/>
        </w:rPr>
        <w:t xml:space="preserve"> between LMF and LCS client (via GMLC)</w:t>
      </w:r>
    </w:p>
    <w:p w14:paraId="381B25CB" w14:textId="33E0D6E8" w:rsidR="003F52E8" w:rsidRDefault="009E2425" w:rsidP="006B6BFB">
      <w:pPr>
        <w:spacing w:before="120" w:after="120"/>
        <w:jc w:val="both"/>
        <w:rPr>
          <w:lang w:val="en-GB" w:eastAsia="zh-CN"/>
        </w:rPr>
      </w:pPr>
      <w:r w:rsidRPr="00F55B47">
        <w:rPr>
          <w:lang w:val="en-GB" w:eastAsia="zh-CN"/>
        </w:rPr>
        <w:t>It is clear from the above definitions that for T1, T2</w:t>
      </w:r>
      <w:r w:rsidR="00083764">
        <w:rPr>
          <w:lang w:val="en-GB" w:eastAsia="zh-CN"/>
        </w:rPr>
        <w:t xml:space="preserve">, </w:t>
      </w:r>
      <w:r w:rsidRPr="00F55B47">
        <w:rPr>
          <w:lang w:val="en-GB" w:eastAsia="zh-CN"/>
        </w:rPr>
        <w:t>T3</w:t>
      </w:r>
      <w:r w:rsidR="00083764">
        <w:rPr>
          <w:lang w:val="en-GB" w:eastAsia="zh-CN"/>
        </w:rPr>
        <w:t xml:space="preserve"> and T4</w:t>
      </w:r>
      <w:r w:rsidRPr="00F55B47">
        <w:rPr>
          <w:lang w:val="en-GB" w:eastAsia="zh-CN"/>
        </w:rPr>
        <w:t xml:space="preserve"> prioritization, </w:t>
      </w:r>
      <w:r w:rsidR="00362B2F">
        <w:rPr>
          <w:lang w:val="en-GB" w:eastAsia="zh-CN"/>
        </w:rPr>
        <w:t>considerations</w:t>
      </w:r>
      <w:r w:rsidRPr="00F55B47">
        <w:rPr>
          <w:lang w:val="en-GB" w:eastAsia="zh-CN"/>
        </w:rPr>
        <w:t xml:space="preserve"> must be given to both physical and higher layer for shortening the delay components.</w:t>
      </w:r>
      <w:r w:rsidR="00F55B47" w:rsidRPr="00F55B47">
        <w:rPr>
          <w:lang w:val="en-GB" w:eastAsia="zh-CN"/>
        </w:rPr>
        <w:t xml:space="preserve"> </w:t>
      </w:r>
      <w:r w:rsidR="00C34C73">
        <w:rPr>
          <w:lang w:val="en-GB" w:eastAsia="zh-CN"/>
        </w:rPr>
        <w:t>In the following, we summarize delay components</w:t>
      </w:r>
      <w:r w:rsidR="00564315">
        <w:rPr>
          <w:lang w:val="en-GB" w:eastAsia="zh-CN"/>
        </w:rPr>
        <w:t xml:space="preserve"> at UE</w:t>
      </w:r>
      <w:r w:rsidR="00C57D5C">
        <w:rPr>
          <w:lang w:val="en-GB" w:eastAsia="zh-CN"/>
        </w:rPr>
        <w:t xml:space="preserve"> and network</w:t>
      </w:r>
      <w:r w:rsidR="00C34C73">
        <w:rPr>
          <w:lang w:val="en-GB" w:eastAsia="zh-CN"/>
        </w:rPr>
        <w:t xml:space="preserve"> </w:t>
      </w:r>
      <w:r w:rsidR="004974AB">
        <w:rPr>
          <w:lang w:val="en-GB" w:eastAsia="zh-CN"/>
        </w:rPr>
        <w:t>that should be considered in RAN1</w:t>
      </w:r>
      <w:r w:rsidR="006B1C42">
        <w:rPr>
          <w:lang w:val="en-GB" w:eastAsia="zh-CN"/>
        </w:rPr>
        <w:t xml:space="preserve"> for latency evaluation.</w:t>
      </w:r>
    </w:p>
    <w:p w14:paraId="13455F5C" w14:textId="6E9A56FA" w:rsidR="005A01FE" w:rsidRPr="003F52E8" w:rsidRDefault="005A01FE" w:rsidP="00486D03">
      <w:pPr>
        <w:pStyle w:val="Heading2"/>
      </w:pPr>
      <w:r>
        <w:t xml:space="preserve">Delay </w:t>
      </w:r>
      <w:r w:rsidR="00362B2F">
        <w:t>component</w:t>
      </w:r>
      <w:r>
        <w:t xml:space="preserve"> at UE</w:t>
      </w:r>
    </w:p>
    <w:p w14:paraId="3D7B8866" w14:textId="6AA4B0ED" w:rsidR="00AE50C9" w:rsidRPr="00AE50C9" w:rsidRDefault="00F527FA" w:rsidP="006B6BFB">
      <w:pPr>
        <w:spacing w:before="120" w:after="120"/>
        <w:rPr>
          <w:u w:val="single"/>
          <w:lang w:val="en-GB" w:eastAsia="zh-CN"/>
        </w:rPr>
      </w:pPr>
      <w:r>
        <w:rPr>
          <w:u w:val="single"/>
          <w:lang w:val="en-GB" w:eastAsia="zh-CN"/>
        </w:rPr>
        <w:t>D</w:t>
      </w:r>
      <w:r w:rsidR="004361DE">
        <w:rPr>
          <w:u w:val="single"/>
          <w:lang w:val="en-GB" w:eastAsia="zh-CN"/>
        </w:rPr>
        <w:t xml:space="preserve">elay </w:t>
      </w:r>
      <w:r w:rsidR="00362B2F">
        <w:rPr>
          <w:u w:val="single"/>
          <w:lang w:val="en-GB" w:eastAsia="zh-CN"/>
        </w:rPr>
        <w:t>components</w:t>
      </w:r>
      <w:r w:rsidR="004361DE">
        <w:rPr>
          <w:u w:val="single"/>
          <w:lang w:val="en-GB" w:eastAsia="zh-CN"/>
        </w:rPr>
        <w:t xml:space="preserve"> </w:t>
      </w:r>
      <w:r>
        <w:rPr>
          <w:u w:val="single"/>
          <w:lang w:val="en-GB" w:eastAsia="zh-CN"/>
        </w:rPr>
        <w:t xml:space="preserve">in physical layer related to </w:t>
      </w:r>
      <w:r w:rsidR="00373027">
        <w:rPr>
          <w:u w:val="single"/>
          <w:lang w:val="en-GB" w:eastAsia="zh-CN"/>
        </w:rPr>
        <w:t>PRS</w:t>
      </w:r>
    </w:p>
    <w:p w14:paraId="695D9BED" w14:textId="617CF7B0" w:rsidR="00F639CE" w:rsidRDefault="00F639CE" w:rsidP="006B6BFB">
      <w:pPr>
        <w:pStyle w:val="ListParagraph"/>
        <w:numPr>
          <w:ilvl w:val="0"/>
          <w:numId w:val="17"/>
        </w:numPr>
        <w:spacing w:before="120" w:after="120"/>
        <w:rPr>
          <w:lang w:val="en-GB" w:eastAsia="zh-CN"/>
        </w:rPr>
      </w:pPr>
      <w:r>
        <w:rPr>
          <w:lang w:val="en-GB" w:eastAsia="zh-CN"/>
        </w:rPr>
        <w:t xml:space="preserve">T1 : </w:t>
      </w:r>
      <w:r w:rsidR="00FC61E9">
        <w:rPr>
          <w:lang w:val="en-GB" w:eastAsia="zh-CN"/>
        </w:rPr>
        <w:t>Preparation time</w:t>
      </w:r>
      <w:r w:rsidR="004361DE">
        <w:rPr>
          <w:lang w:val="en-GB" w:eastAsia="zh-CN"/>
        </w:rPr>
        <w:t xml:space="preserve"> at UE</w:t>
      </w:r>
      <w:r w:rsidR="00FC61E9">
        <w:rPr>
          <w:lang w:val="en-GB" w:eastAsia="zh-CN"/>
        </w:rPr>
        <w:t xml:space="preserve"> to receive PRS</w:t>
      </w:r>
    </w:p>
    <w:p w14:paraId="39B90DA5" w14:textId="1AF290BA" w:rsidR="0002159B" w:rsidRDefault="00DA5C2A" w:rsidP="006B6BFB">
      <w:pPr>
        <w:pStyle w:val="ListParagraph"/>
        <w:numPr>
          <w:ilvl w:val="0"/>
          <w:numId w:val="17"/>
        </w:numPr>
        <w:spacing w:before="120" w:after="120"/>
        <w:rPr>
          <w:lang w:val="en-GB" w:eastAsia="zh-CN"/>
        </w:rPr>
      </w:pPr>
      <w:r w:rsidRPr="00620717">
        <w:rPr>
          <w:lang w:val="en-GB" w:eastAsia="zh-CN"/>
        </w:rPr>
        <w:t xml:space="preserve">T2 </w:t>
      </w:r>
      <w:r w:rsidR="00F639CE">
        <w:rPr>
          <w:lang w:val="en-GB" w:eastAsia="zh-CN"/>
        </w:rPr>
        <w:t>:</w:t>
      </w:r>
      <w:r w:rsidRPr="00620717">
        <w:rPr>
          <w:lang w:val="en-GB" w:eastAsia="zh-CN"/>
        </w:rPr>
        <w:t xml:space="preserve"> </w:t>
      </w:r>
      <w:r w:rsidR="00F639CE">
        <w:rPr>
          <w:lang w:val="en-GB" w:eastAsia="zh-CN"/>
        </w:rPr>
        <w:t>P</w:t>
      </w:r>
      <w:r w:rsidRPr="00620717">
        <w:rPr>
          <w:lang w:val="en-GB" w:eastAsia="zh-CN"/>
        </w:rPr>
        <w:t>rocessing time</w:t>
      </w:r>
      <w:r w:rsidR="00F639CE">
        <w:rPr>
          <w:lang w:val="en-GB" w:eastAsia="zh-CN"/>
        </w:rPr>
        <w:t xml:space="preserve"> for PRS</w:t>
      </w:r>
      <w:r w:rsidRPr="00620717">
        <w:rPr>
          <w:lang w:val="en-GB" w:eastAsia="zh-CN"/>
        </w:rPr>
        <w:t xml:space="preserve"> at UE</w:t>
      </w:r>
    </w:p>
    <w:p w14:paraId="410A0341" w14:textId="1448157C" w:rsidR="00891C54" w:rsidRPr="003F52E8" w:rsidRDefault="00FC61E9" w:rsidP="006B6BFB">
      <w:pPr>
        <w:pStyle w:val="ListParagraph"/>
        <w:numPr>
          <w:ilvl w:val="0"/>
          <w:numId w:val="17"/>
        </w:numPr>
        <w:spacing w:before="120" w:after="120"/>
        <w:rPr>
          <w:lang w:val="en-GB" w:eastAsia="zh-CN"/>
        </w:rPr>
      </w:pPr>
      <w:r>
        <w:rPr>
          <w:lang w:val="en-GB" w:eastAsia="zh-CN"/>
        </w:rPr>
        <w:t>T3 : Time consumed to prepare</w:t>
      </w:r>
      <w:r w:rsidR="0067432F">
        <w:rPr>
          <w:lang w:val="en-GB" w:eastAsia="zh-CN"/>
        </w:rPr>
        <w:t xml:space="preserve"> and transmit</w:t>
      </w:r>
      <w:r>
        <w:rPr>
          <w:lang w:val="en-GB" w:eastAsia="zh-CN"/>
        </w:rPr>
        <w:t xml:space="preserve"> measurement reports at UE for received PRS </w:t>
      </w:r>
    </w:p>
    <w:p w14:paraId="5149A069" w14:textId="4C1952FD" w:rsidR="004B0A8D" w:rsidRPr="00AE50C9" w:rsidRDefault="004B0A8D" w:rsidP="006B6BFB">
      <w:pPr>
        <w:spacing w:before="120" w:after="120"/>
        <w:rPr>
          <w:u w:val="single"/>
          <w:lang w:val="en-GB" w:eastAsia="zh-CN"/>
        </w:rPr>
      </w:pPr>
      <w:r>
        <w:rPr>
          <w:u w:val="single"/>
          <w:lang w:val="en-GB" w:eastAsia="zh-CN"/>
        </w:rPr>
        <w:t xml:space="preserve">Delay </w:t>
      </w:r>
      <w:r w:rsidR="00362B2F">
        <w:rPr>
          <w:u w:val="single"/>
          <w:lang w:val="en-GB" w:eastAsia="zh-CN"/>
        </w:rPr>
        <w:t>components</w:t>
      </w:r>
      <w:r>
        <w:rPr>
          <w:u w:val="single"/>
          <w:lang w:val="en-GB" w:eastAsia="zh-CN"/>
        </w:rPr>
        <w:t xml:space="preserve"> in physical layer related to </w:t>
      </w:r>
      <w:r w:rsidR="00A6353C">
        <w:rPr>
          <w:u w:val="single"/>
          <w:lang w:val="en-GB" w:eastAsia="zh-CN"/>
        </w:rPr>
        <w:t>S</w:t>
      </w:r>
      <w:r>
        <w:rPr>
          <w:u w:val="single"/>
          <w:lang w:val="en-GB" w:eastAsia="zh-CN"/>
        </w:rPr>
        <w:t>RS</w:t>
      </w:r>
      <w:r w:rsidR="00DC4524">
        <w:rPr>
          <w:u w:val="single"/>
          <w:lang w:val="en-GB" w:eastAsia="zh-CN"/>
        </w:rPr>
        <w:t xml:space="preserve"> for positioning (</w:t>
      </w:r>
      <w:proofErr w:type="spellStart"/>
      <w:r w:rsidR="00DC4524">
        <w:rPr>
          <w:u w:val="single"/>
          <w:lang w:val="en-GB" w:eastAsia="zh-CN"/>
        </w:rPr>
        <w:t>SRSp</w:t>
      </w:r>
      <w:proofErr w:type="spellEnd"/>
      <w:r w:rsidR="00DC4524">
        <w:rPr>
          <w:u w:val="single"/>
          <w:lang w:val="en-GB" w:eastAsia="zh-CN"/>
        </w:rPr>
        <w:t>)</w:t>
      </w:r>
    </w:p>
    <w:p w14:paraId="109BCD70" w14:textId="4CC5EAF2" w:rsidR="004B0A8D" w:rsidRDefault="004B0A8D" w:rsidP="006B6BFB">
      <w:pPr>
        <w:pStyle w:val="ListParagraph"/>
        <w:numPr>
          <w:ilvl w:val="0"/>
          <w:numId w:val="17"/>
        </w:numPr>
        <w:spacing w:before="120" w:after="120"/>
        <w:rPr>
          <w:lang w:val="en-GB" w:eastAsia="zh-CN"/>
        </w:rPr>
      </w:pPr>
      <w:r>
        <w:rPr>
          <w:lang w:val="en-GB" w:eastAsia="zh-CN"/>
        </w:rPr>
        <w:t xml:space="preserve">T1 : </w:t>
      </w:r>
      <w:r w:rsidR="00842778">
        <w:rPr>
          <w:lang w:val="en-GB" w:eastAsia="zh-CN"/>
        </w:rPr>
        <w:t>Configuration</w:t>
      </w:r>
      <w:r>
        <w:rPr>
          <w:lang w:val="en-GB" w:eastAsia="zh-CN"/>
        </w:rPr>
        <w:t xml:space="preserve"> time at UE to </w:t>
      </w:r>
      <w:r w:rsidR="00842778">
        <w:rPr>
          <w:lang w:val="en-GB" w:eastAsia="zh-CN"/>
        </w:rPr>
        <w:t>send</w:t>
      </w:r>
      <w:r>
        <w:rPr>
          <w:lang w:val="en-GB" w:eastAsia="zh-CN"/>
        </w:rPr>
        <w:t xml:space="preserve"> </w:t>
      </w:r>
      <w:proofErr w:type="spellStart"/>
      <w:r w:rsidR="00842778">
        <w:rPr>
          <w:lang w:val="en-GB" w:eastAsia="zh-CN"/>
        </w:rPr>
        <w:t>S</w:t>
      </w:r>
      <w:r>
        <w:rPr>
          <w:lang w:val="en-GB" w:eastAsia="zh-CN"/>
        </w:rPr>
        <w:t>RS</w:t>
      </w:r>
      <w:r w:rsidR="00842778">
        <w:rPr>
          <w:lang w:val="en-GB" w:eastAsia="zh-CN"/>
        </w:rPr>
        <w:t>p</w:t>
      </w:r>
      <w:proofErr w:type="spellEnd"/>
    </w:p>
    <w:p w14:paraId="6223C127" w14:textId="22DE489C" w:rsidR="00FC61E9" w:rsidRPr="003F52E8" w:rsidRDefault="004B0A8D" w:rsidP="006B6BFB">
      <w:pPr>
        <w:pStyle w:val="ListParagraph"/>
        <w:numPr>
          <w:ilvl w:val="0"/>
          <w:numId w:val="17"/>
        </w:numPr>
        <w:spacing w:before="120" w:after="120"/>
        <w:rPr>
          <w:lang w:val="en-GB" w:eastAsia="zh-CN"/>
        </w:rPr>
      </w:pPr>
      <w:r w:rsidRPr="00620717">
        <w:rPr>
          <w:lang w:val="en-GB" w:eastAsia="zh-CN"/>
        </w:rPr>
        <w:t xml:space="preserve">T2 </w:t>
      </w:r>
      <w:r>
        <w:rPr>
          <w:lang w:val="en-GB" w:eastAsia="zh-CN"/>
        </w:rPr>
        <w:t>:</w:t>
      </w:r>
      <w:r w:rsidRPr="00620717">
        <w:rPr>
          <w:lang w:val="en-GB" w:eastAsia="zh-CN"/>
        </w:rPr>
        <w:t xml:space="preserve"> </w:t>
      </w:r>
      <w:r w:rsidR="00A252EB">
        <w:rPr>
          <w:lang w:val="en-GB" w:eastAsia="zh-CN"/>
        </w:rPr>
        <w:t xml:space="preserve">Time consumed to prepare and </w:t>
      </w:r>
      <w:r w:rsidR="00362B2F">
        <w:rPr>
          <w:lang w:val="en-GB" w:eastAsia="zh-CN"/>
        </w:rPr>
        <w:t>transmit</w:t>
      </w:r>
      <w:r>
        <w:rPr>
          <w:lang w:val="en-GB" w:eastAsia="zh-CN"/>
        </w:rPr>
        <w:t xml:space="preserve"> </w:t>
      </w:r>
      <w:proofErr w:type="spellStart"/>
      <w:r w:rsidR="00A252EB">
        <w:rPr>
          <w:lang w:val="en-GB" w:eastAsia="zh-CN"/>
        </w:rPr>
        <w:t>SRSp</w:t>
      </w:r>
      <w:proofErr w:type="spellEnd"/>
      <w:r w:rsidRPr="00620717">
        <w:rPr>
          <w:lang w:val="en-GB" w:eastAsia="zh-CN"/>
        </w:rPr>
        <w:t xml:space="preserve"> at UE</w:t>
      </w:r>
    </w:p>
    <w:p w14:paraId="3D8B19FC" w14:textId="1845189B" w:rsidR="00237398" w:rsidRDefault="00237398" w:rsidP="006B6BFB">
      <w:pPr>
        <w:spacing w:before="120" w:after="120"/>
        <w:rPr>
          <w:lang w:val="en-GB"/>
        </w:rPr>
      </w:pPr>
      <w:r>
        <w:rPr>
          <w:lang w:val="en-GB"/>
        </w:rPr>
        <w:t>From the above, the following observation is made:</w:t>
      </w:r>
    </w:p>
    <w:p w14:paraId="7CCED36B" w14:textId="01E9FA79" w:rsidR="009962AD" w:rsidRPr="003F52E8" w:rsidRDefault="00237398" w:rsidP="006B6BFB">
      <w:pPr>
        <w:spacing w:before="120" w:after="120"/>
        <w:rPr>
          <w:b/>
          <w:lang w:val="en-GB"/>
        </w:rPr>
      </w:pPr>
      <w:r w:rsidRPr="005A29B8">
        <w:rPr>
          <w:b/>
          <w:lang w:val="en-GB"/>
        </w:rPr>
        <w:t xml:space="preserve">Observation 1 : At UE, T1, T2 and T3 contain physical layer delay components for PRS processing while T1 and T2 contain delay components related to transmission of </w:t>
      </w:r>
      <w:proofErr w:type="spellStart"/>
      <w:r w:rsidRPr="005A29B8">
        <w:rPr>
          <w:b/>
          <w:lang w:val="en-GB"/>
        </w:rPr>
        <w:t>SRSp</w:t>
      </w:r>
      <w:proofErr w:type="spellEnd"/>
      <w:r w:rsidR="00746B4C" w:rsidRPr="005A29B8">
        <w:rPr>
          <w:b/>
          <w:lang w:val="en-GB"/>
        </w:rPr>
        <w:t xml:space="preserve">. </w:t>
      </w:r>
    </w:p>
    <w:p w14:paraId="16FAE6A8" w14:textId="2C77F379" w:rsidR="003F52E8" w:rsidRDefault="00746B4C" w:rsidP="006B6BFB">
      <w:pPr>
        <w:spacing w:before="120" w:after="120"/>
        <w:rPr>
          <w:lang w:val="en-GB"/>
        </w:rPr>
      </w:pPr>
      <w:r>
        <w:rPr>
          <w:lang w:val="en-GB"/>
        </w:rPr>
        <w:t xml:space="preserve">Thus, at least for the physical layer delay analysis, delay caused by the components can be combined. </w:t>
      </w:r>
      <w:r w:rsidR="00DC3E1E">
        <w:rPr>
          <w:lang w:val="en-GB"/>
        </w:rPr>
        <w:t>In addition, by analysing delay at each component, it will be clear which component an enhanced technique</w:t>
      </w:r>
      <w:r w:rsidR="00A77DC1">
        <w:rPr>
          <w:lang w:val="en-GB"/>
        </w:rPr>
        <w:t xml:space="preserve"> or procedure</w:t>
      </w:r>
      <w:r w:rsidR="00DC3E1E">
        <w:rPr>
          <w:lang w:val="en-GB"/>
        </w:rPr>
        <w:t xml:space="preserve"> </w:t>
      </w:r>
      <w:r w:rsidR="00D201A3">
        <w:rPr>
          <w:lang w:val="en-GB"/>
        </w:rPr>
        <w:t>considered in Rel. 17</w:t>
      </w:r>
      <w:r w:rsidR="0034740E">
        <w:rPr>
          <w:lang w:val="en-GB"/>
        </w:rPr>
        <w:t xml:space="preserve"> </w:t>
      </w:r>
      <w:r w:rsidR="00DC3E1E">
        <w:rPr>
          <w:lang w:val="en-GB"/>
        </w:rPr>
        <w:t xml:space="preserve">can </w:t>
      </w:r>
      <w:r w:rsidR="00A77DC1">
        <w:rPr>
          <w:lang w:val="en-GB"/>
        </w:rPr>
        <w:t>shorten the delay</w:t>
      </w:r>
      <w:r w:rsidR="00DC3E1E">
        <w:rPr>
          <w:lang w:val="en-GB"/>
        </w:rPr>
        <w:t>.</w:t>
      </w:r>
      <w:r w:rsidR="000C7EE7">
        <w:rPr>
          <w:lang w:val="en-GB"/>
        </w:rPr>
        <w:t xml:space="preserve"> </w:t>
      </w:r>
      <w:r w:rsidR="008578C5">
        <w:rPr>
          <w:lang w:val="en-GB"/>
        </w:rPr>
        <w:t xml:space="preserve">Thus, </w:t>
      </w:r>
      <w:r w:rsidR="00DD438D">
        <w:rPr>
          <w:lang w:val="en-GB"/>
        </w:rPr>
        <w:t>the following proposal is made in this contribution.</w:t>
      </w:r>
    </w:p>
    <w:p w14:paraId="3EE67C8F" w14:textId="06448171" w:rsidR="005A01FE" w:rsidRPr="003F52E8" w:rsidRDefault="008578C5" w:rsidP="006B6BFB">
      <w:pPr>
        <w:spacing w:before="120" w:after="120"/>
        <w:rPr>
          <w:lang w:val="en-GB"/>
        </w:rPr>
      </w:pPr>
      <w:r w:rsidRPr="009962AD">
        <w:rPr>
          <w:b/>
          <w:lang w:val="en-GB"/>
        </w:rPr>
        <w:t xml:space="preserve">Proposal 1 : </w:t>
      </w:r>
      <w:r w:rsidR="00DD438D" w:rsidRPr="009962AD">
        <w:rPr>
          <w:b/>
          <w:lang w:val="en-GB"/>
        </w:rPr>
        <w:t>For latency analysis</w:t>
      </w:r>
      <w:r w:rsidR="00E27326">
        <w:rPr>
          <w:b/>
          <w:lang w:val="en-GB"/>
        </w:rPr>
        <w:t xml:space="preserve"> at UE for Rel. 17 enhanced techniques</w:t>
      </w:r>
      <w:r w:rsidR="003F337C">
        <w:rPr>
          <w:b/>
          <w:lang w:val="en-GB"/>
        </w:rPr>
        <w:t xml:space="preserve">, </w:t>
      </w:r>
      <w:r w:rsidR="00DD438D" w:rsidRPr="009962AD">
        <w:rPr>
          <w:b/>
          <w:lang w:val="en-GB"/>
        </w:rPr>
        <w:t xml:space="preserve">analyse delay at </w:t>
      </w:r>
      <w:r w:rsidR="003F337C" w:rsidRPr="009962AD">
        <w:rPr>
          <w:b/>
          <w:lang w:val="en-GB"/>
        </w:rPr>
        <w:t>T1, T2 and T3</w:t>
      </w:r>
      <w:r w:rsidR="003F337C">
        <w:rPr>
          <w:b/>
          <w:lang w:val="en-GB"/>
        </w:rPr>
        <w:t xml:space="preserve">, </w:t>
      </w:r>
      <w:r w:rsidR="00362B2F">
        <w:rPr>
          <w:b/>
          <w:lang w:val="en-GB"/>
        </w:rPr>
        <w:t>separately</w:t>
      </w:r>
    </w:p>
    <w:p w14:paraId="1A4DE4DB" w14:textId="16734CB0" w:rsidR="005A01FE" w:rsidRPr="005A01FE" w:rsidRDefault="005A01FE" w:rsidP="00891C54">
      <w:pPr>
        <w:pStyle w:val="Heading2"/>
      </w:pPr>
      <w:r>
        <w:lastRenderedPageBreak/>
        <w:t xml:space="preserve">Delay </w:t>
      </w:r>
      <w:r w:rsidR="00362B2F">
        <w:t>component</w:t>
      </w:r>
      <w:r>
        <w:t xml:space="preserve"> at </w:t>
      </w:r>
      <w:r w:rsidR="00502D14">
        <w:t>gNB and network</w:t>
      </w:r>
    </w:p>
    <w:p w14:paraId="5F9D3AAD" w14:textId="69B54A41" w:rsidR="0074330C" w:rsidRPr="00502D14" w:rsidRDefault="000B50A9" w:rsidP="006B6BFB">
      <w:pPr>
        <w:spacing w:before="120" w:after="120"/>
        <w:rPr>
          <w:lang w:val="en-GB"/>
        </w:rPr>
      </w:pPr>
      <w:r>
        <w:rPr>
          <w:lang w:val="en-GB"/>
        </w:rPr>
        <w:t xml:space="preserve">It should be noted that </w:t>
      </w:r>
      <w:r w:rsidR="00F058C8">
        <w:rPr>
          <w:lang w:val="en-GB"/>
        </w:rPr>
        <w:t xml:space="preserve">delay </w:t>
      </w:r>
      <w:r w:rsidR="00362B2F">
        <w:rPr>
          <w:lang w:val="en-GB"/>
        </w:rPr>
        <w:t>experienced</w:t>
      </w:r>
      <w:r w:rsidR="00FB309D">
        <w:rPr>
          <w:lang w:val="en-GB"/>
        </w:rPr>
        <w:t xml:space="preserve"> at gNB is included in T3 when gNB processes </w:t>
      </w:r>
      <w:proofErr w:type="spellStart"/>
      <w:r w:rsidR="00FB309D">
        <w:rPr>
          <w:lang w:val="en-GB"/>
        </w:rPr>
        <w:t>SRSp</w:t>
      </w:r>
      <w:proofErr w:type="spellEnd"/>
      <w:r w:rsidR="00FB309D">
        <w:rPr>
          <w:lang w:val="en-GB"/>
        </w:rPr>
        <w:t xml:space="preserve"> sent from UEs. In addition, T4</w:t>
      </w:r>
      <w:r w:rsidR="0074330C">
        <w:rPr>
          <w:lang w:val="en-GB"/>
        </w:rPr>
        <w:t xml:space="preserve"> component can be reduced by</w:t>
      </w:r>
      <w:r w:rsidR="005A01FE">
        <w:rPr>
          <w:lang w:val="en-GB"/>
        </w:rPr>
        <w:t xml:space="preserve"> allowing distributed LMF, changing the route of report from </w:t>
      </w:r>
      <w:r w:rsidR="00502D14">
        <w:rPr>
          <w:lang w:val="en-GB"/>
        </w:rPr>
        <w:t>LMF</w:t>
      </w:r>
      <w:r w:rsidR="005A01FE">
        <w:rPr>
          <w:lang w:val="en-GB"/>
        </w:rPr>
        <w:t xml:space="preserve"> to GMLC and supporting LMF in NG-RAN</w:t>
      </w:r>
      <w:r w:rsidR="00502D14">
        <w:rPr>
          <w:lang w:val="en-GB"/>
        </w:rPr>
        <w:t xml:space="preserve"> </w:t>
      </w:r>
      <w:r w:rsidR="00502D14">
        <w:rPr>
          <w:lang w:val="en-GB"/>
        </w:rPr>
        <w:fldChar w:fldCharType="begin"/>
      </w:r>
      <w:r w:rsidR="00502D14">
        <w:rPr>
          <w:lang w:val="en-GB"/>
        </w:rPr>
        <w:instrText xml:space="preserve"> REF _Ref47699680 \r \h </w:instrText>
      </w:r>
      <w:r w:rsidR="00502D14">
        <w:rPr>
          <w:lang w:val="en-GB"/>
        </w:rPr>
      </w:r>
      <w:r w:rsidR="00502D14">
        <w:rPr>
          <w:lang w:val="en-GB"/>
        </w:rPr>
        <w:fldChar w:fldCharType="separate"/>
      </w:r>
      <w:r w:rsidR="00502D14">
        <w:rPr>
          <w:lang w:val="en-GB"/>
        </w:rPr>
        <w:t>[4]</w:t>
      </w:r>
      <w:r w:rsidR="00502D14">
        <w:rPr>
          <w:lang w:val="en-GB"/>
        </w:rPr>
        <w:fldChar w:fldCharType="end"/>
      </w:r>
      <w:r w:rsidR="005A01FE">
        <w:rPr>
          <w:lang w:val="en-GB"/>
        </w:rPr>
        <w:t>.</w:t>
      </w:r>
    </w:p>
    <w:p w14:paraId="61ECE202" w14:textId="4ECCAE62" w:rsidR="000978F4" w:rsidRDefault="00502D14" w:rsidP="006B6BFB">
      <w:pPr>
        <w:spacing w:before="120" w:after="120"/>
        <w:rPr>
          <w:b/>
        </w:rPr>
      </w:pPr>
      <w:r w:rsidRPr="009962AD">
        <w:rPr>
          <w:b/>
        </w:rPr>
        <w:t xml:space="preserve">Observation 2 : For end-to-end latency, delay components at </w:t>
      </w:r>
      <w:proofErr w:type="spellStart"/>
      <w:r w:rsidRPr="009962AD">
        <w:rPr>
          <w:b/>
        </w:rPr>
        <w:t>gNB</w:t>
      </w:r>
      <w:proofErr w:type="spellEnd"/>
      <w:r w:rsidRPr="009962AD">
        <w:rPr>
          <w:b/>
        </w:rPr>
        <w:t xml:space="preserve"> and location of LMF and its reporting path to GMLC should be studied</w:t>
      </w:r>
    </w:p>
    <w:p w14:paraId="00ED2B04" w14:textId="16E7A1C6" w:rsidR="003F52E8" w:rsidRDefault="000978F4" w:rsidP="006B6BFB">
      <w:pPr>
        <w:spacing w:before="120" w:after="120"/>
      </w:pPr>
      <w:r>
        <w:t xml:space="preserve">Finally, </w:t>
      </w:r>
      <w:r w:rsidR="00993BB4">
        <w:t xml:space="preserve">as mentioned in </w:t>
      </w:r>
      <w:r w:rsidR="00993BB4">
        <w:fldChar w:fldCharType="begin"/>
      </w:r>
      <w:r w:rsidR="00993BB4">
        <w:instrText xml:space="preserve"> REF _Ref47702825 \r \h </w:instrText>
      </w:r>
      <w:r w:rsidR="00993BB4">
        <w:fldChar w:fldCharType="separate"/>
      </w:r>
      <w:r w:rsidR="00993BB4">
        <w:t>[5]</w:t>
      </w:r>
      <w:r w:rsidR="00993BB4">
        <w:fldChar w:fldCharType="end"/>
      </w:r>
      <w:r w:rsidR="00993BB4">
        <w:t>, additional metric such as KPI may impact latency in the network as positioning procedure make require additional positioning processes to prevent integrity from degrad</w:t>
      </w:r>
      <w:r w:rsidR="00677FA7">
        <w:t>at</w:t>
      </w:r>
      <w:r w:rsidR="003604B6">
        <w:t>ion</w:t>
      </w:r>
      <w:r w:rsidR="00993BB4">
        <w:t>.</w:t>
      </w:r>
    </w:p>
    <w:p w14:paraId="38203513" w14:textId="139BD941" w:rsidR="003F52E8" w:rsidRPr="009962AD" w:rsidRDefault="003F52E8" w:rsidP="006B6BFB">
      <w:pPr>
        <w:spacing w:before="120" w:after="120"/>
      </w:pPr>
      <w:r w:rsidRPr="009962AD">
        <w:rPr>
          <w:b/>
        </w:rPr>
        <w:t xml:space="preserve">Observation </w:t>
      </w:r>
      <w:r w:rsidR="00246130">
        <w:rPr>
          <w:b/>
        </w:rPr>
        <w:t>3</w:t>
      </w:r>
      <w:r w:rsidRPr="009962AD">
        <w:rPr>
          <w:b/>
        </w:rPr>
        <w:t xml:space="preserve"> : </w:t>
      </w:r>
      <w:r w:rsidR="00246130">
        <w:rPr>
          <w:b/>
        </w:rPr>
        <w:t>Additional metric such as integrity may influence end-to-end latency</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1AFF972E" w14:textId="6AE6CE63" w:rsidR="00D72309" w:rsidRPr="00C21FDF" w:rsidRDefault="00D72309" w:rsidP="006B6BFB">
      <w:pPr>
        <w:spacing w:before="120" w:after="120"/>
      </w:pPr>
      <w:r w:rsidRPr="00D72309">
        <w:t>In this contribution</w:t>
      </w:r>
      <w:r>
        <w:t>, the following observations are made:</w:t>
      </w:r>
    </w:p>
    <w:p w14:paraId="4E6901B2" w14:textId="3388A666" w:rsidR="000839A1" w:rsidRPr="00C21FDF" w:rsidRDefault="003A7BFB" w:rsidP="006B6BFB">
      <w:pPr>
        <w:spacing w:before="120" w:after="120"/>
        <w:rPr>
          <w:b/>
          <w:lang w:val="en-GB"/>
        </w:rPr>
      </w:pPr>
      <w:r w:rsidRPr="005A29B8">
        <w:rPr>
          <w:b/>
          <w:lang w:val="en-GB"/>
        </w:rPr>
        <w:t xml:space="preserve">Observation 1 : At UE, T1, T2 and T3 contain physical layer delay components for PRS processing while T1 and T2 contain delay components related to transmission of </w:t>
      </w:r>
      <w:proofErr w:type="spellStart"/>
      <w:r w:rsidRPr="005A29B8">
        <w:rPr>
          <w:b/>
          <w:lang w:val="en-GB"/>
        </w:rPr>
        <w:t>SRSp</w:t>
      </w:r>
      <w:proofErr w:type="spellEnd"/>
      <w:r w:rsidRPr="005A29B8">
        <w:rPr>
          <w:b/>
          <w:lang w:val="en-GB"/>
        </w:rPr>
        <w:t xml:space="preserve">. </w:t>
      </w:r>
    </w:p>
    <w:p w14:paraId="79A41D98" w14:textId="77777777" w:rsidR="003A7BFB" w:rsidRPr="009962AD" w:rsidRDefault="003A7BFB" w:rsidP="006B6BFB">
      <w:pPr>
        <w:spacing w:before="120" w:after="120"/>
        <w:rPr>
          <w:b/>
        </w:rPr>
      </w:pPr>
      <w:r w:rsidRPr="009962AD">
        <w:rPr>
          <w:b/>
        </w:rPr>
        <w:t xml:space="preserve">Observation 2 : For end-to-end latency, delay components at </w:t>
      </w:r>
      <w:proofErr w:type="spellStart"/>
      <w:r w:rsidRPr="009962AD">
        <w:rPr>
          <w:b/>
        </w:rPr>
        <w:t>gNB</w:t>
      </w:r>
      <w:proofErr w:type="spellEnd"/>
      <w:r w:rsidRPr="009962AD">
        <w:rPr>
          <w:b/>
        </w:rPr>
        <w:t xml:space="preserve"> and location of LMF and its reporting path to GMLC should be studied</w:t>
      </w:r>
      <w:bookmarkStart w:id="2" w:name="_GoBack"/>
      <w:bookmarkEnd w:id="2"/>
    </w:p>
    <w:p w14:paraId="3D5C697A" w14:textId="01F4825E" w:rsidR="00D72309" w:rsidRPr="00C21FDF" w:rsidRDefault="00C21FDF" w:rsidP="006B6BFB">
      <w:pPr>
        <w:spacing w:before="120" w:after="120"/>
      </w:pPr>
      <w:r w:rsidRPr="009962AD">
        <w:rPr>
          <w:b/>
        </w:rPr>
        <w:t xml:space="preserve">Observation </w:t>
      </w:r>
      <w:r>
        <w:rPr>
          <w:b/>
        </w:rPr>
        <w:t>3</w:t>
      </w:r>
      <w:r w:rsidRPr="009962AD">
        <w:rPr>
          <w:b/>
        </w:rPr>
        <w:t xml:space="preserve"> : </w:t>
      </w:r>
      <w:r>
        <w:rPr>
          <w:b/>
        </w:rPr>
        <w:t>Additional metric such as integrity may influence end-to-end latency</w:t>
      </w:r>
    </w:p>
    <w:p w14:paraId="4F938352" w14:textId="7B7F3A0D" w:rsidR="00D72309" w:rsidRPr="006F20DA" w:rsidRDefault="003A7BFB" w:rsidP="006B6BFB">
      <w:pPr>
        <w:spacing w:before="120" w:after="120"/>
        <w:rPr>
          <w:b/>
          <w:lang w:val="en-GB"/>
        </w:rPr>
      </w:pPr>
      <w:r w:rsidRPr="009962AD">
        <w:rPr>
          <w:b/>
          <w:lang w:val="en-GB"/>
        </w:rPr>
        <w:t>Proposal 1 : For latency analysis at UE, categorize latency into 3 components, T1, T2 and T3, and analyse delay at each component</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042082A3" w14:textId="77777777" w:rsidR="00DA1980" w:rsidRPr="00DA1980" w:rsidRDefault="00DA1980" w:rsidP="00DA1980">
      <w:pPr>
        <w:pStyle w:val="Reference"/>
        <w:tabs>
          <w:tab w:val="left" w:pos="1133"/>
        </w:tabs>
        <w:overflowPunct w:val="0"/>
        <w:autoSpaceDE w:val="0"/>
        <w:autoSpaceDN w:val="0"/>
        <w:adjustRightInd w:val="0"/>
        <w:spacing w:after="60"/>
        <w:textAlignment w:val="baseline"/>
        <w:rPr>
          <w:rFonts w:ascii="Times New Roman" w:hAnsi="Times New Roman" w:cs="Times New Roman"/>
          <w:sz w:val="20"/>
          <w:szCs w:val="20"/>
        </w:rPr>
      </w:pPr>
      <w:r w:rsidRPr="007A7CE9">
        <w:rPr>
          <w:rFonts w:ascii="Times New Roman" w:hAnsi="Times New Roman" w:cs="Times New Roman"/>
          <w:sz w:val="20"/>
          <w:szCs w:val="20"/>
        </w:rPr>
        <w:t>RP-193237, “New SID on NR Positioning Enhancements</w:t>
      </w:r>
      <w:r>
        <w:rPr>
          <w:rFonts w:ascii="Times New Roman" w:hAnsi="Times New Roman" w:cs="Times New Roman"/>
          <w:sz w:val="20"/>
          <w:szCs w:val="20"/>
        </w:rPr>
        <w:t>,</w:t>
      </w:r>
      <w:r w:rsidRPr="007A7CE9">
        <w:rPr>
          <w:rFonts w:ascii="Times New Roman" w:hAnsi="Times New Roman" w:cs="Times New Roman"/>
          <w:sz w:val="20"/>
          <w:szCs w:val="20"/>
        </w:rPr>
        <w:t>”</w:t>
      </w:r>
      <w:r>
        <w:rPr>
          <w:rFonts w:ascii="Times New Roman" w:hAnsi="Times New Roman" w:cs="Times New Roman"/>
          <w:sz w:val="20"/>
          <w:szCs w:val="20"/>
        </w:rPr>
        <w:t xml:space="preserve"> RAN#86, Sitges, Spain, Dec. 2019.</w:t>
      </w:r>
    </w:p>
    <w:p w14:paraId="458C6EED" w14:textId="51A86116" w:rsidR="00474ED0" w:rsidRDefault="00506878" w:rsidP="006C5022">
      <w:pPr>
        <w:pStyle w:val="Reference"/>
        <w:overflowPunct w:val="0"/>
        <w:autoSpaceDE w:val="0"/>
        <w:autoSpaceDN w:val="0"/>
        <w:adjustRightInd w:val="0"/>
        <w:spacing w:after="60"/>
        <w:textAlignment w:val="baseline"/>
        <w:rPr>
          <w:rFonts w:ascii="Times New Roman" w:hAnsi="Times New Roman" w:cs="Times New Roman"/>
          <w:sz w:val="20"/>
          <w:szCs w:val="20"/>
        </w:rPr>
      </w:pPr>
      <w:bookmarkStart w:id="3" w:name="_Ref47443492"/>
      <w:r>
        <w:rPr>
          <w:rFonts w:ascii="Times New Roman" w:hAnsi="Times New Roman" w:cs="Times New Roman"/>
          <w:sz w:val="20"/>
          <w:szCs w:val="20"/>
        </w:rPr>
        <w:t xml:space="preserve">RAN1 </w:t>
      </w:r>
      <w:r w:rsidR="007A4EC0">
        <w:rPr>
          <w:rFonts w:ascii="Times New Roman" w:hAnsi="Times New Roman" w:cs="Times New Roman"/>
          <w:sz w:val="20"/>
          <w:szCs w:val="20"/>
        </w:rPr>
        <w:t>Chairman’s note, RAN1#101e, May, 2020.</w:t>
      </w:r>
      <w:bookmarkEnd w:id="3"/>
    </w:p>
    <w:p w14:paraId="090960D1" w14:textId="77777777" w:rsidR="00FB309D" w:rsidRDefault="00566436" w:rsidP="00FB309D">
      <w:pPr>
        <w:pStyle w:val="Reference"/>
        <w:overflowPunct w:val="0"/>
        <w:autoSpaceDE w:val="0"/>
        <w:autoSpaceDN w:val="0"/>
        <w:adjustRightInd w:val="0"/>
        <w:spacing w:after="60"/>
        <w:textAlignment w:val="baseline"/>
        <w:rPr>
          <w:rFonts w:ascii="Times New Roman" w:hAnsi="Times New Roman" w:cs="Times New Roman"/>
          <w:sz w:val="20"/>
          <w:szCs w:val="20"/>
        </w:rPr>
      </w:pPr>
      <w:bookmarkStart w:id="4" w:name="_Ref47696208"/>
      <w:r>
        <w:rPr>
          <w:rFonts w:ascii="Times New Roman" w:hAnsi="Times New Roman" w:cs="Times New Roman"/>
          <w:sz w:val="20"/>
          <w:szCs w:val="20"/>
        </w:rPr>
        <w:t>R2-</w:t>
      </w:r>
      <w:r w:rsidRPr="00566436">
        <w:rPr>
          <w:rFonts w:ascii="Times New Roman" w:hAnsi="Times New Roman" w:cs="Times New Roman"/>
          <w:sz w:val="20"/>
          <w:szCs w:val="20"/>
        </w:rPr>
        <w:t>2007587</w:t>
      </w:r>
      <w:r>
        <w:rPr>
          <w:rFonts w:ascii="Times New Roman" w:hAnsi="Times New Roman" w:cs="Times New Roman"/>
          <w:sz w:val="20"/>
          <w:szCs w:val="20"/>
        </w:rPr>
        <w:t>, “</w:t>
      </w:r>
      <w:r w:rsidRPr="00566436">
        <w:rPr>
          <w:rFonts w:ascii="Times New Roman" w:hAnsi="Times New Roman" w:cs="Times New Roman"/>
          <w:sz w:val="20"/>
          <w:szCs w:val="20"/>
        </w:rPr>
        <w:t>End-to-end latency reduction for DL/UL positioning</w:t>
      </w:r>
      <w:r>
        <w:rPr>
          <w:rFonts w:ascii="Times New Roman" w:hAnsi="Times New Roman" w:cs="Times New Roman"/>
          <w:sz w:val="20"/>
          <w:szCs w:val="20"/>
        </w:rPr>
        <w:t>,” RAN2#111e, Aug. 2020</w:t>
      </w:r>
      <w:r w:rsidR="00B4009F">
        <w:rPr>
          <w:rFonts w:ascii="Times New Roman" w:hAnsi="Times New Roman" w:cs="Times New Roman"/>
          <w:sz w:val="20"/>
          <w:szCs w:val="20"/>
        </w:rPr>
        <w:t>.</w:t>
      </w:r>
      <w:bookmarkEnd w:id="4"/>
    </w:p>
    <w:p w14:paraId="73E6D743" w14:textId="0A4913E5" w:rsidR="00FB309D" w:rsidRDefault="00FB309D" w:rsidP="00FB309D">
      <w:pPr>
        <w:pStyle w:val="Reference"/>
        <w:overflowPunct w:val="0"/>
        <w:autoSpaceDE w:val="0"/>
        <w:autoSpaceDN w:val="0"/>
        <w:adjustRightInd w:val="0"/>
        <w:spacing w:after="60"/>
        <w:textAlignment w:val="baseline"/>
        <w:rPr>
          <w:rFonts w:ascii="Times New Roman" w:hAnsi="Times New Roman" w:cs="Times New Roman"/>
          <w:sz w:val="20"/>
          <w:szCs w:val="20"/>
        </w:rPr>
      </w:pPr>
      <w:bookmarkStart w:id="5" w:name="_Ref47699680"/>
      <w:r w:rsidRPr="00CF3EB4">
        <w:rPr>
          <w:rFonts w:ascii="Times New Roman" w:hAnsi="Times New Roman" w:cs="Times New Roman"/>
          <w:color w:val="201F1E"/>
          <w:sz w:val="20"/>
          <w:szCs w:val="20"/>
        </w:rPr>
        <w:t xml:space="preserve">3GPP TR 23.731, “Study on Enhancement to the 5GC </w:t>
      </w:r>
      <w:proofErr w:type="spellStart"/>
      <w:r w:rsidRPr="00CF3EB4">
        <w:rPr>
          <w:rFonts w:ascii="Times New Roman" w:hAnsi="Times New Roman" w:cs="Times New Roman"/>
          <w:color w:val="201F1E"/>
          <w:sz w:val="20"/>
          <w:szCs w:val="20"/>
        </w:rPr>
        <w:t>LoCation</w:t>
      </w:r>
      <w:proofErr w:type="spellEnd"/>
      <w:r w:rsidRPr="00CF3EB4">
        <w:rPr>
          <w:rFonts w:ascii="Times New Roman" w:hAnsi="Times New Roman" w:cs="Times New Roman"/>
          <w:color w:val="201F1E"/>
          <w:sz w:val="20"/>
          <w:szCs w:val="20"/>
        </w:rPr>
        <w:t xml:space="preserve"> Services (Release 16)”,v16.0.0</w:t>
      </w:r>
      <w:r w:rsidRPr="00CF3EB4">
        <w:rPr>
          <w:rFonts w:ascii="Times New Roman" w:hAnsi="Times New Roman" w:cs="Times New Roman"/>
          <w:sz w:val="20"/>
          <w:szCs w:val="20"/>
        </w:rPr>
        <w:t>, 2020.</w:t>
      </w:r>
      <w:bookmarkEnd w:id="5"/>
    </w:p>
    <w:p w14:paraId="308CFCD4" w14:textId="71BE5B62" w:rsidR="001C1C8D" w:rsidRPr="00CF3EB4" w:rsidRDefault="001C1C8D" w:rsidP="00FB309D">
      <w:pPr>
        <w:pStyle w:val="Reference"/>
        <w:overflowPunct w:val="0"/>
        <w:autoSpaceDE w:val="0"/>
        <w:autoSpaceDN w:val="0"/>
        <w:adjustRightInd w:val="0"/>
        <w:spacing w:after="60"/>
        <w:textAlignment w:val="baseline"/>
        <w:rPr>
          <w:rFonts w:ascii="Times New Roman" w:hAnsi="Times New Roman" w:cs="Times New Roman"/>
          <w:sz w:val="20"/>
          <w:szCs w:val="20"/>
        </w:rPr>
      </w:pPr>
      <w:bookmarkStart w:id="6" w:name="_Ref47702825"/>
      <w:r>
        <w:rPr>
          <w:rFonts w:ascii="Times New Roman" w:hAnsi="Times New Roman" w:cs="Times New Roman"/>
          <w:sz w:val="20"/>
          <w:szCs w:val="20"/>
        </w:rPr>
        <w:t>R2-</w:t>
      </w:r>
      <w:r w:rsidR="00993BB4" w:rsidRPr="00993BB4">
        <w:rPr>
          <w:rFonts w:ascii="Times New Roman" w:hAnsi="Times New Roman" w:cs="Times New Roman"/>
          <w:sz w:val="20"/>
          <w:szCs w:val="20"/>
        </w:rPr>
        <w:t>2007588</w:t>
      </w:r>
      <w:r>
        <w:rPr>
          <w:rFonts w:ascii="Times New Roman" w:hAnsi="Times New Roman" w:cs="Times New Roman"/>
          <w:sz w:val="20"/>
          <w:szCs w:val="20"/>
        </w:rPr>
        <w:t>, “</w:t>
      </w:r>
      <w:r w:rsidR="00993BB4" w:rsidRPr="00993BB4">
        <w:rPr>
          <w:rFonts w:ascii="Times New Roman" w:hAnsi="Times New Roman" w:cs="Times New Roman"/>
          <w:sz w:val="20"/>
          <w:szCs w:val="20"/>
        </w:rPr>
        <w:t>Methodologies for network-assisted and UE-assisted integrity</w:t>
      </w:r>
      <w:r>
        <w:rPr>
          <w:rFonts w:ascii="Times New Roman" w:hAnsi="Times New Roman" w:cs="Times New Roman"/>
          <w:sz w:val="20"/>
          <w:szCs w:val="20"/>
        </w:rPr>
        <w:t>,” RAN2#111e, Aug. 2020.</w:t>
      </w:r>
      <w:bookmarkEnd w:id="6"/>
    </w:p>
    <w:sectPr w:rsidR="001C1C8D" w:rsidRPr="00CF3EB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63B53" w14:textId="77777777" w:rsidR="00161B34" w:rsidRDefault="00161B34">
      <w:r>
        <w:separator/>
      </w:r>
    </w:p>
  </w:endnote>
  <w:endnote w:type="continuationSeparator" w:id="0">
    <w:p w14:paraId="4CD43433" w14:textId="77777777" w:rsidR="00161B34" w:rsidRDefault="00161B34">
      <w:r>
        <w:continuationSeparator/>
      </w:r>
    </w:p>
  </w:endnote>
  <w:endnote w:type="continuationNotice" w:id="1">
    <w:p w14:paraId="4413AF66" w14:textId="77777777" w:rsidR="00161B34" w:rsidRDefault="00161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518B8" w14:textId="77777777" w:rsidR="00161B34" w:rsidRDefault="00161B34">
      <w:r>
        <w:separator/>
      </w:r>
    </w:p>
  </w:footnote>
  <w:footnote w:type="continuationSeparator" w:id="0">
    <w:p w14:paraId="69E64F01" w14:textId="77777777" w:rsidR="00161B34" w:rsidRDefault="00161B34">
      <w:r>
        <w:continuationSeparator/>
      </w:r>
    </w:p>
  </w:footnote>
  <w:footnote w:type="continuationNotice" w:id="1">
    <w:p w14:paraId="01416686" w14:textId="77777777" w:rsidR="00161B34" w:rsidRDefault="00161B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1E36F1"/>
    <w:multiLevelType w:val="multilevel"/>
    <w:tmpl w:val="FC669C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C56427"/>
    <w:multiLevelType w:val="hybridMultilevel"/>
    <w:tmpl w:val="0CD82112"/>
    <w:lvl w:ilvl="0" w:tplc="729ADD80">
      <w:start w:val="6"/>
      <w:numFmt w:val="bullet"/>
      <w:lvlText w:val="-"/>
      <w:lvlJc w:val="left"/>
      <w:pPr>
        <w:ind w:left="720" w:hanging="360"/>
      </w:pPr>
      <w:rPr>
        <w:rFonts w:ascii="Arial" w:eastAsia="Times New Roman" w:hAnsi="Arial" w:cs="Arial" w:hint="default"/>
      </w:rPr>
    </w:lvl>
    <w:lvl w:ilvl="1" w:tplc="27E83A7A">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F13EF"/>
    <w:multiLevelType w:val="hybridMultilevel"/>
    <w:tmpl w:val="F814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27817"/>
    <w:multiLevelType w:val="hybridMultilevel"/>
    <w:tmpl w:val="1D0256AA"/>
    <w:lvl w:ilvl="0" w:tplc="729ADD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EC2621"/>
    <w:multiLevelType w:val="hybridMultilevel"/>
    <w:tmpl w:val="6406D360"/>
    <w:lvl w:ilvl="0" w:tplc="8516359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3"/>
  </w:num>
  <w:num w:numId="8">
    <w:abstractNumId w:val="6"/>
  </w:num>
  <w:num w:numId="9">
    <w:abstractNumId w:val="17"/>
  </w:num>
  <w:num w:numId="10">
    <w:abstractNumId w:val="7"/>
    <w:lvlOverride w:ilvl="0">
      <w:startOverride w:val="1"/>
    </w:lvlOverride>
  </w:num>
  <w:num w:numId="11">
    <w:abstractNumId w:val="11"/>
  </w:num>
  <w:num w:numId="12">
    <w:abstractNumId w:val="16"/>
  </w:num>
  <w:num w:numId="13">
    <w:abstractNumId w:val="14"/>
  </w:num>
  <w:num w:numId="14">
    <w:abstractNumId w:val="15"/>
  </w:num>
  <w:num w:numId="15">
    <w:abstractNumId w:val="4"/>
  </w:num>
  <w:num w:numId="16">
    <w:abstractNumId w:val="2"/>
  </w:num>
  <w:num w:numId="17">
    <w:abstractNumId w:val="3"/>
  </w:num>
  <w:num w:numId="1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F5"/>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9B"/>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764"/>
    <w:rsid w:val="000839A1"/>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978F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0A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EE7"/>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0C"/>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1B34"/>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1E2"/>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4E8A"/>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29A4"/>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91D"/>
    <w:rsid w:val="001C0AAE"/>
    <w:rsid w:val="001C0B35"/>
    <w:rsid w:val="001C1A1A"/>
    <w:rsid w:val="001C1C8D"/>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DB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CA0"/>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398"/>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130"/>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5E40"/>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1633A"/>
    <w:rsid w:val="00320177"/>
    <w:rsid w:val="00320354"/>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2FA5"/>
    <w:rsid w:val="00343C63"/>
    <w:rsid w:val="00343CA5"/>
    <w:rsid w:val="0034447A"/>
    <w:rsid w:val="00345335"/>
    <w:rsid w:val="00346012"/>
    <w:rsid w:val="00346DB5"/>
    <w:rsid w:val="0034740E"/>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4B6"/>
    <w:rsid w:val="00361055"/>
    <w:rsid w:val="00361261"/>
    <w:rsid w:val="003616AD"/>
    <w:rsid w:val="003626B8"/>
    <w:rsid w:val="00362B2F"/>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027"/>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95"/>
    <w:rsid w:val="003A2DD7"/>
    <w:rsid w:val="003A3994"/>
    <w:rsid w:val="003A45A1"/>
    <w:rsid w:val="003A4C90"/>
    <w:rsid w:val="003A4EBD"/>
    <w:rsid w:val="003A5124"/>
    <w:rsid w:val="003A5529"/>
    <w:rsid w:val="003A5669"/>
    <w:rsid w:val="003A5B0A"/>
    <w:rsid w:val="003A5C85"/>
    <w:rsid w:val="003A5EA3"/>
    <w:rsid w:val="003A6793"/>
    <w:rsid w:val="003A6BAC"/>
    <w:rsid w:val="003A6BE0"/>
    <w:rsid w:val="003A722F"/>
    <w:rsid w:val="003A7BA5"/>
    <w:rsid w:val="003A7BFB"/>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DC6"/>
    <w:rsid w:val="003F1D3F"/>
    <w:rsid w:val="003F24A2"/>
    <w:rsid w:val="003F25D5"/>
    <w:rsid w:val="003F2CD4"/>
    <w:rsid w:val="003F337C"/>
    <w:rsid w:val="003F370E"/>
    <w:rsid w:val="003F3B86"/>
    <w:rsid w:val="003F4036"/>
    <w:rsid w:val="003F4A38"/>
    <w:rsid w:val="003F4A65"/>
    <w:rsid w:val="003F52E8"/>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4BE"/>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4FD"/>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6A7"/>
    <w:rsid w:val="00433752"/>
    <w:rsid w:val="00433B5E"/>
    <w:rsid w:val="00433CB2"/>
    <w:rsid w:val="004345C8"/>
    <w:rsid w:val="0043473D"/>
    <w:rsid w:val="00434E58"/>
    <w:rsid w:val="00434ED0"/>
    <w:rsid w:val="00435A16"/>
    <w:rsid w:val="004361DE"/>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6D03"/>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AB"/>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8AE"/>
    <w:rsid w:val="004B0924"/>
    <w:rsid w:val="004B09DB"/>
    <w:rsid w:val="004B0A8D"/>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2D14"/>
    <w:rsid w:val="0050318E"/>
    <w:rsid w:val="00504512"/>
    <w:rsid w:val="00504B0D"/>
    <w:rsid w:val="00504D78"/>
    <w:rsid w:val="0050530D"/>
    <w:rsid w:val="00506557"/>
    <w:rsid w:val="0050677A"/>
    <w:rsid w:val="00506849"/>
    <w:rsid w:val="00506878"/>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159E"/>
    <w:rsid w:val="00563ABE"/>
    <w:rsid w:val="00563BB8"/>
    <w:rsid w:val="00563D67"/>
    <w:rsid w:val="00564315"/>
    <w:rsid w:val="005644B2"/>
    <w:rsid w:val="005647E4"/>
    <w:rsid w:val="00564FBF"/>
    <w:rsid w:val="00565067"/>
    <w:rsid w:val="00565DED"/>
    <w:rsid w:val="00566436"/>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778FD"/>
    <w:rsid w:val="005807DC"/>
    <w:rsid w:val="0058172D"/>
    <w:rsid w:val="005817C9"/>
    <w:rsid w:val="00582388"/>
    <w:rsid w:val="00582561"/>
    <w:rsid w:val="00582809"/>
    <w:rsid w:val="00583F52"/>
    <w:rsid w:val="00583F8C"/>
    <w:rsid w:val="00585C6A"/>
    <w:rsid w:val="00586023"/>
    <w:rsid w:val="0058638E"/>
    <w:rsid w:val="00586451"/>
    <w:rsid w:val="0058761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1FE"/>
    <w:rsid w:val="005A04F4"/>
    <w:rsid w:val="005A0771"/>
    <w:rsid w:val="005A08A7"/>
    <w:rsid w:val="005A0942"/>
    <w:rsid w:val="005A0DAA"/>
    <w:rsid w:val="005A10ED"/>
    <w:rsid w:val="005A1AB5"/>
    <w:rsid w:val="005A1BCB"/>
    <w:rsid w:val="005A209A"/>
    <w:rsid w:val="005A29B8"/>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3EC2"/>
    <w:rsid w:val="00604267"/>
    <w:rsid w:val="00604F14"/>
    <w:rsid w:val="00605289"/>
    <w:rsid w:val="00605346"/>
    <w:rsid w:val="006059C5"/>
    <w:rsid w:val="006060B0"/>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717"/>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32F"/>
    <w:rsid w:val="00674CC3"/>
    <w:rsid w:val="00674F8F"/>
    <w:rsid w:val="0067586E"/>
    <w:rsid w:val="00675C72"/>
    <w:rsid w:val="00675C8F"/>
    <w:rsid w:val="006768BC"/>
    <w:rsid w:val="00676D1A"/>
    <w:rsid w:val="006770A9"/>
    <w:rsid w:val="006771F9"/>
    <w:rsid w:val="006776D7"/>
    <w:rsid w:val="00677FA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538"/>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C42"/>
    <w:rsid w:val="006B2099"/>
    <w:rsid w:val="006B2283"/>
    <w:rsid w:val="006B2A51"/>
    <w:rsid w:val="006B2EEB"/>
    <w:rsid w:val="006B3930"/>
    <w:rsid w:val="006B3DBE"/>
    <w:rsid w:val="006B4329"/>
    <w:rsid w:val="006B49CD"/>
    <w:rsid w:val="006B4B55"/>
    <w:rsid w:val="006B50CF"/>
    <w:rsid w:val="006B528F"/>
    <w:rsid w:val="006B56C6"/>
    <w:rsid w:val="006B5AA5"/>
    <w:rsid w:val="006B6BFB"/>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2A2"/>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0DA"/>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30C"/>
    <w:rsid w:val="00743A91"/>
    <w:rsid w:val="00743B80"/>
    <w:rsid w:val="007445A0"/>
    <w:rsid w:val="007451E7"/>
    <w:rsid w:val="0074524B"/>
    <w:rsid w:val="0074545D"/>
    <w:rsid w:val="00746608"/>
    <w:rsid w:val="00746B4C"/>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4EC0"/>
    <w:rsid w:val="007A57A2"/>
    <w:rsid w:val="007A58A6"/>
    <w:rsid w:val="007A5EED"/>
    <w:rsid w:val="007A61D2"/>
    <w:rsid w:val="007A6261"/>
    <w:rsid w:val="007A6495"/>
    <w:rsid w:val="007A64AE"/>
    <w:rsid w:val="007A6F2F"/>
    <w:rsid w:val="007A7053"/>
    <w:rsid w:val="007B080A"/>
    <w:rsid w:val="007B29DB"/>
    <w:rsid w:val="007B35ED"/>
    <w:rsid w:val="007B3738"/>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0BA3"/>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3947"/>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377"/>
    <w:rsid w:val="00842778"/>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8C5"/>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77F8C"/>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C54"/>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25B"/>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2EB"/>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6B58"/>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BB4"/>
    <w:rsid w:val="00993D8D"/>
    <w:rsid w:val="00994309"/>
    <w:rsid w:val="00994B02"/>
    <w:rsid w:val="00994DCA"/>
    <w:rsid w:val="009955D8"/>
    <w:rsid w:val="00995692"/>
    <w:rsid w:val="00995B06"/>
    <w:rsid w:val="0099603E"/>
    <w:rsid w:val="009962AD"/>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254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2425"/>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0746"/>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569"/>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2EB"/>
    <w:rsid w:val="00A253A7"/>
    <w:rsid w:val="00A264A9"/>
    <w:rsid w:val="00A2663B"/>
    <w:rsid w:val="00A26849"/>
    <w:rsid w:val="00A269B0"/>
    <w:rsid w:val="00A27785"/>
    <w:rsid w:val="00A27A7B"/>
    <w:rsid w:val="00A27C27"/>
    <w:rsid w:val="00A30187"/>
    <w:rsid w:val="00A30C0E"/>
    <w:rsid w:val="00A319C8"/>
    <w:rsid w:val="00A320BF"/>
    <w:rsid w:val="00A325ED"/>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353C"/>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DC1"/>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49F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4C0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0C9"/>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09F"/>
    <w:rsid w:val="00B40445"/>
    <w:rsid w:val="00B40532"/>
    <w:rsid w:val="00B40B51"/>
    <w:rsid w:val="00B41888"/>
    <w:rsid w:val="00B422DA"/>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1E65"/>
    <w:rsid w:val="00BB21B4"/>
    <w:rsid w:val="00BB2863"/>
    <w:rsid w:val="00BB2A25"/>
    <w:rsid w:val="00BB2B8E"/>
    <w:rsid w:val="00BB2BED"/>
    <w:rsid w:val="00BB2EEF"/>
    <w:rsid w:val="00BB30F3"/>
    <w:rsid w:val="00BB3CD1"/>
    <w:rsid w:val="00BB51F7"/>
    <w:rsid w:val="00BB56A9"/>
    <w:rsid w:val="00BB6BE1"/>
    <w:rsid w:val="00BB6D32"/>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268C"/>
    <w:rsid w:val="00C13905"/>
    <w:rsid w:val="00C13962"/>
    <w:rsid w:val="00C14011"/>
    <w:rsid w:val="00C14D4B"/>
    <w:rsid w:val="00C14EA3"/>
    <w:rsid w:val="00C154BB"/>
    <w:rsid w:val="00C15D1A"/>
    <w:rsid w:val="00C1608A"/>
    <w:rsid w:val="00C16757"/>
    <w:rsid w:val="00C17316"/>
    <w:rsid w:val="00C21FDF"/>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C73"/>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5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B7A4B"/>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B8C"/>
    <w:rsid w:val="00CE5EBF"/>
    <w:rsid w:val="00CE7561"/>
    <w:rsid w:val="00CE75E3"/>
    <w:rsid w:val="00CF07BD"/>
    <w:rsid w:val="00CF0924"/>
    <w:rsid w:val="00CF0C35"/>
    <w:rsid w:val="00CF11F6"/>
    <w:rsid w:val="00CF1354"/>
    <w:rsid w:val="00CF3750"/>
    <w:rsid w:val="00CF3B1F"/>
    <w:rsid w:val="00CF3BF6"/>
    <w:rsid w:val="00CF3C36"/>
    <w:rsid w:val="00CF3EB4"/>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4DF"/>
    <w:rsid w:val="00D06D04"/>
    <w:rsid w:val="00D07567"/>
    <w:rsid w:val="00D078FB"/>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1A3"/>
    <w:rsid w:val="00D20A27"/>
    <w:rsid w:val="00D20C89"/>
    <w:rsid w:val="00D212E2"/>
    <w:rsid w:val="00D21443"/>
    <w:rsid w:val="00D21872"/>
    <w:rsid w:val="00D22013"/>
    <w:rsid w:val="00D235FD"/>
    <w:rsid w:val="00D239A7"/>
    <w:rsid w:val="00D23F47"/>
    <w:rsid w:val="00D24400"/>
    <w:rsid w:val="00D248DC"/>
    <w:rsid w:val="00D24B5D"/>
    <w:rsid w:val="00D25297"/>
    <w:rsid w:val="00D25F93"/>
    <w:rsid w:val="00D26BD8"/>
    <w:rsid w:val="00D26C60"/>
    <w:rsid w:val="00D26F3D"/>
    <w:rsid w:val="00D26F4D"/>
    <w:rsid w:val="00D2712B"/>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B88"/>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2309"/>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980"/>
    <w:rsid w:val="00DA1E71"/>
    <w:rsid w:val="00DA2891"/>
    <w:rsid w:val="00DA2A4E"/>
    <w:rsid w:val="00DA2D31"/>
    <w:rsid w:val="00DA305E"/>
    <w:rsid w:val="00DA46AD"/>
    <w:rsid w:val="00DA4769"/>
    <w:rsid w:val="00DA4A9B"/>
    <w:rsid w:val="00DA4E27"/>
    <w:rsid w:val="00DA5417"/>
    <w:rsid w:val="00DA56E8"/>
    <w:rsid w:val="00DA5B30"/>
    <w:rsid w:val="00DA5C2A"/>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3E1E"/>
    <w:rsid w:val="00DC4524"/>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38D"/>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6F68"/>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EF8"/>
    <w:rsid w:val="00E23A38"/>
    <w:rsid w:val="00E23CD9"/>
    <w:rsid w:val="00E240D8"/>
    <w:rsid w:val="00E246F8"/>
    <w:rsid w:val="00E2479C"/>
    <w:rsid w:val="00E24CA8"/>
    <w:rsid w:val="00E25DE2"/>
    <w:rsid w:val="00E266B7"/>
    <w:rsid w:val="00E271A1"/>
    <w:rsid w:val="00E27326"/>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F7B"/>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531"/>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30"/>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8C8"/>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429"/>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7FA"/>
    <w:rsid w:val="00F528D3"/>
    <w:rsid w:val="00F53352"/>
    <w:rsid w:val="00F54253"/>
    <w:rsid w:val="00F5450F"/>
    <w:rsid w:val="00F54D17"/>
    <w:rsid w:val="00F54F08"/>
    <w:rsid w:val="00F55B47"/>
    <w:rsid w:val="00F55C20"/>
    <w:rsid w:val="00F55D60"/>
    <w:rsid w:val="00F562AF"/>
    <w:rsid w:val="00F568FB"/>
    <w:rsid w:val="00F570BF"/>
    <w:rsid w:val="00F57485"/>
    <w:rsid w:val="00F57752"/>
    <w:rsid w:val="00F607C5"/>
    <w:rsid w:val="00F60DEA"/>
    <w:rsid w:val="00F61363"/>
    <w:rsid w:val="00F62F8D"/>
    <w:rsid w:val="00F6302A"/>
    <w:rsid w:val="00F63838"/>
    <w:rsid w:val="00F639CE"/>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4DD5"/>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762"/>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09D"/>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434"/>
    <w:rsid w:val="00FC2E17"/>
    <w:rsid w:val="00FC3355"/>
    <w:rsid w:val="00FC3620"/>
    <w:rsid w:val="00FC4002"/>
    <w:rsid w:val="00FC4B11"/>
    <w:rsid w:val="00FC4B8F"/>
    <w:rsid w:val="00FC58D4"/>
    <w:rsid w:val="00FC5A27"/>
    <w:rsid w:val="00FC5DE8"/>
    <w:rsid w:val="00FC5E13"/>
    <w:rsid w:val="00FC61E9"/>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6BFB"/>
    <w:rPr>
      <w:rFonts w:asciiTheme="minorHAnsi" w:eastAsiaTheme="minorEastAsia" w:hAnsiTheme="minorHAnsi" w:cstheme="minorBidi"/>
      <w:sz w:val="24"/>
      <w:szCs w:val="24"/>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utlineLvl w:val="5"/>
    </w:pPr>
    <w:rPr>
      <w:rFonts w:ascii="Arial" w:hAnsi="Arial" w:cs="Arial"/>
    </w:rPr>
  </w:style>
  <w:style w:type="paragraph" w:styleId="Heading7">
    <w:name w:val="heading 7"/>
    <w:basedOn w:val="Normal"/>
    <w:next w:val="Normal"/>
    <w:qFormat/>
    <w:rsid w:val="009E35DB"/>
    <w:pPr>
      <w:keepNext/>
      <w:keepLines/>
      <w:numPr>
        <w:ilvl w:val="6"/>
        <w:numId w:val="1"/>
      </w:numPr>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B6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BF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textAlignment w:val="baseline"/>
    </w:pPr>
    <w:rPr>
      <w:rFonts w:ascii="Times New Roman" w:eastAsia="MS Mincho" w:hAnsi="Times New Roman" w:cs="Times New Roman"/>
      <w:szCs w:val="20"/>
      <w:lang w:eastAsia="en-GB"/>
    </w:rPr>
  </w:style>
  <w:style w:type="paragraph" w:customStyle="1" w:styleId="xmsolistparagraph">
    <w:name w:val="x_msolistparagraph"/>
    <w:basedOn w:val="Normal"/>
    <w:rsid w:val="00FB309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743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6050300">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297460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95257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85298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86288476">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025715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622A6C-1C21-CF49-9EC5-9B3040CA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2020-08-08T02:52:00Z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