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7D9CC613"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B369F1">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D43A1F">
        <w:rPr>
          <w:rFonts w:eastAsia="SimSun" w:hint="eastAsia"/>
          <w:sz w:val="22"/>
          <w:lang w:eastAsia="zh-CN"/>
        </w:rPr>
        <w:t>20</w:t>
      </w:r>
      <w:r w:rsidR="00D43A1F">
        <w:rPr>
          <w:rFonts w:eastAsia="SimSun"/>
          <w:sz w:val="22"/>
          <w:lang w:eastAsia="zh-CN"/>
        </w:rPr>
        <w:t>05</w:t>
      </w:r>
      <w:r w:rsidR="00DB3826">
        <w:rPr>
          <w:rFonts w:eastAsia="SimSun"/>
          <w:sz w:val="22"/>
          <w:lang w:eastAsia="zh-CN"/>
        </w:rPr>
        <w:t>9</w:t>
      </w:r>
      <w:r w:rsidR="00D43A1F">
        <w:rPr>
          <w:rFonts w:eastAsia="SimSun"/>
          <w:sz w:val="22"/>
          <w:lang w:eastAsia="zh-CN"/>
        </w:rPr>
        <w:t>83</w:t>
      </w:r>
    </w:p>
    <w:p w14:paraId="5274BA97" w14:textId="54503C50"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Pr>
          <w:rFonts w:eastAsia="SimSun"/>
          <w:sz w:val="22"/>
          <w:lang w:eastAsia="zh-CN"/>
        </w:rPr>
        <w:t>August</w:t>
      </w:r>
      <w:r w:rsidR="002328B0">
        <w:rPr>
          <w:rFonts w:eastAsia="SimSun"/>
          <w:sz w:val="22"/>
          <w:lang w:eastAsia="zh-CN"/>
        </w:rPr>
        <w:t xml:space="preserve"> </w:t>
      </w:r>
      <w:r>
        <w:rPr>
          <w:rFonts w:eastAsia="SimSun"/>
          <w:sz w:val="22"/>
          <w:lang w:eastAsia="zh-CN"/>
        </w:rPr>
        <w:t>17</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sidR="001F4B67">
        <w:rPr>
          <w:rFonts w:eastAsia="SimSun"/>
          <w:sz w:val="22"/>
          <w:lang w:eastAsia="zh-CN"/>
        </w:rPr>
        <w:t>2</w:t>
      </w:r>
      <w:r w:rsidR="003845A5">
        <w:rPr>
          <w:rFonts w:eastAsia="SimSun"/>
          <w:sz w:val="22"/>
          <w:lang w:eastAsia="zh-CN"/>
        </w:rPr>
        <w:t>8</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7777777" w:rsidR="003A33FE" w:rsidRDefault="003A33FE" w:rsidP="00497AFF">
      <w:pPr>
        <w:pStyle w:val="00Text"/>
      </w:pPr>
      <w:r>
        <w:t>NR system specify multi-beam operation since 3GPP release 15 mainly to support FR2 systems. New WID for further enhancing NR MIMO [1] includes the following objectives for multi-beam operations:</w:t>
      </w:r>
    </w:p>
    <w:tbl>
      <w:tblPr>
        <w:tblStyle w:val="TableGrid"/>
        <w:tblW w:w="0" w:type="auto"/>
        <w:tblLook w:val="04A0" w:firstRow="1" w:lastRow="0" w:firstColumn="1" w:lastColumn="0" w:noHBand="0" w:noVBand="1"/>
      </w:tblPr>
      <w:tblGrid>
        <w:gridCol w:w="9062"/>
      </w:tblGrid>
      <w:tr w:rsidR="003A33FE" w14:paraId="38B02EAF" w14:textId="77777777" w:rsidTr="003A33FE">
        <w:tc>
          <w:tcPr>
            <w:tcW w:w="9062" w:type="dxa"/>
          </w:tcPr>
          <w:p w14:paraId="172DB049" w14:textId="77777777" w:rsidR="003A33FE" w:rsidRPr="003A33FE" w:rsidRDefault="003A33FE" w:rsidP="003A33FE">
            <w:pPr>
              <w:pStyle w:val="00Text"/>
              <w:numPr>
                <w:ilvl w:val="0"/>
                <w:numId w:val="43"/>
              </w:numPr>
              <w:rPr>
                <w:lang w:val="en-GB"/>
              </w:rPr>
            </w:pPr>
            <w:r w:rsidRPr="003A33FE">
              <w:rPr>
                <w:lang w:val="en-GB"/>
              </w:rPr>
              <w:t xml:space="preserve">Enhancement on multi-beam operation, mainly targeting FR2 while also applicable to FR1: </w:t>
            </w:r>
          </w:p>
          <w:p w14:paraId="4ED0A647" w14:textId="77777777" w:rsidR="003A33FE" w:rsidRPr="003A33FE" w:rsidRDefault="003A33FE" w:rsidP="003A33FE">
            <w:pPr>
              <w:pStyle w:val="00Text"/>
              <w:numPr>
                <w:ilvl w:val="1"/>
                <w:numId w:val="43"/>
              </w:numPr>
              <w:rPr>
                <w:lang w:val="en-GB"/>
              </w:rPr>
            </w:pPr>
            <w:r w:rsidRPr="003A33FE">
              <w:rPr>
                <w:lang w:val="en-GB"/>
              </w:rPr>
              <w:t>Identify and specify features to facilitate more efficient (lower latency and overhead) DL/UL beam management to support higher intra- and L1/L2-centric inter-cell mobility and/or a larger number of configured TCI states:</w:t>
            </w:r>
          </w:p>
          <w:p w14:paraId="3587CFC1" w14:textId="77777777" w:rsidR="003A33FE" w:rsidRPr="003A33FE" w:rsidRDefault="003A33FE" w:rsidP="003A33FE">
            <w:pPr>
              <w:pStyle w:val="00Text"/>
              <w:numPr>
                <w:ilvl w:val="2"/>
                <w:numId w:val="43"/>
              </w:numPr>
              <w:rPr>
                <w:lang w:val="en-GB"/>
              </w:rPr>
            </w:pPr>
            <w:r w:rsidRPr="003A33FE">
              <w:rPr>
                <w:lang w:val="en-GB"/>
              </w:rPr>
              <w:t>Common beam for data and control transmission/reception for DL and UL, especially for intra-band CA</w:t>
            </w:r>
          </w:p>
          <w:p w14:paraId="3639F069" w14:textId="77777777" w:rsidR="003A33FE" w:rsidRPr="003A33FE" w:rsidRDefault="003A33FE" w:rsidP="003A33FE">
            <w:pPr>
              <w:pStyle w:val="00Text"/>
              <w:numPr>
                <w:ilvl w:val="2"/>
                <w:numId w:val="43"/>
              </w:numPr>
              <w:rPr>
                <w:lang w:val="en-GB"/>
              </w:rPr>
            </w:pPr>
            <w:r w:rsidRPr="003A33FE">
              <w:rPr>
                <w:lang w:val="en-GB"/>
              </w:rPr>
              <w:t>Unified TCI framework for DL and UL beam indication</w:t>
            </w:r>
          </w:p>
          <w:p w14:paraId="67C8C90E" w14:textId="77777777" w:rsidR="003A33FE" w:rsidRPr="003A33FE" w:rsidRDefault="003A33FE" w:rsidP="003A33FE">
            <w:pPr>
              <w:pStyle w:val="00Text"/>
              <w:numPr>
                <w:ilvl w:val="2"/>
                <w:numId w:val="43"/>
              </w:numPr>
              <w:rPr>
                <w:lang w:val="en-GB"/>
              </w:rPr>
            </w:pPr>
            <w:r w:rsidRPr="003A33FE">
              <w:rPr>
                <w:lang w:val="en-GB"/>
              </w:rPr>
              <w:t>Enhancement on signaling mechanisms for the above features to improve latency and efficiency with more usage of dynamic control signaling (as opposed to RRC)</w:t>
            </w:r>
          </w:p>
          <w:p w14:paraId="7EA27003" w14:textId="7AC3F472" w:rsidR="003A33FE" w:rsidRPr="003A33FE" w:rsidRDefault="003A33FE" w:rsidP="003A33FE">
            <w:pPr>
              <w:pStyle w:val="00Text"/>
              <w:numPr>
                <w:ilvl w:val="1"/>
                <w:numId w:val="43"/>
              </w:numPr>
              <w:rPr>
                <w:lang w:val="en-GB"/>
              </w:rPr>
            </w:pPr>
            <w:r w:rsidRPr="003A33FE">
              <w:rPr>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8568785" w14:textId="093FB1B0" w:rsidR="003A33FE" w:rsidRDefault="002328B0" w:rsidP="00497AFF">
      <w:pPr>
        <w:pStyle w:val="00Text"/>
      </w:pPr>
      <w:r w:rsidRPr="00497AFF">
        <w:t xml:space="preserve">In this contribution, we present our views on various </w:t>
      </w:r>
      <w:r w:rsidR="003A33FE">
        <w:t xml:space="preserve">aspects on NR multi-beam operation enhancement. In particular, we will present our views on common beam operation, TCI </w:t>
      </w:r>
      <w:r w:rsidR="00833D9E">
        <w:t>state</w:t>
      </w:r>
      <w:r w:rsidR="003A33FE">
        <w:t xml:space="preserve">, </w:t>
      </w:r>
      <w:r w:rsidR="00833D9E">
        <w:t xml:space="preserve">inter-cell mobility, </w:t>
      </w:r>
      <w:r w:rsidR="003A33FE">
        <w:t>UL beam selection and MPE issues.</w:t>
      </w:r>
    </w:p>
    <w:p w14:paraId="4243EA9C" w14:textId="6B90710C" w:rsidR="00F65FEA" w:rsidRDefault="00B1003A" w:rsidP="00F65FEA">
      <w:pPr>
        <w:pStyle w:val="01"/>
        <w:numPr>
          <w:ilvl w:val="0"/>
          <w:numId w:val="1"/>
        </w:numPr>
        <w:ind w:left="562" w:hanging="562"/>
      </w:pPr>
      <w:r>
        <w:t xml:space="preserve">Common beam and Unified TCI State </w:t>
      </w:r>
    </w:p>
    <w:p w14:paraId="63FE7587" w14:textId="77777777" w:rsidR="000958D5" w:rsidRDefault="000958D5" w:rsidP="000958D5">
      <w:pPr>
        <w:pStyle w:val="00Text"/>
      </w:pPr>
      <w:r>
        <w:t xml:space="preserve">In current specification, the beam indication method is that the Tx beam is indicated per channel and signals. In downlink transmission, the Tx beams are indicated separately for PDCCH, PDSCH and CSI-RS transmission.  For PDCCH transmission, TCI-state is configured per CORESET. For PDSCH transmission, a MAC CE can activate multiple TCI-states and scheduling DCI dynamically select one of them for each PDSCH transmission. For CSI-RS transmission, TCI-state is configured or indicated per CSI-RS resource. Similarly, in uplink transmission, the Tx beams are indicated separately for PUSCH, PUCCH and SRS resource. That design does give system full flexibility of implementation. But on the other hand, it causes great overhead and latency of beam indication signaling. In some deployment, the system does not such implementation flexibility but has to bear such signaling overhead. Therefore, we propose to support a common beam operation mode, in which all the DL and UL channel use one same single beam pair link. Since the same beam is used for all the DL and UL transmission, a single signaling, for instance a DCI or MAC CE, can be used to switch the Tx beams for all the channels. </w:t>
      </w:r>
    </w:p>
    <w:p w14:paraId="6260EB79" w14:textId="465334E3" w:rsidR="00843CF2" w:rsidRDefault="00843CF2" w:rsidP="00843CF2">
      <w:pPr>
        <w:pStyle w:val="000proposal"/>
      </w:pPr>
      <w:r>
        <w:rPr>
          <w:rFonts w:hint="eastAsia"/>
        </w:rPr>
        <w:t>Proposal</w:t>
      </w:r>
      <w:r>
        <w:t xml:space="preserve"> </w:t>
      </w:r>
      <w:r w:rsidR="00894320">
        <w:t>1</w:t>
      </w:r>
      <w:r>
        <w:t>: Support a common beam operation mode in which all the DL and UL channels and reference signals follow the same Tx beam and a single signaling can switch the Tx beam for the whole system.</w:t>
      </w:r>
    </w:p>
    <w:p w14:paraId="51980791" w14:textId="2D6B862E" w:rsidR="003676B8" w:rsidRDefault="003676B8" w:rsidP="00CE1CBA">
      <w:pPr>
        <w:pStyle w:val="00Text"/>
      </w:pPr>
      <w:r>
        <w:t>Release 16 supports using one MAC CE to activate the same set of TCI-state ID(s) for PDSCH and PDCCH in multiple CCs. That feature only reduces the signaling overhead for beam indication. In real-field deployment, the system usually uses the same set of Tx beams for PDSCH and PDCCH transmission in all the CCs in the same band. Therefore, we shall indicate the same QCL-TypeD RS to the PDSCH and PDCCH in the CCs in the same band. To support that,</w:t>
      </w:r>
      <w:r w:rsidR="002021F5">
        <w:t xml:space="preserve"> one straightforward method is through gNB implementation.</w:t>
      </w:r>
      <w:r>
        <w:t xml:space="preserve"> The gNB can configure </w:t>
      </w:r>
      <w:r w:rsidR="002021F5">
        <w:t xml:space="preserve">same </w:t>
      </w:r>
      <w:r w:rsidR="002021F5">
        <w:lastRenderedPageBreak/>
        <w:t>QCL-typeD RS in the TCI-state with same TCI-stateI</w:t>
      </w:r>
      <w:r w:rsidR="00CE1CBA">
        <w:t>d</w:t>
      </w:r>
      <w:r w:rsidR="002021F5">
        <w:t xml:space="preserve"> in all the CCs in the same band. That can be achieved by the gNB implementation and the UE shall expect the gNB to configure TCI-states by that way if the mode of multi-CC TCI-state activation is configured.</w:t>
      </w:r>
    </w:p>
    <w:p w14:paraId="1A44FBE1" w14:textId="0120C109" w:rsidR="00894320" w:rsidRDefault="002021F5" w:rsidP="00CE1CBA">
      <w:pPr>
        <w:pStyle w:val="000proposal"/>
      </w:pPr>
      <w:r>
        <w:rPr>
          <w:rFonts w:hint="eastAsia"/>
        </w:rPr>
        <w:t>Proposal</w:t>
      </w:r>
      <w:r>
        <w:t xml:space="preserve"> </w:t>
      </w:r>
      <w:r w:rsidR="00894320">
        <w:t>2</w:t>
      </w:r>
      <w:r>
        <w:t xml:space="preserve">: </w:t>
      </w:r>
      <w:r w:rsidR="00894320">
        <w:t>Support single common beam in multiple CCs</w:t>
      </w:r>
      <w:r w:rsidR="000D5CFD">
        <w:t>.</w:t>
      </w:r>
    </w:p>
    <w:p w14:paraId="722A24B7" w14:textId="0B6908FB" w:rsidR="00B02981" w:rsidRDefault="00271EBE" w:rsidP="00B2685F">
      <w:pPr>
        <w:pStyle w:val="00Text"/>
        <w:spacing w:after="0"/>
      </w:pPr>
      <w:r>
        <w:t xml:space="preserve">One of the multi-beam operation enhancement </w:t>
      </w:r>
      <w:r w:rsidR="00217532">
        <w:t>objectives</w:t>
      </w:r>
      <w:r>
        <w:t xml:space="preserve"> is to specify </w:t>
      </w:r>
      <w:r w:rsidR="000D5CFD">
        <w:t xml:space="preserve">unified </w:t>
      </w:r>
      <w:r>
        <w:t>TCI framework for UL beam indication.</w:t>
      </w:r>
      <w:r w:rsidR="00217532">
        <w:t xml:space="preserve"> We shall first examine the UL beam indication mechanism specified in current specification. For SRS resource and PUCCH, spatial relation info is used for UL beam indication. </w:t>
      </w:r>
      <w:r w:rsidR="00B02981">
        <w:t xml:space="preserve"> The beam indication for PUCCH is provided by a </w:t>
      </w:r>
      <w:r w:rsidR="00B02981" w:rsidRPr="00A56481">
        <w:rPr>
          <w:i/>
          <w:iCs/>
        </w:rPr>
        <w:t>PUCCH-SpatialRelationInfo</w:t>
      </w:r>
      <w:r w:rsidR="00B02981">
        <w:t xml:space="preserve">, which contains one DL or UL RS providing Tx beam information and also the uplink power control parameters. </w:t>
      </w:r>
      <w:r>
        <w:t xml:space="preserve"> </w:t>
      </w:r>
      <w:r w:rsidR="00B02981">
        <w:t>The beam indication fo</w:t>
      </w:r>
      <w:r w:rsidR="00B02981">
        <w:rPr>
          <w:rFonts w:hint="eastAsia"/>
        </w:rPr>
        <w:t>r</w:t>
      </w:r>
      <w:r w:rsidR="00B02981">
        <w:t xml:space="preserve"> SRS is provided by a</w:t>
      </w:r>
      <w:r w:rsidR="00B02981">
        <w:rPr>
          <w:rFonts w:hint="eastAsia"/>
        </w:rPr>
        <w:t>n</w:t>
      </w:r>
      <w:r w:rsidR="00B02981">
        <w:t xml:space="preserve"> </w:t>
      </w:r>
      <w:r w:rsidR="00B02981" w:rsidRPr="00A56481">
        <w:rPr>
          <w:i/>
          <w:iCs/>
        </w:rPr>
        <w:t>SRS-SpatialRelationInfo</w:t>
      </w:r>
      <w:r w:rsidR="00B02981">
        <w:rPr>
          <w:i/>
          <w:iCs/>
        </w:rPr>
        <w:t xml:space="preserve"> </w:t>
      </w:r>
      <w:r w:rsidR="00B02981" w:rsidRPr="00A56481">
        <w:t>which</w:t>
      </w:r>
      <w:r w:rsidR="00B02981">
        <w:t xml:space="preserve"> contains one DL or UL RS </w:t>
      </w:r>
      <w:r w:rsidR="00B02981">
        <w:rPr>
          <w:rFonts w:hint="eastAsia"/>
        </w:rPr>
        <w:t>providing</w:t>
      </w:r>
      <w:r w:rsidR="00B02981">
        <w:t xml:space="preserve"> Tx beam information. From our perspective, one </w:t>
      </w:r>
      <w:r w:rsidR="00B02981" w:rsidRPr="00A56481">
        <w:rPr>
          <w:i/>
          <w:iCs/>
        </w:rPr>
        <w:t>SpatialrelationInfo</w:t>
      </w:r>
      <w:r w:rsidR="00B02981">
        <w:t xml:space="preserve"> configured to PUCCH or SRS resource provide the same function as one UL TCI-state and it is equivalent to a UL TCI-state. Therefore, it seems not necessary to introduce TCI framework for PUCCH and SRS resource.</w:t>
      </w:r>
    </w:p>
    <w:p w14:paraId="2A77ECE5" w14:textId="20038DA6" w:rsidR="000D5CFD" w:rsidRDefault="009F3E9B" w:rsidP="00B2685F">
      <w:pPr>
        <w:pStyle w:val="00Text"/>
        <w:spacing w:after="0"/>
      </w:pPr>
      <w:r>
        <w:t xml:space="preserve">The method of beam indication for PUSCH is different from that for PUCCH and SRS resource. The beam for PUSCH is indicated implicitly through the DCI field SRI. For codebook-based PUSCH transmission, the DCI field SRI indicate one SRS resource in the SRS resource set configured for codebook-based and the UE shall transmit the PUSCH with the same Tx beam as the </w:t>
      </w:r>
      <w:r w:rsidRPr="00A56481">
        <w:rPr>
          <w:i/>
          <w:iCs/>
        </w:rPr>
        <w:t>SpatialRelationInfo</w:t>
      </w:r>
      <w:r>
        <w:t xml:space="preserve"> configured to that SRS resource. </w:t>
      </w:r>
      <w:r w:rsidR="00B02981">
        <w:t xml:space="preserve"> </w:t>
      </w:r>
      <w:r>
        <w:t xml:space="preserve">For non-codebook-based PUSCH transmission, the DCI field SRI indicates one or more SRS resources in the SRS resource set configured for non-codebook-based transmission and the UE shall transmit the PUSCH with the same Tx beam as the </w:t>
      </w:r>
      <w:r w:rsidRPr="00A56481">
        <w:rPr>
          <w:i/>
          <w:iCs/>
        </w:rPr>
        <w:t>SpatialRelationInfo</w:t>
      </w:r>
      <w:r>
        <w:t xml:space="preserve"> configured to the indicated SRS resources.</w:t>
      </w:r>
      <w:r w:rsidR="000D5CFD">
        <w:t xml:space="preserve"> If TCI state framework is specified for PUSCH transmission, the same information shall be indicated too. A TCI state for PUSCH shall be associated with SRS resources for port indication. Here both codebook-based and non codebook based PUSCH transmission shall be considered. The TCI state for PUSCH shall be associated with the information of a spatial relation info. However, what is the relationship between the indicated SRS resource for port indication and the indicated spatial relation info shall be carefully discussed. </w:t>
      </w:r>
      <w:r w:rsidR="008E1419">
        <w:t xml:space="preserve">Furthermore, the TCI state for PUSCH shall be associated with pathloss reference signals and all other uplink power control parameters for PUSCH transmission. </w:t>
      </w:r>
      <w:r w:rsidR="00B02981">
        <w:t xml:space="preserve"> </w:t>
      </w:r>
    </w:p>
    <w:p w14:paraId="4B1C9173" w14:textId="623BBDBE" w:rsidR="00B820EF" w:rsidRDefault="009F3E9B" w:rsidP="00A56481">
      <w:pPr>
        <w:pStyle w:val="000proposal"/>
      </w:pPr>
      <w:r>
        <w:t>Proposal 3:</w:t>
      </w:r>
      <w:r w:rsidR="00B820EF">
        <w:t xml:space="preserve"> A TCI state for PUSCH shall include or </w:t>
      </w:r>
      <w:r w:rsidR="008F2C86">
        <w:t xml:space="preserve">be </w:t>
      </w:r>
      <w:r w:rsidR="00B820EF">
        <w:t>associated with the following information:</w:t>
      </w:r>
    </w:p>
    <w:p w14:paraId="764D5C8F" w14:textId="55DF1910" w:rsidR="00B820EF" w:rsidRDefault="00B820EF" w:rsidP="00B820EF">
      <w:pPr>
        <w:pStyle w:val="000proposal"/>
        <w:numPr>
          <w:ilvl w:val="0"/>
          <w:numId w:val="49"/>
        </w:numPr>
      </w:pPr>
      <w:r>
        <w:t>SRS resource(s) for port indication</w:t>
      </w:r>
    </w:p>
    <w:p w14:paraId="24B04187" w14:textId="58E09357" w:rsidR="00B820EF" w:rsidRDefault="00B820EF" w:rsidP="00B820EF">
      <w:pPr>
        <w:pStyle w:val="000proposal"/>
        <w:numPr>
          <w:ilvl w:val="0"/>
          <w:numId w:val="49"/>
        </w:numPr>
      </w:pPr>
      <w:r>
        <w:t>Spatial relation info</w:t>
      </w:r>
    </w:p>
    <w:p w14:paraId="3A816246" w14:textId="6E65B8CC" w:rsidR="00B820EF" w:rsidRDefault="00B820EF" w:rsidP="00F70BD0">
      <w:pPr>
        <w:pStyle w:val="000proposal"/>
        <w:numPr>
          <w:ilvl w:val="0"/>
          <w:numId w:val="49"/>
        </w:numPr>
      </w:pPr>
      <w:r>
        <w:t>Pathloss reference signals and power control parameters.</w:t>
      </w:r>
    </w:p>
    <w:p w14:paraId="0380F2D6" w14:textId="77777777" w:rsidR="005D3B1F" w:rsidRDefault="005D3B1F" w:rsidP="00843CF2">
      <w:pPr>
        <w:pStyle w:val="00Text"/>
      </w:pPr>
    </w:p>
    <w:p w14:paraId="15B7BD93" w14:textId="32F83253" w:rsidR="005F649D" w:rsidRDefault="00612DF0" w:rsidP="005D3B1F">
      <w:pPr>
        <w:pStyle w:val="00Text"/>
      </w:pPr>
      <w:r>
        <w:t xml:space="preserve">One of the objectives of FeMIMO WID is to enhance the beam management for inter-cell mobility. The beam switch procedure for inter-cell mobility supported in rel15 and rel16 introduces large latency in beam management operation when a UE switch from one serving cell to a target cell. </w:t>
      </w:r>
      <w:r w:rsidR="005D3B1F">
        <w:t xml:space="preserve">One cause for that is the UE might need to </w:t>
      </w:r>
      <w:r>
        <w:t xml:space="preserve">go through the procedure of random access, RRC connection establishment, beam measurement </w:t>
      </w:r>
      <w:r w:rsidR="009940A0">
        <w:t xml:space="preserve">and reporting, and TCI states indication. </w:t>
      </w:r>
      <w:r>
        <w:t xml:space="preserve"> </w:t>
      </w:r>
      <w:r w:rsidR="005D3B1F">
        <w:t xml:space="preserve">Another cause for that is latency of TCI state activation due to an unknown TCI state. </w:t>
      </w:r>
      <w:r w:rsidR="00EE6A34">
        <w:t xml:space="preserve">As specified in RAN4, if a TCI state is unknown to the UE, extra latency (which could be large) would be introduced on TCI state switch. </w:t>
      </w:r>
    </w:p>
    <w:p w14:paraId="76AF5904" w14:textId="5480931E" w:rsidR="00EE6A34" w:rsidRDefault="00EE6A34" w:rsidP="005D3B1F">
      <w:pPr>
        <w:pStyle w:val="00Text"/>
      </w:pPr>
      <w:r>
        <w:t>To reduce the latency, we can consider to enhance beam measurement/reporting by including target cell SS/PBCH block and enhance beam indication by including target cell SS/PBCH block</w:t>
      </w:r>
    </w:p>
    <w:p w14:paraId="53EB6A2B" w14:textId="77DD96F5" w:rsidR="005F649D" w:rsidRDefault="005F649D" w:rsidP="00F70BD0">
      <w:pPr>
        <w:pStyle w:val="000proposal"/>
      </w:pPr>
      <w:r>
        <w:t xml:space="preserve">Proposal 4: </w:t>
      </w:r>
      <w:r w:rsidR="00D519A8">
        <w:t xml:space="preserve">Study </w:t>
      </w:r>
      <w:r>
        <w:t>beam measurement</w:t>
      </w:r>
      <w:r w:rsidR="00EE6A34">
        <w:t>/</w:t>
      </w:r>
      <w:r>
        <w:t xml:space="preserve">reporting </w:t>
      </w:r>
      <w:r w:rsidR="00EE6A34">
        <w:t>and</w:t>
      </w:r>
      <w:r w:rsidR="00973293">
        <w:t>/or</w:t>
      </w:r>
      <w:r w:rsidR="00EE6A34">
        <w:t xml:space="preserve"> beam indication of</w:t>
      </w:r>
      <w:r>
        <w:t xml:space="preserve"> SS/PBCH block </w:t>
      </w:r>
      <w:r w:rsidR="008F2C86">
        <w:t xml:space="preserve">of </w:t>
      </w:r>
      <w:r w:rsidR="00044738">
        <w:t>target cell</w:t>
      </w:r>
      <w:r w:rsidR="00D519A8">
        <w:t xml:space="preserve"> for inter-cell mobility.</w:t>
      </w:r>
    </w:p>
    <w:p w14:paraId="0A5144F0" w14:textId="720D5682" w:rsidR="00A11E17" w:rsidRDefault="00A11E17" w:rsidP="00A11E17">
      <w:pPr>
        <w:pStyle w:val="01"/>
        <w:numPr>
          <w:ilvl w:val="0"/>
          <w:numId w:val="1"/>
        </w:numPr>
        <w:ind w:left="562" w:hanging="562"/>
      </w:pPr>
      <w:r>
        <w:t>UL Beam/Panel Selection and MPE Issue</w:t>
      </w:r>
    </w:p>
    <w:p w14:paraId="217344BE" w14:textId="77777777" w:rsidR="00EB3FD4" w:rsidRDefault="00EB3FD4" w:rsidP="00B2685F">
      <w:pPr>
        <w:pStyle w:val="00Text"/>
      </w:pPr>
      <w:r>
        <w:t>The objective of enhancement of multi-beam operations includes identifying and specifying features to facilitate UL beam selection for UE equipped with multiple panels.</w:t>
      </w:r>
    </w:p>
    <w:p w14:paraId="1313C33A" w14:textId="4E1A3FAC" w:rsidR="00A249BF" w:rsidRDefault="00EB3FD4" w:rsidP="00B2685F">
      <w:pPr>
        <w:pStyle w:val="00Text"/>
      </w:pPr>
      <w:r>
        <w:t xml:space="preserve">We can first review the UL beam selection mechanisms specified in release 15 and 16.  For PUCCH and SRS resource, the UL beam indication is through spatial relation info framework. The UE is provided with a spatial relation info for a PUCCH and SRS resource, which contains a CSI-RS resource index, SS/PBCH block index or an SRS resource Id.  If a CSI-RS resource index or an SS/PBCH block index is provided, the UE choose an UL </w:t>
      </w:r>
      <w:r>
        <w:lastRenderedPageBreak/>
        <w:t xml:space="preserve">Tx beam that corresponds to </w:t>
      </w:r>
      <w:r w:rsidR="00DF4DA3">
        <w:t>the UE Rx beam used to receive the CSI-RS resource or SS/PBCH block. If a SRS resource is provided, the UE choose the UL Tx beam that is applied on the indicated SRS resource.</w:t>
      </w:r>
      <w:r w:rsidR="009719B6">
        <w:t xml:space="preserve"> For PUSCH transmission, the UE choose UL beam according to the SRS resource(s) indicated by the SRI DCI field. </w:t>
      </w:r>
    </w:p>
    <w:p w14:paraId="369B60C1" w14:textId="45620921" w:rsidR="005A2B2B" w:rsidRDefault="003560C0" w:rsidP="00B2685F">
      <w:pPr>
        <w:pStyle w:val="00Text"/>
      </w:pPr>
      <w:r>
        <w:t xml:space="preserve">The UL beam indication mechanisms specified so far is able to support UL beam selection for a UE with multiple Tx panels. </w:t>
      </w:r>
      <w:r w:rsidR="00EB7EAB">
        <w:t xml:space="preserve"> For a UE with beam correspondence, the UL beam indication is through indicating a DL RS ID. The UE would choose one Tx beam on one particular Tx panel according to the Rx beam(s) and Rx panel(s) used to receive the DL RS. For a UE without beam correspondence, the UE can be configured with multiple SRS resource sets for UL beam training and the UE can map those SRS resources to different Tx panels by UE implementation. When a SRS resource is indicated for UL signal transmission, the UE shall use the same Tx beam and Tx panel</w:t>
      </w:r>
      <w:r w:rsidR="005A2B2B">
        <w:t xml:space="preserve">. On limitation of the UL beam indication method of release 15 and 16 is the UE might need turn on all the Tx panels simultaneously because the UE does not know beforehand which CSI-RS resource, SS/PBCH block or SRS resource would be indicated by the gNB through DCI or MAC CE. </w:t>
      </w:r>
      <w:r w:rsidR="00DC5485">
        <w:t>However, one implementation solution for the UE is the UE can turn on the Tx panel semi-statically. When one Tx panel is on, the UE use the corresponding Rx beam(s) and panel to measure downlink beams and only that the activated Tx panel to transmit SRS resource for uplink beam sweeping.</w:t>
      </w:r>
    </w:p>
    <w:p w14:paraId="10DA422E" w14:textId="401B26C7" w:rsidR="00DC5485" w:rsidRDefault="00DC5485" w:rsidP="00DC5485">
      <w:pPr>
        <w:pStyle w:val="00Text"/>
      </w:pPr>
      <w:r>
        <w:t>To optimize the UL beam selection for UE with multiple Tx panels, one critical issue is power consumption. In mmWave band, the power efficiency of a PA is lower than those of sub-6GHz. Implementing multiple Tx panels usually means multiple PAs, which leads to more transmission power consumption. Therefore, the design work for multi-beam operation enhancement for multi-panel UE shall consider how to reduce the power consumption. In our view, the motivation for specifying panel specific transmission is to assist the power saving of multi-panel UEs.  Various approaches for improving power efficiency or saving power can be considered for multi-panel UEs. One method for saving power is the UE can deactivate some Tx panels when they are not used</w:t>
      </w:r>
      <w:r w:rsidR="00F172D7">
        <w:t xml:space="preserve"> during a particular time period</w:t>
      </w:r>
      <w:r>
        <w:t xml:space="preserve">. Of course, the tradeoff between the performance (e.g., throughput, latency) and power consumption shall be carefully investigated with common evaluation assumptions. </w:t>
      </w:r>
    </w:p>
    <w:p w14:paraId="2029AB8D" w14:textId="461D9E40" w:rsidR="00DC5485" w:rsidRPr="008D3B49" w:rsidRDefault="00DC5485" w:rsidP="00DC5485">
      <w:pPr>
        <w:pStyle w:val="00Text"/>
        <w:rPr>
          <w:b/>
          <w:bCs/>
          <w:i/>
          <w:iCs/>
        </w:rPr>
      </w:pPr>
      <w:r w:rsidRPr="008D3B49">
        <w:rPr>
          <w:b/>
          <w:bCs/>
          <w:i/>
          <w:iCs/>
        </w:rPr>
        <w:t xml:space="preserve">Proposal </w:t>
      </w:r>
      <w:r w:rsidR="00DD5F89">
        <w:rPr>
          <w:b/>
          <w:bCs/>
          <w:i/>
          <w:iCs/>
        </w:rPr>
        <w:t>5</w:t>
      </w:r>
      <w:r w:rsidRPr="008D3B49">
        <w:rPr>
          <w:b/>
          <w:bCs/>
          <w:i/>
          <w:iCs/>
        </w:rPr>
        <w:t xml:space="preserve">: </w:t>
      </w:r>
      <w:r w:rsidR="008E5BE8">
        <w:rPr>
          <w:b/>
          <w:bCs/>
          <w:i/>
          <w:iCs/>
        </w:rPr>
        <w:t xml:space="preserve">UL panel selection and beam selection </w:t>
      </w:r>
      <w:r w:rsidRPr="008D3B49">
        <w:rPr>
          <w:b/>
          <w:bCs/>
          <w:i/>
          <w:iCs/>
        </w:rPr>
        <w:t>shall support activating</w:t>
      </w:r>
      <w:r w:rsidR="00EB5DD1">
        <w:rPr>
          <w:b/>
          <w:bCs/>
          <w:i/>
          <w:iCs/>
        </w:rPr>
        <w:t xml:space="preserve"> only</w:t>
      </w:r>
      <w:r w:rsidRPr="008D3B49">
        <w:rPr>
          <w:b/>
          <w:bCs/>
          <w:i/>
          <w:iCs/>
        </w:rPr>
        <w:t xml:space="preserve"> </w:t>
      </w:r>
      <w:r w:rsidR="00EB5DD1">
        <w:rPr>
          <w:b/>
          <w:bCs/>
          <w:i/>
          <w:iCs/>
        </w:rPr>
        <w:t>on</w:t>
      </w:r>
      <w:r w:rsidR="00547137">
        <w:rPr>
          <w:b/>
          <w:bCs/>
          <w:i/>
          <w:iCs/>
        </w:rPr>
        <w:t>e</w:t>
      </w:r>
      <w:r w:rsidR="00EB5DD1">
        <w:rPr>
          <w:b/>
          <w:bCs/>
          <w:i/>
          <w:iCs/>
        </w:rPr>
        <w:t xml:space="preserve"> </w:t>
      </w:r>
      <w:r w:rsidRPr="008D3B49">
        <w:rPr>
          <w:b/>
          <w:bCs/>
          <w:i/>
          <w:iCs/>
        </w:rPr>
        <w:t xml:space="preserve">Tx panel </w:t>
      </w:r>
      <w:r w:rsidR="00EB5DD1">
        <w:rPr>
          <w:b/>
          <w:bCs/>
          <w:i/>
          <w:iCs/>
        </w:rPr>
        <w:t>to save</w:t>
      </w:r>
      <w:r w:rsidRPr="008D3B49">
        <w:rPr>
          <w:b/>
          <w:bCs/>
          <w:i/>
          <w:iCs/>
        </w:rPr>
        <w:t xml:space="preserve"> </w:t>
      </w:r>
      <w:r w:rsidR="00D9632B">
        <w:rPr>
          <w:b/>
          <w:bCs/>
          <w:i/>
          <w:iCs/>
        </w:rPr>
        <w:t xml:space="preserve">UE </w:t>
      </w:r>
      <w:r w:rsidR="007E5D1D">
        <w:rPr>
          <w:b/>
          <w:bCs/>
          <w:i/>
          <w:iCs/>
        </w:rPr>
        <w:t>power</w:t>
      </w:r>
      <w:r w:rsidRPr="008D3B49">
        <w:rPr>
          <w:b/>
          <w:bCs/>
          <w:i/>
          <w:iCs/>
        </w:rPr>
        <w:t>.</w:t>
      </w:r>
    </w:p>
    <w:p w14:paraId="4344326A" w14:textId="07E3CA81" w:rsidR="00DE09A4" w:rsidRDefault="00DE09A4" w:rsidP="00B2685F">
      <w:pPr>
        <w:pStyle w:val="00Text"/>
      </w:pPr>
      <w:r>
        <w:t xml:space="preserve">To facilitate UL panel selection and beam selection for uplink transmission, we shall support UE panel-specific beam measurement and reporting. For UE with beam correspondence, the gNB selects UL beam based on the measurement results of downlink beam sweeping. </w:t>
      </w:r>
      <w:r w:rsidR="001D229C">
        <w:t xml:space="preserve"> To assist the gNB selecting and indicating UE panel for uplink transmission, the UE can report ID associated with UL Tx panels along with reported CRI or SSBRI and the corresponding L1-RSRP measurement or L1-SINR measurement. For one gNB Tx beam, it is possible that the UE receive it with good L1-RSRP or L1-SINR at multiple Rx panels and thus it is feasible for the UE to choose any one of those Tx panel to transmit uplink signal if that gNB Tx beam is provided for uplink transmission. Therefore, in panel-specific beam reporting, the UE shall be allowed to report one more IDs of UL Tx panel along with one reported CRI or SSBRI. One benefit of that design is the overhead of downlink reference signal resource is reduced. </w:t>
      </w:r>
    </w:p>
    <w:p w14:paraId="6E27156A" w14:textId="6C0CF92F" w:rsidR="00F63E54" w:rsidRDefault="00F63E54" w:rsidP="00F63E54">
      <w:pPr>
        <w:pStyle w:val="00Text"/>
        <w:rPr>
          <w:b/>
          <w:bCs/>
          <w:i/>
          <w:iCs/>
        </w:rPr>
      </w:pPr>
      <w:r w:rsidRPr="008D3B49">
        <w:rPr>
          <w:b/>
          <w:bCs/>
          <w:i/>
          <w:iCs/>
        </w:rPr>
        <w:t xml:space="preserve">Proposal </w:t>
      </w:r>
      <w:r w:rsidR="00DD5F89">
        <w:rPr>
          <w:b/>
          <w:bCs/>
          <w:i/>
          <w:iCs/>
        </w:rPr>
        <w:t>6</w:t>
      </w:r>
      <w:r w:rsidRPr="008D3B49">
        <w:rPr>
          <w:b/>
          <w:bCs/>
          <w:i/>
          <w:iCs/>
        </w:rPr>
        <w:t xml:space="preserve">: </w:t>
      </w:r>
      <w:r w:rsidR="008A2EB2">
        <w:rPr>
          <w:b/>
          <w:bCs/>
          <w:i/>
          <w:iCs/>
        </w:rPr>
        <w:t>Consider</w:t>
      </w:r>
      <w:r w:rsidR="00547137">
        <w:rPr>
          <w:b/>
          <w:bCs/>
          <w:i/>
          <w:iCs/>
        </w:rPr>
        <w:t xml:space="preserve"> </w:t>
      </w:r>
      <w:r w:rsidR="00CE12AB">
        <w:rPr>
          <w:b/>
          <w:bCs/>
          <w:i/>
          <w:iCs/>
        </w:rPr>
        <w:t>panel-specific beam measurement and reporting</w:t>
      </w:r>
      <w:r>
        <w:rPr>
          <w:b/>
          <w:bCs/>
          <w:i/>
          <w:iCs/>
        </w:rPr>
        <w:t>.</w:t>
      </w:r>
    </w:p>
    <w:p w14:paraId="4AF977FA" w14:textId="03ADB3EA" w:rsidR="003A33FE" w:rsidRDefault="005C4934" w:rsidP="003A33FE">
      <w:pPr>
        <w:pStyle w:val="00Text"/>
      </w:pPr>
      <w:r>
        <w:t>When MP</w:t>
      </w:r>
      <w:r w:rsidR="007E7A18">
        <w:t>E</w:t>
      </w:r>
      <w:r>
        <w:t xml:space="preserve"> issue occurs</w:t>
      </w:r>
      <w:r w:rsidR="003A33FE">
        <w:t xml:space="preserve">, the UE shall reduce the transmit power for directions pointing to human body due to the RF exposure compliance reason. From perspective of RAN1, </w:t>
      </w:r>
      <w:r w:rsidR="003A33FE">
        <w:rPr>
          <w:rFonts w:hint="eastAsia"/>
        </w:rPr>
        <w:t>in</w:t>
      </w:r>
      <w:r w:rsidR="003A33FE">
        <w:t xml:space="preserve"> </w:t>
      </w:r>
      <w:r w:rsidR="003A33FE">
        <w:rPr>
          <w:rFonts w:hint="eastAsia"/>
        </w:rPr>
        <w:t xml:space="preserve">FR2 </w:t>
      </w:r>
      <w:r w:rsidR="003A33FE">
        <w:t>system, the UE shall reduce the maximal transmit power for those Tx beams pointing to human body.  If the UE is smart enough to sense the location of human body accurately, the UE can apply reduced maximal transmit power on each refined Tx beam direction. However, if the UE cannot estimate the location of human body accurately, the UE would have to apply power back-off over a wider beam direction.</w:t>
      </w:r>
      <w:r w:rsidR="007E7A18">
        <w:t xml:space="preserve"> To address the MPE issue in RAN1, the first question we shall study is at which level the UE is able to apply power back-off due to MPE problem, per Tx beam or Tx panel.</w:t>
      </w:r>
    </w:p>
    <w:p w14:paraId="4FD71C28" w14:textId="17FB241A" w:rsidR="00EC3EA4" w:rsidRDefault="007E7A18" w:rsidP="007E7A18">
      <w:pPr>
        <w:pStyle w:val="000proposals"/>
      </w:pPr>
      <w:r w:rsidRPr="005A5406">
        <w:t>Proposal</w:t>
      </w:r>
      <w:r w:rsidR="00441EF9">
        <w:t xml:space="preserve"> </w:t>
      </w:r>
      <w:r w:rsidR="00DD5F89">
        <w:t>7</w:t>
      </w:r>
      <w:r w:rsidRPr="00206B0D">
        <w:t xml:space="preserve">: </w:t>
      </w:r>
      <w:r w:rsidR="00EC3EA4">
        <w:t xml:space="preserve">First study the feasibility of per-beam or per-panel human detection and send LS to RAN4 </w:t>
      </w:r>
      <w:r w:rsidR="00CA56FB">
        <w:t>to ask about</w:t>
      </w:r>
      <w:r w:rsidR="00EC3EA4">
        <w:t xml:space="preserve"> th</w:t>
      </w:r>
      <w:r w:rsidR="00CA56FB">
        <w:t>e</w:t>
      </w:r>
      <w:r w:rsidR="00EC3EA4">
        <w:t xml:space="preserve"> feasibility.</w:t>
      </w:r>
    </w:p>
    <w:p w14:paraId="0CC77CC0" w14:textId="77777777" w:rsidR="004359AF" w:rsidRDefault="004359AF" w:rsidP="004359AF">
      <w:pPr>
        <w:pStyle w:val="00Text"/>
      </w:pPr>
      <w:r>
        <w:t xml:space="preserve">To ensure compliance with applicable </w:t>
      </w:r>
      <w:r w:rsidRPr="001C0CC4">
        <w:t>electromagnetic energy absorption requirements</w:t>
      </w:r>
      <w:r>
        <w:t xml:space="preserve">, the UE  shall use a P-MPR in determining its configured maximum output power. As specified in RAN4, the UE can select the configured maximum output power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xml:space="preserve">   within a lower bound and an upper bound:</w:t>
      </w:r>
    </w:p>
    <w:p w14:paraId="5C0988E5" w14:textId="77777777" w:rsidR="004359AF" w:rsidRPr="007E47EE" w:rsidRDefault="00C77B31" w:rsidP="004359AF">
      <w:pPr>
        <w:pStyle w:val="00Text"/>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CMAX_L</m:t>
              </m:r>
              <m:r>
                <w:rPr>
                  <w:rFonts w:ascii="Cambria Math" w:hAnsi="Cambria Math"/>
                </w:rPr>
                <m:t>,f,c</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CMAX_H</m:t>
              </m:r>
              <m:r>
                <w:rPr>
                  <w:rFonts w:ascii="Cambria Math" w:hAnsi="Cambria Math"/>
                </w:rPr>
                <m:t>,f,c</m:t>
              </m:r>
            </m:sub>
          </m:sSub>
        </m:oMath>
      </m:oMathPara>
    </w:p>
    <w:p w14:paraId="74D5AD67" w14:textId="77777777" w:rsidR="004359AF" w:rsidRDefault="004359AF" w:rsidP="004359AF">
      <w:pPr>
        <w:pStyle w:val="00Text"/>
      </w:pPr>
      <w:r>
        <w:t>where the lower bound is calculated as</w:t>
      </w:r>
    </w:p>
    <w:p w14:paraId="446A3E0E" w14:textId="77777777" w:rsidR="004359AF" w:rsidRDefault="004359AF" w:rsidP="004359AF">
      <w:pPr>
        <w:pStyle w:val="00Text"/>
        <w:jc w:val="center"/>
      </w:pPr>
      <w:r w:rsidRPr="001C0CC4">
        <w:t>P</w:t>
      </w:r>
      <w:r w:rsidRPr="001C0CC4">
        <w:rPr>
          <w:vertAlign w:val="subscript"/>
        </w:rPr>
        <w:t>CMAX_L,f,c</w:t>
      </w:r>
      <w:r w:rsidRPr="001C0CC4">
        <w:t xml:space="preserve"> = MIN {P</w:t>
      </w:r>
      <w:r w:rsidRPr="001C0CC4">
        <w:rPr>
          <w:vertAlign w:val="subscript"/>
        </w:rPr>
        <w:t>EMAX,c</w:t>
      </w:r>
      <w:r w:rsidRPr="001C0CC4">
        <w:t>– ∆T</w:t>
      </w:r>
      <w:r w:rsidRPr="001C0CC4">
        <w:rPr>
          <w:vertAlign w:val="subscript"/>
        </w:rPr>
        <w:t>C,c</w:t>
      </w:r>
      <w:r w:rsidRPr="001C0CC4">
        <w:t>,  (P</w:t>
      </w:r>
      <w:r w:rsidRPr="001C0CC4">
        <w:rPr>
          <w:vertAlign w:val="subscript"/>
        </w:rPr>
        <w:t>PowerClass</w:t>
      </w:r>
      <w:r w:rsidRPr="001C0CC4">
        <w:t xml:space="preserve"> – ΔP</w:t>
      </w:r>
      <w:r w:rsidRPr="001C0CC4">
        <w:rPr>
          <w:vertAlign w:val="subscript"/>
        </w:rPr>
        <w:t>PowerClass</w:t>
      </w:r>
      <w:r w:rsidRPr="001C0CC4">
        <w:t>) – MAX(MAX(MPR</w:t>
      </w:r>
      <w:r w:rsidRPr="001C0CC4">
        <w:rPr>
          <w:vertAlign w:val="subscript"/>
        </w:rPr>
        <w:t>c</w:t>
      </w:r>
      <w:r w:rsidRPr="001C0CC4">
        <w:t>, A-MPR</w:t>
      </w:r>
      <w:r w:rsidRPr="001C0CC4">
        <w:rPr>
          <w:vertAlign w:val="subscript"/>
        </w:rPr>
        <w:t>c</w:t>
      </w:r>
      <w:r w:rsidRPr="001C0CC4">
        <w:t>)+ ΔT</w:t>
      </w:r>
      <w:r w:rsidRPr="001C0CC4">
        <w:rPr>
          <w:vertAlign w:val="subscript"/>
        </w:rPr>
        <w:t>IB,c</w:t>
      </w:r>
      <w:r w:rsidRPr="001C0CC4">
        <w:t xml:space="preserve"> + ∆T</w:t>
      </w:r>
      <w:r w:rsidRPr="001C0CC4">
        <w:rPr>
          <w:vertAlign w:val="subscript"/>
        </w:rPr>
        <w:t xml:space="preserve">C,c </w:t>
      </w:r>
      <w:r w:rsidRPr="001C0CC4">
        <w:t>+</w:t>
      </w:r>
      <w:r w:rsidRPr="001C0CC4">
        <w:rPr>
          <w:vertAlign w:val="subscript"/>
        </w:rPr>
        <w:t xml:space="preserve"> </w:t>
      </w:r>
      <w:r w:rsidRPr="001C0CC4">
        <w:t>∆T</w:t>
      </w:r>
      <w:r w:rsidRPr="001C0CC4">
        <w:rPr>
          <w:vertAlign w:val="subscript"/>
        </w:rPr>
        <w:t>RxSRS</w:t>
      </w:r>
      <w:r w:rsidRPr="001C0CC4">
        <w:t>, P-MPR</w:t>
      </w:r>
      <w:r w:rsidRPr="001C0CC4">
        <w:rPr>
          <w:vertAlign w:val="subscript"/>
        </w:rPr>
        <w:t>c</w:t>
      </w:r>
      <w:r w:rsidRPr="001C0CC4">
        <w:t>) }</w:t>
      </w:r>
    </w:p>
    <w:p w14:paraId="3ADB7FD2" w14:textId="77777777" w:rsidR="004359AF" w:rsidRDefault="004359AF" w:rsidP="004359AF">
      <w:pPr>
        <w:pStyle w:val="00Text"/>
      </w:pPr>
      <w:r>
        <w:t>and upper bound is:</w:t>
      </w:r>
    </w:p>
    <w:p w14:paraId="11C361E0" w14:textId="77777777" w:rsidR="004359AF" w:rsidRPr="001C0CC4" w:rsidRDefault="004359AF" w:rsidP="004359AF">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0F8E85E6" w14:textId="77777777" w:rsidR="004359AF" w:rsidRPr="00F70BD0" w:rsidRDefault="004359AF" w:rsidP="004359AF">
      <w:pPr>
        <w:pStyle w:val="00Text"/>
        <w:rPr>
          <w:lang w:val="en-GB"/>
        </w:rPr>
      </w:pPr>
      <w:r>
        <w:rPr>
          <w:lang w:val="en-GB"/>
        </w:rPr>
        <w:t xml:space="preserve">For each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3F3FF03A" w14:textId="0AD9E682" w:rsidR="004359AF" w:rsidRDefault="004359AF" w:rsidP="003A33FE">
      <w:pPr>
        <w:pStyle w:val="00Text"/>
      </w:pPr>
      <w:r w:rsidRPr="008346A6">
        <w:t xml:space="preserve">To resolve the MPE issue, the rel16 design in RAN4 is the UE can report a P-MPR through MAC CE to the system. For rel17 work in RAN1, that mechanism can be starting point for further enhancement. </w:t>
      </w:r>
      <w:r w:rsidR="003606FD">
        <w:t xml:space="preserve"> </w:t>
      </w:r>
      <w:r>
        <w:t>For further optimization to resolve the MPE issue, we can consider to enhance the P-MPR reporting mechanism. The UE can report panel-specific P-MPR or uplink Tx beam-specific P-MPR value to the gNB to assist the gNB on uplink Tx beam selection.</w:t>
      </w:r>
    </w:p>
    <w:p w14:paraId="1FD99F72" w14:textId="43C29D1F" w:rsidR="003606FD" w:rsidRDefault="003A33FE" w:rsidP="00F70BD0">
      <w:pPr>
        <w:pStyle w:val="000proposals"/>
      </w:pPr>
      <w:r w:rsidRPr="005A5406">
        <w:t xml:space="preserve">Proposal </w:t>
      </w:r>
      <w:r w:rsidR="003606FD">
        <w:t>8</w:t>
      </w:r>
      <w:r w:rsidRPr="00206B0D">
        <w:t xml:space="preserve">: </w:t>
      </w:r>
      <w:r w:rsidR="003606FD">
        <w:t xml:space="preserve">Based the RAN4 </w:t>
      </w:r>
      <w:r w:rsidR="00B00B5B">
        <w:t>reply</w:t>
      </w:r>
      <w:r w:rsidR="003606FD">
        <w:t xml:space="preserve"> on feasibility of per-beam or per-panel human detection, </w:t>
      </w:r>
      <w:r w:rsidR="0007593E">
        <w:t>c</w:t>
      </w:r>
      <w:r w:rsidR="003606FD">
        <w:t>onsider to use the mechanism of reporting P-MPR as starting point for further enhancement</w:t>
      </w:r>
      <w:r w:rsidR="0007593E">
        <w:t>s</w:t>
      </w:r>
      <w:r w:rsidR="003606FD">
        <w:t>.</w:t>
      </w:r>
    </w:p>
    <w:p w14:paraId="2D1D8151" w14:textId="305FF7E1" w:rsidR="00171FCE" w:rsidRPr="003A33FE" w:rsidRDefault="00171FCE" w:rsidP="00193464">
      <w:pPr>
        <w:pStyle w:val="00Text"/>
        <w:spacing w:after="0"/>
      </w:pPr>
    </w:p>
    <w:p w14:paraId="69A8645B" w14:textId="7731E88F" w:rsidR="00F65FEA" w:rsidRDefault="00F65FEA" w:rsidP="00F65FEA">
      <w:pPr>
        <w:pStyle w:val="01"/>
        <w:numPr>
          <w:ilvl w:val="0"/>
          <w:numId w:val="1"/>
        </w:numPr>
        <w:ind w:left="562" w:hanging="562"/>
      </w:pPr>
      <w:r>
        <w:t>Conclusion</w:t>
      </w:r>
    </w:p>
    <w:p w14:paraId="104C3E8B" w14:textId="5231C9ED" w:rsidR="002328B0" w:rsidRDefault="002328B0" w:rsidP="002328B0">
      <w:pPr>
        <w:pStyle w:val="00Text"/>
      </w:pPr>
      <w:r w:rsidRPr="001B2F18">
        <w:t xml:space="preserve">In this contribution, we presented our views on </w:t>
      </w:r>
      <w:r w:rsidR="00294100">
        <w:t>enhancement for multi-beam operation, including common beam operation, TCI-state, UL panel selection and MPE issue</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50C088AF" w14:textId="77777777" w:rsidR="007F024B" w:rsidRDefault="007F024B" w:rsidP="007F024B">
      <w:pPr>
        <w:pStyle w:val="000proposal"/>
      </w:pPr>
      <w:r>
        <w:rPr>
          <w:rFonts w:hint="eastAsia"/>
        </w:rPr>
        <w:t>Proposal</w:t>
      </w:r>
      <w:r>
        <w:t xml:space="preserve"> 1: Support a common beam operation mode in which all the DL and UL channels and reference signals follow the same Tx beam and a single signaling can switch the Tx beam for the whole system.</w:t>
      </w:r>
    </w:p>
    <w:p w14:paraId="054890FF" w14:textId="77777777" w:rsidR="007F024B" w:rsidRDefault="007F024B" w:rsidP="007F024B">
      <w:pPr>
        <w:pStyle w:val="000proposal"/>
      </w:pPr>
      <w:r>
        <w:rPr>
          <w:rFonts w:hint="eastAsia"/>
        </w:rPr>
        <w:t>Proposal</w:t>
      </w:r>
      <w:r>
        <w:t xml:space="preserve"> 2: Support single common beam in multiple CCs.</w:t>
      </w:r>
    </w:p>
    <w:p w14:paraId="4BEF3DEF" w14:textId="583D323D" w:rsidR="007F024B" w:rsidRDefault="007F024B" w:rsidP="007F024B">
      <w:pPr>
        <w:pStyle w:val="000proposal"/>
      </w:pPr>
      <w:r>
        <w:t xml:space="preserve">Proposal 3: A TCI state for PUSCH shall include or </w:t>
      </w:r>
      <w:r w:rsidR="008F2C86">
        <w:t xml:space="preserve">be </w:t>
      </w:r>
      <w:r>
        <w:t>associated with the following information:</w:t>
      </w:r>
    </w:p>
    <w:p w14:paraId="3427D59D" w14:textId="77777777" w:rsidR="007F024B" w:rsidRDefault="007F024B" w:rsidP="007F024B">
      <w:pPr>
        <w:pStyle w:val="000proposal"/>
        <w:numPr>
          <w:ilvl w:val="0"/>
          <w:numId w:val="49"/>
        </w:numPr>
      </w:pPr>
      <w:r>
        <w:t>SRS resource(s) for port indication</w:t>
      </w:r>
    </w:p>
    <w:p w14:paraId="773AAF10" w14:textId="77777777" w:rsidR="007F024B" w:rsidRDefault="007F024B" w:rsidP="007F024B">
      <w:pPr>
        <w:pStyle w:val="000proposal"/>
        <w:numPr>
          <w:ilvl w:val="0"/>
          <w:numId w:val="49"/>
        </w:numPr>
      </w:pPr>
      <w:r>
        <w:t>Spatial relation info</w:t>
      </w:r>
    </w:p>
    <w:p w14:paraId="215B0083" w14:textId="77777777" w:rsidR="007F024B" w:rsidRDefault="007F024B" w:rsidP="007F024B">
      <w:pPr>
        <w:pStyle w:val="000proposal"/>
        <w:numPr>
          <w:ilvl w:val="0"/>
          <w:numId w:val="49"/>
        </w:numPr>
      </w:pPr>
      <w:r>
        <w:t>Pathloss reference signals and power control parameters.</w:t>
      </w:r>
    </w:p>
    <w:p w14:paraId="3B2F5345" w14:textId="77777777" w:rsidR="007F024B" w:rsidRDefault="007F024B" w:rsidP="007F024B"/>
    <w:p w14:paraId="219A41F4" w14:textId="16648073" w:rsidR="007F024B" w:rsidRDefault="007F024B" w:rsidP="007F024B">
      <w:pPr>
        <w:pStyle w:val="000proposal"/>
      </w:pPr>
      <w:r>
        <w:t xml:space="preserve">Proposal 4: Study beam measurement/reporting and/or beam indication of SS/PBCH block </w:t>
      </w:r>
      <w:r w:rsidR="008F2C86">
        <w:t xml:space="preserve">of </w:t>
      </w:r>
      <w:r>
        <w:t>target cell for inter-cell mobility.</w:t>
      </w:r>
    </w:p>
    <w:p w14:paraId="35E0F6D9" w14:textId="42DB1DDC" w:rsidR="007F024B" w:rsidRPr="008D3B49" w:rsidRDefault="007F024B" w:rsidP="007F024B">
      <w:pPr>
        <w:pStyle w:val="00Text"/>
        <w:rPr>
          <w:b/>
          <w:bCs/>
          <w:i/>
          <w:iCs/>
        </w:rPr>
      </w:pPr>
      <w:r w:rsidRPr="008D3B49">
        <w:rPr>
          <w:b/>
          <w:bCs/>
          <w:i/>
          <w:iCs/>
        </w:rPr>
        <w:t xml:space="preserve">Proposal </w:t>
      </w:r>
      <w:r>
        <w:rPr>
          <w:b/>
          <w:bCs/>
          <w:i/>
          <w:iCs/>
        </w:rPr>
        <w:t>5</w:t>
      </w:r>
      <w:r w:rsidRPr="008D3B49">
        <w:rPr>
          <w:b/>
          <w:bCs/>
          <w:i/>
          <w:iCs/>
        </w:rPr>
        <w:t xml:space="preserve">: </w:t>
      </w:r>
      <w:r>
        <w:rPr>
          <w:b/>
          <w:bCs/>
          <w:i/>
          <w:iCs/>
        </w:rPr>
        <w:t xml:space="preserve">UL panel selection and beam selection </w:t>
      </w:r>
      <w:r w:rsidRPr="008D3B49">
        <w:rPr>
          <w:b/>
          <w:bCs/>
          <w:i/>
          <w:iCs/>
        </w:rPr>
        <w:t>shall support activating</w:t>
      </w:r>
      <w:r>
        <w:rPr>
          <w:b/>
          <w:bCs/>
          <w:i/>
          <w:iCs/>
        </w:rPr>
        <w:t xml:space="preserve"> only</w:t>
      </w:r>
      <w:r w:rsidRPr="008D3B49">
        <w:rPr>
          <w:b/>
          <w:bCs/>
          <w:i/>
          <w:iCs/>
        </w:rPr>
        <w:t xml:space="preserve"> </w:t>
      </w:r>
      <w:r>
        <w:rPr>
          <w:b/>
          <w:bCs/>
          <w:i/>
          <w:iCs/>
        </w:rPr>
        <w:t xml:space="preserve">one </w:t>
      </w:r>
      <w:r w:rsidRPr="008D3B49">
        <w:rPr>
          <w:b/>
          <w:bCs/>
          <w:i/>
          <w:iCs/>
        </w:rPr>
        <w:t xml:space="preserve">Tx panel </w:t>
      </w:r>
      <w:r>
        <w:rPr>
          <w:b/>
          <w:bCs/>
          <w:i/>
          <w:iCs/>
        </w:rPr>
        <w:t>to save</w:t>
      </w:r>
      <w:r w:rsidRPr="008D3B49">
        <w:rPr>
          <w:b/>
          <w:bCs/>
          <w:i/>
          <w:iCs/>
        </w:rPr>
        <w:t xml:space="preserve"> </w:t>
      </w:r>
      <w:r w:rsidR="00D9632B">
        <w:rPr>
          <w:b/>
          <w:bCs/>
          <w:i/>
          <w:iCs/>
        </w:rPr>
        <w:t xml:space="preserve">UE </w:t>
      </w:r>
      <w:r>
        <w:rPr>
          <w:b/>
          <w:bCs/>
          <w:i/>
          <w:iCs/>
        </w:rPr>
        <w:t>power</w:t>
      </w:r>
      <w:r w:rsidRPr="008D3B49">
        <w:rPr>
          <w:b/>
          <w:bCs/>
          <w:i/>
          <w:iCs/>
        </w:rPr>
        <w:t>.</w:t>
      </w:r>
    </w:p>
    <w:p w14:paraId="126AA812" w14:textId="77777777" w:rsidR="007F024B" w:rsidRDefault="007F024B" w:rsidP="007F024B">
      <w:pPr>
        <w:pStyle w:val="00Text"/>
        <w:rPr>
          <w:b/>
          <w:bCs/>
          <w:i/>
          <w:iCs/>
        </w:rPr>
      </w:pPr>
      <w:r w:rsidRPr="008D3B49">
        <w:rPr>
          <w:b/>
          <w:bCs/>
          <w:i/>
          <w:iCs/>
        </w:rPr>
        <w:t xml:space="preserve">Proposal </w:t>
      </w:r>
      <w:r>
        <w:rPr>
          <w:b/>
          <w:bCs/>
          <w:i/>
          <w:iCs/>
        </w:rPr>
        <w:t>6</w:t>
      </w:r>
      <w:r w:rsidRPr="008D3B49">
        <w:rPr>
          <w:b/>
          <w:bCs/>
          <w:i/>
          <w:iCs/>
        </w:rPr>
        <w:t xml:space="preserve">: </w:t>
      </w:r>
      <w:r>
        <w:rPr>
          <w:b/>
          <w:bCs/>
          <w:i/>
          <w:iCs/>
        </w:rPr>
        <w:t>Consider panel-specific beam measurement and reporting.</w:t>
      </w:r>
    </w:p>
    <w:p w14:paraId="20BE67B9" w14:textId="77777777" w:rsidR="007F024B" w:rsidRDefault="007F024B" w:rsidP="007F024B">
      <w:pPr>
        <w:pStyle w:val="000proposals"/>
      </w:pPr>
      <w:r w:rsidRPr="005A5406">
        <w:t>Proposal</w:t>
      </w:r>
      <w:r>
        <w:t xml:space="preserve"> 7</w:t>
      </w:r>
      <w:r w:rsidRPr="00206B0D">
        <w:t xml:space="preserve">: </w:t>
      </w:r>
      <w:r>
        <w:t>First study the feasibility of per-beam or per-panel human detection and send LS to RAN4 to ask about the feasibility.</w:t>
      </w:r>
    </w:p>
    <w:p w14:paraId="439DEBFD" w14:textId="0C6E9938" w:rsidR="007F024B" w:rsidRDefault="007F024B" w:rsidP="007F024B">
      <w:pPr>
        <w:pStyle w:val="000proposals"/>
      </w:pPr>
      <w:r w:rsidRPr="005A5406">
        <w:t xml:space="preserve">Proposal </w:t>
      </w:r>
      <w:r>
        <w:t>8</w:t>
      </w:r>
      <w:r w:rsidRPr="00206B0D">
        <w:t xml:space="preserve">: </w:t>
      </w:r>
      <w:r>
        <w:t xml:space="preserve">Based the RAN4 </w:t>
      </w:r>
      <w:r w:rsidR="00D603BE">
        <w:t>reply</w:t>
      </w:r>
      <w:r>
        <w:t xml:space="preserve"> on feasibility of per-beam or per-panel human detection, consider to use the mechanism of reporting P-MPR as starting point for further enhancements.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3B3B0D43" w:rsidR="00C8505E" w:rsidRDefault="00C8505E" w:rsidP="002328B0">
      <w:pPr>
        <w:pStyle w:val="05reference"/>
        <w:rPr>
          <w:szCs w:val="20"/>
          <w:lang w:val="it-IT"/>
        </w:rPr>
      </w:pPr>
      <w:r>
        <w:rPr>
          <w:szCs w:val="20"/>
          <w:lang w:val="it-IT"/>
        </w:rPr>
        <w:t>RP-193133 New WID: Further ehancements on MIMO for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E1249" w14:textId="77777777" w:rsidR="00C77B31" w:rsidRDefault="00C77B31">
      <w:r>
        <w:separator/>
      </w:r>
    </w:p>
  </w:endnote>
  <w:endnote w:type="continuationSeparator" w:id="0">
    <w:p w14:paraId="1B08BFCD" w14:textId="77777777" w:rsidR="00C77B31" w:rsidRDefault="00C7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B29EC" w14:textId="77777777" w:rsidR="00C77B31" w:rsidRDefault="00C77B31">
      <w:r>
        <w:separator/>
      </w:r>
    </w:p>
  </w:footnote>
  <w:footnote w:type="continuationSeparator" w:id="0">
    <w:p w14:paraId="37793AFD" w14:textId="77777777" w:rsidR="00C77B31" w:rsidRDefault="00C7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8010E"/>
    <w:multiLevelType w:val="hybridMultilevel"/>
    <w:tmpl w:val="94340C8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F42E0"/>
    <w:multiLevelType w:val="hybridMultilevel"/>
    <w:tmpl w:val="7AB8868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21B4D"/>
    <w:multiLevelType w:val="hybridMultilevel"/>
    <w:tmpl w:val="2FD0A76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82E0649"/>
    <w:multiLevelType w:val="hybridMultilevel"/>
    <w:tmpl w:val="8EB2E8E8"/>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70FB0E98"/>
    <w:multiLevelType w:val="hybridMultilevel"/>
    <w:tmpl w:val="1D96828C"/>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7"/>
  </w:num>
  <w:num w:numId="2">
    <w:abstractNumId w:val="8"/>
  </w:num>
  <w:num w:numId="3">
    <w:abstractNumId w:val="35"/>
  </w:num>
  <w:num w:numId="4">
    <w:abstractNumId w:val="19"/>
  </w:num>
  <w:num w:numId="5">
    <w:abstractNumId w:val="28"/>
  </w:num>
  <w:num w:numId="6">
    <w:abstractNumId w:val="16"/>
  </w:num>
  <w:num w:numId="7">
    <w:abstractNumId w:val="30"/>
  </w:num>
  <w:num w:numId="8">
    <w:abstractNumId w:val="24"/>
  </w:num>
  <w:num w:numId="9">
    <w:abstractNumId w:val="40"/>
  </w:num>
  <w:num w:numId="10">
    <w:abstractNumId w:val="2"/>
  </w:num>
  <w:num w:numId="11">
    <w:abstractNumId w:val="9"/>
  </w:num>
  <w:num w:numId="12">
    <w:abstractNumId w:val="48"/>
  </w:num>
  <w:num w:numId="13">
    <w:abstractNumId w:val="26"/>
  </w:num>
  <w:num w:numId="14">
    <w:abstractNumId w:val="46"/>
  </w:num>
  <w:num w:numId="15">
    <w:abstractNumId w:val="23"/>
  </w:num>
  <w:num w:numId="16">
    <w:abstractNumId w:val="21"/>
  </w:num>
  <w:num w:numId="17">
    <w:abstractNumId w:val="14"/>
  </w:num>
  <w:num w:numId="18">
    <w:abstractNumId w:val="45"/>
  </w:num>
  <w:num w:numId="19">
    <w:abstractNumId w:val="4"/>
  </w:num>
  <w:num w:numId="20">
    <w:abstractNumId w:val="36"/>
  </w:num>
  <w:num w:numId="21">
    <w:abstractNumId w:val="12"/>
  </w:num>
  <w:num w:numId="22">
    <w:abstractNumId w:val="18"/>
  </w:num>
  <w:num w:numId="23">
    <w:abstractNumId w:val="27"/>
  </w:num>
  <w:num w:numId="24">
    <w:abstractNumId w:val="31"/>
  </w:num>
  <w:num w:numId="25">
    <w:abstractNumId w:val="29"/>
  </w:num>
  <w:num w:numId="26">
    <w:abstractNumId w:val="20"/>
  </w:num>
  <w:num w:numId="27">
    <w:abstractNumId w:val="3"/>
  </w:num>
  <w:num w:numId="28">
    <w:abstractNumId w:val="5"/>
  </w:num>
  <w:num w:numId="29">
    <w:abstractNumId w:val="11"/>
  </w:num>
  <w:num w:numId="30">
    <w:abstractNumId w:val="33"/>
  </w:num>
  <w:num w:numId="31">
    <w:abstractNumId w:val="43"/>
  </w:num>
  <w:num w:numId="32">
    <w:abstractNumId w:val="7"/>
  </w:num>
  <w:num w:numId="33">
    <w:abstractNumId w:val="17"/>
  </w:num>
  <w:num w:numId="34">
    <w:abstractNumId w:val="15"/>
  </w:num>
  <w:num w:numId="35">
    <w:abstractNumId w:val="13"/>
  </w:num>
  <w:num w:numId="36">
    <w:abstractNumId w:val="39"/>
  </w:num>
  <w:num w:numId="37">
    <w:abstractNumId w:val="6"/>
  </w:num>
  <w:num w:numId="38">
    <w:abstractNumId w:val="10"/>
  </w:num>
  <w:num w:numId="39">
    <w:abstractNumId w:val="1"/>
  </w:num>
  <w:num w:numId="40">
    <w:abstractNumId w:val="34"/>
  </w:num>
  <w:num w:numId="41">
    <w:abstractNumId w:val="44"/>
  </w:num>
  <w:num w:numId="42">
    <w:abstractNumId w:val="22"/>
  </w:num>
  <w:num w:numId="43">
    <w:abstractNumId w:val="25"/>
  </w:num>
  <w:num w:numId="44">
    <w:abstractNumId w:val="0"/>
  </w:num>
  <w:num w:numId="45">
    <w:abstractNumId w:val="37"/>
  </w:num>
  <w:num w:numId="46">
    <w:abstractNumId w:val="42"/>
  </w:num>
  <w:num w:numId="47">
    <w:abstractNumId w:val="38"/>
  </w:num>
  <w:num w:numId="48">
    <w:abstractNumId w:val="3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44738"/>
    <w:rsid w:val="00052A3E"/>
    <w:rsid w:val="0007593E"/>
    <w:rsid w:val="00085AAA"/>
    <w:rsid w:val="000939D7"/>
    <w:rsid w:val="000958D5"/>
    <w:rsid w:val="000B5E34"/>
    <w:rsid w:val="000C1ECC"/>
    <w:rsid w:val="000D5CFD"/>
    <w:rsid w:val="000D66CD"/>
    <w:rsid w:val="000D6C00"/>
    <w:rsid w:val="000E608E"/>
    <w:rsid w:val="000E6672"/>
    <w:rsid w:val="000F4980"/>
    <w:rsid w:val="000F4BE3"/>
    <w:rsid w:val="000F5BBA"/>
    <w:rsid w:val="000F6109"/>
    <w:rsid w:val="000F7493"/>
    <w:rsid w:val="0011387A"/>
    <w:rsid w:val="00115C6C"/>
    <w:rsid w:val="001243EA"/>
    <w:rsid w:val="00136B37"/>
    <w:rsid w:val="001422E9"/>
    <w:rsid w:val="0015020D"/>
    <w:rsid w:val="00153FD2"/>
    <w:rsid w:val="00155D90"/>
    <w:rsid w:val="00162411"/>
    <w:rsid w:val="00171FCE"/>
    <w:rsid w:val="0017679D"/>
    <w:rsid w:val="001821C0"/>
    <w:rsid w:val="00187000"/>
    <w:rsid w:val="00193464"/>
    <w:rsid w:val="00194DDE"/>
    <w:rsid w:val="00197FFE"/>
    <w:rsid w:val="001B07EA"/>
    <w:rsid w:val="001B0B07"/>
    <w:rsid w:val="001C4F3E"/>
    <w:rsid w:val="001D229C"/>
    <w:rsid w:val="001E34E2"/>
    <w:rsid w:val="001E59C5"/>
    <w:rsid w:val="001E70FE"/>
    <w:rsid w:val="001F4B67"/>
    <w:rsid w:val="002021F5"/>
    <w:rsid w:val="00216CDC"/>
    <w:rsid w:val="00217532"/>
    <w:rsid w:val="00224ADF"/>
    <w:rsid w:val="002328B0"/>
    <w:rsid w:val="00235B6C"/>
    <w:rsid w:val="00253D4B"/>
    <w:rsid w:val="00256423"/>
    <w:rsid w:val="0027047C"/>
    <w:rsid w:val="00271EBE"/>
    <w:rsid w:val="00274CE7"/>
    <w:rsid w:val="00276093"/>
    <w:rsid w:val="00282C00"/>
    <w:rsid w:val="002854A6"/>
    <w:rsid w:val="00294100"/>
    <w:rsid w:val="002E1185"/>
    <w:rsid w:val="002F5E03"/>
    <w:rsid w:val="003070DC"/>
    <w:rsid w:val="003218CE"/>
    <w:rsid w:val="00327ABE"/>
    <w:rsid w:val="003370C7"/>
    <w:rsid w:val="003417EF"/>
    <w:rsid w:val="00345366"/>
    <w:rsid w:val="003560C0"/>
    <w:rsid w:val="003606FD"/>
    <w:rsid w:val="003676B8"/>
    <w:rsid w:val="003845A5"/>
    <w:rsid w:val="00395AFD"/>
    <w:rsid w:val="003A33FE"/>
    <w:rsid w:val="003B1605"/>
    <w:rsid w:val="003C22BE"/>
    <w:rsid w:val="003C2E5C"/>
    <w:rsid w:val="003C5D56"/>
    <w:rsid w:val="003C6F44"/>
    <w:rsid w:val="003D78A0"/>
    <w:rsid w:val="003E11C2"/>
    <w:rsid w:val="004167B4"/>
    <w:rsid w:val="00416940"/>
    <w:rsid w:val="004359AF"/>
    <w:rsid w:val="004373B1"/>
    <w:rsid w:val="0044067E"/>
    <w:rsid w:val="0044100E"/>
    <w:rsid w:val="00441EC1"/>
    <w:rsid w:val="00441EF9"/>
    <w:rsid w:val="00445B84"/>
    <w:rsid w:val="00450CEA"/>
    <w:rsid w:val="004613B9"/>
    <w:rsid w:val="00461818"/>
    <w:rsid w:val="00482190"/>
    <w:rsid w:val="0049601E"/>
    <w:rsid w:val="00497AFF"/>
    <w:rsid w:val="004B78F8"/>
    <w:rsid w:val="004C02D2"/>
    <w:rsid w:val="004D0D0E"/>
    <w:rsid w:val="004E5035"/>
    <w:rsid w:val="005105AE"/>
    <w:rsid w:val="00527D26"/>
    <w:rsid w:val="005350B8"/>
    <w:rsid w:val="0054041F"/>
    <w:rsid w:val="00540D9B"/>
    <w:rsid w:val="005429A1"/>
    <w:rsid w:val="0054622D"/>
    <w:rsid w:val="00547137"/>
    <w:rsid w:val="00556079"/>
    <w:rsid w:val="00556940"/>
    <w:rsid w:val="00557AAC"/>
    <w:rsid w:val="00576532"/>
    <w:rsid w:val="0059274C"/>
    <w:rsid w:val="005A09CE"/>
    <w:rsid w:val="005A2B2B"/>
    <w:rsid w:val="005B6F08"/>
    <w:rsid w:val="005C3C00"/>
    <w:rsid w:val="005C4934"/>
    <w:rsid w:val="005D2437"/>
    <w:rsid w:val="005D3B1F"/>
    <w:rsid w:val="005D5DDE"/>
    <w:rsid w:val="005F4A5A"/>
    <w:rsid w:val="005F649D"/>
    <w:rsid w:val="00612DF0"/>
    <w:rsid w:val="0061366B"/>
    <w:rsid w:val="006139B3"/>
    <w:rsid w:val="006157FC"/>
    <w:rsid w:val="00630FE7"/>
    <w:rsid w:val="00635687"/>
    <w:rsid w:val="00640DF0"/>
    <w:rsid w:val="00654F2B"/>
    <w:rsid w:val="00674191"/>
    <w:rsid w:val="0067427A"/>
    <w:rsid w:val="006A5C1B"/>
    <w:rsid w:val="006B0E04"/>
    <w:rsid w:val="006B6981"/>
    <w:rsid w:val="006C15F8"/>
    <w:rsid w:val="006D5AEF"/>
    <w:rsid w:val="006F05A0"/>
    <w:rsid w:val="006F2513"/>
    <w:rsid w:val="006F28B6"/>
    <w:rsid w:val="00712835"/>
    <w:rsid w:val="007265DC"/>
    <w:rsid w:val="00752231"/>
    <w:rsid w:val="00754921"/>
    <w:rsid w:val="007704E0"/>
    <w:rsid w:val="0078463D"/>
    <w:rsid w:val="007A2AD5"/>
    <w:rsid w:val="007A4CB7"/>
    <w:rsid w:val="007B70A7"/>
    <w:rsid w:val="007C1686"/>
    <w:rsid w:val="007C7102"/>
    <w:rsid w:val="007E47EE"/>
    <w:rsid w:val="007E5D1D"/>
    <w:rsid w:val="007E7A18"/>
    <w:rsid w:val="007F024B"/>
    <w:rsid w:val="00801370"/>
    <w:rsid w:val="00820AEF"/>
    <w:rsid w:val="008220EC"/>
    <w:rsid w:val="00833D9E"/>
    <w:rsid w:val="008346A6"/>
    <w:rsid w:val="00843CF2"/>
    <w:rsid w:val="00882742"/>
    <w:rsid w:val="008831B4"/>
    <w:rsid w:val="00894320"/>
    <w:rsid w:val="008A2EB2"/>
    <w:rsid w:val="008B661C"/>
    <w:rsid w:val="008D5B9C"/>
    <w:rsid w:val="008E1419"/>
    <w:rsid w:val="008E5BE8"/>
    <w:rsid w:val="008F2C86"/>
    <w:rsid w:val="00913B68"/>
    <w:rsid w:val="009355ED"/>
    <w:rsid w:val="0094294A"/>
    <w:rsid w:val="00953386"/>
    <w:rsid w:val="00961F39"/>
    <w:rsid w:val="009678A0"/>
    <w:rsid w:val="009719B6"/>
    <w:rsid w:val="00973293"/>
    <w:rsid w:val="009940A0"/>
    <w:rsid w:val="00994211"/>
    <w:rsid w:val="009A5B4B"/>
    <w:rsid w:val="009B2043"/>
    <w:rsid w:val="009B3C49"/>
    <w:rsid w:val="009C0237"/>
    <w:rsid w:val="009E240D"/>
    <w:rsid w:val="009E5BDD"/>
    <w:rsid w:val="009E7068"/>
    <w:rsid w:val="009F3E9B"/>
    <w:rsid w:val="00A11E17"/>
    <w:rsid w:val="00A11FC0"/>
    <w:rsid w:val="00A16EB4"/>
    <w:rsid w:val="00A249BF"/>
    <w:rsid w:val="00A401F0"/>
    <w:rsid w:val="00A47341"/>
    <w:rsid w:val="00A50090"/>
    <w:rsid w:val="00A55BFD"/>
    <w:rsid w:val="00A56481"/>
    <w:rsid w:val="00A64700"/>
    <w:rsid w:val="00A72987"/>
    <w:rsid w:val="00A72B75"/>
    <w:rsid w:val="00A77025"/>
    <w:rsid w:val="00A81411"/>
    <w:rsid w:val="00A92E59"/>
    <w:rsid w:val="00A96017"/>
    <w:rsid w:val="00A979F1"/>
    <w:rsid w:val="00AB6FDF"/>
    <w:rsid w:val="00AC6794"/>
    <w:rsid w:val="00AD516E"/>
    <w:rsid w:val="00AD7A83"/>
    <w:rsid w:val="00AE2DA0"/>
    <w:rsid w:val="00AE300B"/>
    <w:rsid w:val="00AF545D"/>
    <w:rsid w:val="00AF61BE"/>
    <w:rsid w:val="00B00B5B"/>
    <w:rsid w:val="00B02981"/>
    <w:rsid w:val="00B1003A"/>
    <w:rsid w:val="00B1447C"/>
    <w:rsid w:val="00B2685F"/>
    <w:rsid w:val="00B3617B"/>
    <w:rsid w:val="00B369F1"/>
    <w:rsid w:val="00B50BD8"/>
    <w:rsid w:val="00B52602"/>
    <w:rsid w:val="00B60F85"/>
    <w:rsid w:val="00B645FD"/>
    <w:rsid w:val="00B71542"/>
    <w:rsid w:val="00B774DC"/>
    <w:rsid w:val="00B820EF"/>
    <w:rsid w:val="00B8297C"/>
    <w:rsid w:val="00B84A75"/>
    <w:rsid w:val="00B9067F"/>
    <w:rsid w:val="00BF3168"/>
    <w:rsid w:val="00C02C30"/>
    <w:rsid w:val="00C02E04"/>
    <w:rsid w:val="00C40635"/>
    <w:rsid w:val="00C47E0E"/>
    <w:rsid w:val="00C5235A"/>
    <w:rsid w:val="00C55B7E"/>
    <w:rsid w:val="00C5701A"/>
    <w:rsid w:val="00C77B31"/>
    <w:rsid w:val="00C82759"/>
    <w:rsid w:val="00C8505E"/>
    <w:rsid w:val="00C858B7"/>
    <w:rsid w:val="00C878A6"/>
    <w:rsid w:val="00C9409C"/>
    <w:rsid w:val="00CA4000"/>
    <w:rsid w:val="00CA56FB"/>
    <w:rsid w:val="00CA5A43"/>
    <w:rsid w:val="00CB7679"/>
    <w:rsid w:val="00CC6044"/>
    <w:rsid w:val="00CE12AB"/>
    <w:rsid w:val="00CE1CBA"/>
    <w:rsid w:val="00CF0607"/>
    <w:rsid w:val="00CF1473"/>
    <w:rsid w:val="00CF3C99"/>
    <w:rsid w:val="00D1006B"/>
    <w:rsid w:val="00D336A3"/>
    <w:rsid w:val="00D42AEA"/>
    <w:rsid w:val="00D43A1F"/>
    <w:rsid w:val="00D501F0"/>
    <w:rsid w:val="00D519A8"/>
    <w:rsid w:val="00D547FB"/>
    <w:rsid w:val="00D603BE"/>
    <w:rsid w:val="00D61B20"/>
    <w:rsid w:val="00D6518E"/>
    <w:rsid w:val="00D676A2"/>
    <w:rsid w:val="00D72C80"/>
    <w:rsid w:val="00D821CF"/>
    <w:rsid w:val="00D85D12"/>
    <w:rsid w:val="00D8674A"/>
    <w:rsid w:val="00D9632B"/>
    <w:rsid w:val="00DB3826"/>
    <w:rsid w:val="00DC5485"/>
    <w:rsid w:val="00DD3E2E"/>
    <w:rsid w:val="00DD5F89"/>
    <w:rsid w:val="00DE09A4"/>
    <w:rsid w:val="00DF1CCA"/>
    <w:rsid w:val="00DF4DA3"/>
    <w:rsid w:val="00DF4F8F"/>
    <w:rsid w:val="00E01A4F"/>
    <w:rsid w:val="00E02BFE"/>
    <w:rsid w:val="00E17EB8"/>
    <w:rsid w:val="00E200FA"/>
    <w:rsid w:val="00E237B2"/>
    <w:rsid w:val="00E26758"/>
    <w:rsid w:val="00E61BDD"/>
    <w:rsid w:val="00E81D14"/>
    <w:rsid w:val="00E9008E"/>
    <w:rsid w:val="00E92A0D"/>
    <w:rsid w:val="00E94059"/>
    <w:rsid w:val="00EA50D3"/>
    <w:rsid w:val="00EB3FD4"/>
    <w:rsid w:val="00EB5DD1"/>
    <w:rsid w:val="00EB7EAB"/>
    <w:rsid w:val="00EC3EA4"/>
    <w:rsid w:val="00ED542F"/>
    <w:rsid w:val="00ED553D"/>
    <w:rsid w:val="00EE6A34"/>
    <w:rsid w:val="00F00586"/>
    <w:rsid w:val="00F01C02"/>
    <w:rsid w:val="00F107E2"/>
    <w:rsid w:val="00F12921"/>
    <w:rsid w:val="00F12AA3"/>
    <w:rsid w:val="00F172D7"/>
    <w:rsid w:val="00F21B33"/>
    <w:rsid w:val="00F31B7A"/>
    <w:rsid w:val="00F63E54"/>
    <w:rsid w:val="00F65FEA"/>
    <w:rsid w:val="00F70BD0"/>
    <w:rsid w:val="00F75389"/>
    <w:rsid w:val="00F755A4"/>
    <w:rsid w:val="00F818B3"/>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3A33FE"/>
    <w:pPr>
      <w:spacing w:before="0" w:line="240" w:lineRule="auto"/>
    </w:pPr>
    <w:rPr>
      <w:b/>
      <w:bCs/>
      <w:i/>
      <w:iCs/>
      <w:lang w:eastAsia="en-US"/>
    </w:rPr>
  </w:style>
  <w:style w:type="character" w:customStyle="1" w:styleId="000proposalsChar">
    <w:name w:val="000_proposals Char"/>
    <w:basedOn w:val="00TextChar"/>
    <w:link w:val="000proposals"/>
    <w:rsid w:val="003A33FE"/>
    <w:rPr>
      <w:rFonts w:ascii="Times New Roman" w:eastAsia="SimSun" w:hAnsi="Times New Roman" w:cs="Times New Roman"/>
      <w:b/>
      <w:bCs/>
      <w:i/>
      <w:iCs/>
      <w:sz w:val="20"/>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rsid w:val="007E47EE"/>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2020-08-07T05:13:00Z</dcterms:modified>
</cp:coreProperties>
</file>