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0E3A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451A5F26"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FC11AB6" w14:textId="77777777" w:rsidR="006618DF" w:rsidRDefault="006618DF" w:rsidP="00A537B2">
      <w:pPr>
        <w:ind w:left="1800" w:hanging="1800"/>
        <w:rPr>
          <w:rFonts w:ascii="Calibri" w:eastAsia="Calibri" w:hAnsi="Calibri"/>
          <w:b/>
          <w:bCs/>
          <w:sz w:val="22"/>
          <w:szCs w:val="22"/>
        </w:rPr>
      </w:pPr>
    </w:p>
    <w:p w14:paraId="4E2A6CCB"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9C75D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960DD7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041D18D1"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B4DC3B1" w14:textId="77777777" w:rsidR="00A64CF7" w:rsidRPr="00A11840" w:rsidRDefault="00A64CF7" w:rsidP="00424124">
      <w:pPr>
        <w:pStyle w:val="a7"/>
        <w:jc w:val="left"/>
        <w:rPr>
          <w:sz w:val="16"/>
          <w:szCs w:val="16"/>
        </w:rPr>
      </w:pPr>
    </w:p>
    <w:p w14:paraId="21595F3B" w14:textId="77777777" w:rsidR="00707D20" w:rsidRPr="00172743" w:rsidRDefault="00424124" w:rsidP="00326FF6">
      <w:pPr>
        <w:pStyle w:val="1"/>
      </w:pPr>
      <w:r w:rsidRPr="00172743">
        <w:t>Introduction</w:t>
      </w:r>
    </w:p>
    <w:p w14:paraId="7CA70CB5" w14:textId="77777777" w:rsidR="0051424F" w:rsidRDefault="003327F3" w:rsidP="003327F3">
      <w:pPr>
        <w:pStyle w:val="af2"/>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2F9F7763" w14:textId="77777777" w:rsidR="00DE0E10" w:rsidRPr="00F4616A" w:rsidRDefault="00DE0E10" w:rsidP="00DE0E10">
      <w:pPr>
        <w:rPr>
          <w:rFonts w:ascii="Calibri" w:eastAsia="맑은 고딕" w:hAnsi="Calibri" w:cs="바탕"/>
          <w:lang w:val="en-GB" w:eastAsia="ko-KR"/>
        </w:rPr>
      </w:pPr>
    </w:p>
    <w:p w14:paraId="13B3DFB8" w14:textId="77777777" w:rsidR="003327F3" w:rsidRPr="00172743" w:rsidRDefault="00902C43" w:rsidP="003327F3">
      <w:pPr>
        <w:pStyle w:val="1"/>
      </w:pPr>
      <w:r w:rsidRPr="00902C43">
        <w:t>Response to RAN2 LS on IAB Guard Symbols</w:t>
      </w:r>
    </w:p>
    <w:p w14:paraId="769A45A5"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176EC6CD" w14:textId="77777777" w:rsidR="0073499F" w:rsidRDefault="0073499F" w:rsidP="00190804">
      <w:pPr>
        <w:rPr>
          <w:rFonts w:asciiTheme="minorHAnsi" w:hAnsiTheme="minorHAnsi" w:cstheme="minorHAnsi"/>
          <w:b/>
          <w:lang w:val="en-GB"/>
        </w:rPr>
      </w:pPr>
    </w:p>
    <w:p w14:paraId="0FCD63B1"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55764023" w14:textId="77777777" w:rsidR="007C47E8" w:rsidRDefault="007C47E8" w:rsidP="007C47E8">
      <w:pPr>
        <w:rPr>
          <w:rFonts w:ascii="Calibri" w:eastAsia="Calibri" w:hAnsi="Calibri"/>
          <w:sz w:val="22"/>
          <w:szCs w:val="22"/>
        </w:rPr>
      </w:pPr>
    </w:p>
    <w:p w14:paraId="34875974" w14:textId="77777777" w:rsidR="007C47E8" w:rsidRDefault="007C47E8" w:rsidP="007C47E8">
      <w:pPr>
        <w:pStyle w:val="ab"/>
        <w:rPr>
          <w:rFonts w:cs="Arial"/>
        </w:rPr>
      </w:pPr>
      <w:r>
        <w:rPr>
          <w:rFonts w:cs="Arial"/>
        </w:rPr>
        <w:t xml:space="preserve">     RAN1#99 agreement:</w:t>
      </w:r>
    </w:p>
    <w:p w14:paraId="477F8FB5" w14:textId="77777777" w:rsidR="007C47E8" w:rsidRPr="001A151A" w:rsidRDefault="007C47E8" w:rsidP="007C47E8">
      <w:pPr>
        <w:rPr>
          <w:rFonts w:ascii="Times" w:eastAsia="바탕" w:hAnsi="Times"/>
        </w:rPr>
      </w:pPr>
      <w:r w:rsidRPr="004B2424">
        <w:rPr>
          <w:rFonts w:ascii="Times" w:eastAsia="바탕" w:hAnsi="Times"/>
        </w:rPr>
        <w:t xml:space="preserve">    </w:t>
      </w:r>
      <w:r>
        <w:rPr>
          <w:rFonts w:ascii="Times" w:eastAsia="바탕" w:hAnsi="Times"/>
          <w:highlight w:val="green"/>
        </w:rPr>
        <w:t xml:space="preserve"> </w:t>
      </w:r>
      <w:r w:rsidRPr="001A151A">
        <w:rPr>
          <w:rFonts w:ascii="Times" w:eastAsia="바탕" w:hAnsi="Times"/>
          <w:highlight w:val="green"/>
        </w:rPr>
        <w:t>Agreements</w:t>
      </w:r>
      <w:r w:rsidRPr="001A151A">
        <w:rPr>
          <w:rFonts w:ascii="Times" w:eastAsia="바탕" w:hAnsi="Times"/>
        </w:rPr>
        <w:t>:</w:t>
      </w:r>
    </w:p>
    <w:p w14:paraId="03B8E10F" w14:textId="77777777" w:rsidR="007C47E8" w:rsidRPr="001A151A" w:rsidRDefault="007C47E8" w:rsidP="007C47E8">
      <w:pPr>
        <w:ind w:left="360"/>
        <w:rPr>
          <w:rFonts w:ascii="Times" w:eastAsia="바탕" w:hAnsi="Times"/>
          <w:bCs/>
        </w:rPr>
      </w:pPr>
      <w:r w:rsidRPr="001A151A">
        <w:rPr>
          <w:rFonts w:ascii="Times" w:eastAsia="바탕" w:hAnsi="Times"/>
          <w:bCs/>
          <w:i/>
          <w:iCs/>
        </w:rPr>
        <w:t xml:space="preserve">Desired Guard </w:t>
      </w:r>
      <w:r w:rsidRPr="001A151A">
        <w:rPr>
          <w:rFonts w:ascii="Times" w:eastAsia="바탕" w:hAnsi="Times"/>
          <w:bCs/>
        </w:rPr>
        <w:t>Symbols and</w:t>
      </w:r>
      <w:r w:rsidRPr="001A151A">
        <w:rPr>
          <w:rFonts w:ascii="Times" w:eastAsia="바탕" w:hAnsi="Times"/>
          <w:bCs/>
          <w:i/>
          <w:iCs/>
        </w:rPr>
        <w:t xml:space="preserve"> Provided Guard Symbols </w:t>
      </w:r>
      <w:r w:rsidRPr="001A151A">
        <w:rPr>
          <w:rFonts w:ascii="Times" w:eastAsia="바탕" w:hAnsi="Times"/>
          <w:bCs/>
        </w:rPr>
        <w:t>are provided per cell and use 3 bits for each of the 8 transitions to indicate the number of guard symbols.</w:t>
      </w:r>
    </w:p>
    <w:p w14:paraId="669EA8CE" w14:textId="77777777" w:rsidR="007C47E8" w:rsidRPr="001A151A" w:rsidRDefault="007C47E8" w:rsidP="008F19A4">
      <w:pPr>
        <w:numPr>
          <w:ilvl w:val="0"/>
          <w:numId w:val="20"/>
        </w:numPr>
        <w:contextualSpacing/>
        <w:rPr>
          <w:bCs/>
          <w:lang w:eastAsia="ja-JP"/>
        </w:rPr>
      </w:pPr>
      <w:r w:rsidRPr="001A151A">
        <w:rPr>
          <w:bCs/>
          <w:lang w:eastAsia="ja-JP"/>
        </w:rPr>
        <w:t>In Rel-16, a range of 0-4 symbols are supported for each transition. Additional entries are reserved for future use</w:t>
      </w:r>
    </w:p>
    <w:p w14:paraId="6FBED50E" w14:textId="77777777" w:rsidR="007C47E8" w:rsidRPr="001A151A" w:rsidRDefault="007C47E8" w:rsidP="008F19A4">
      <w:pPr>
        <w:numPr>
          <w:ilvl w:val="0"/>
          <w:numId w:val="20"/>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7005B59" w14:textId="77777777" w:rsidR="007C47E8" w:rsidRDefault="007C47E8" w:rsidP="007C47E8">
      <w:pPr>
        <w:pStyle w:val="ab"/>
        <w:rPr>
          <w:rFonts w:cs="Arial"/>
        </w:rPr>
      </w:pPr>
    </w:p>
    <w:p w14:paraId="33BD101E" w14:textId="77777777" w:rsidR="007C47E8" w:rsidRDefault="007C47E8" w:rsidP="007C47E8">
      <w:pPr>
        <w:pStyle w:val="ab"/>
        <w:rPr>
          <w:rFonts w:cs="Arial"/>
        </w:rPr>
      </w:pPr>
    </w:p>
    <w:p w14:paraId="77201DDF" w14:textId="77777777"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2626DF16"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3C491833"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5B3221C2" w14:textId="77777777" w:rsidR="007C47E8" w:rsidRDefault="007C47E8" w:rsidP="007C47E8">
      <w:pPr>
        <w:rPr>
          <w:rFonts w:ascii="Calibri" w:eastAsia="Calibri" w:hAnsi="Calibri"/>
          <w:sz w:val="22"/>
          <w:szCs w:val="22"/>
        </w:rPr>
      </w:pPr>
    </w:p>
    <w:p w14:paraId="2D460963"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72E2E2BE" w14:textId="77777777" w:rsidR="00B16D0D" w:rsidRPr="00B16D0D" w:rsidRDefault="00B16D0D" w:rsidP="007C47E8">
      <w:pPr>
        <w:rPr>
          <w:rFonts w:asciiTheme="minorHAnsi" w:hAnsiTheme="minorHAnsi" w:cstheme="minorHAnsi"/>
          <w:bCs/>
          <w:lang w:val="en-GB"/>
        </w:rPr>
      </w:pPr>
    </w:p>
    <w:p w14:paraId="052193AE" w14:textId="77777777" w:rsidR="004118BD" w:rsidRDefault="004118BD" w:rsidP="00551DFD">
      <w:pPr>
        <w:spacing w:beforeLines="50" w:before="120"/>
        <w:rPr>
          <w:rFonts w:asciiTheme="minorHAnsi" w:hAnsiTheme="minorHAnsi" w:cstheme="minorHAnsi"/>
          <w:b/>
          <w:lang w:val="en-GB"/>
        </w:rPr>
      </w:pPr>
    </w:p>
    <w:p w14:paraId="742B290A" w14:textId="77777777" w:rsidR="004118BD" w:rsidRDefault="004118BD" w:rsidP="00551DFD">
      <w:pPr>
        <w:spacing w:beforeLines="50" w:before="120"/>
        <w:rPr>
          <w:rFonts w:asciiTheme="minorHAnsi" w:hAnsiTheme="minorHAnsi" w:cstheme="minorHAnsi"/>
          <w:b/>
          <w:lang w:val="en-GB"/>
        </w:rPr>
      </w:pPr>
    </w:p>
    <w:p w14:paraId="36D252A1" w14:textId="77777777" w:rsidR="004118BD" w:rsidRDefault="004118BD" w:rsidP="00551DFD">
      <w:pPr>
        <w:spacing w:beforeLines="50" w:before="120"/>
        <w:rPr>
          <w:rFonts w:asciiTheme="minorHAnsi" w:hAnsiTheme="minorHAnsi" w:cstheme="minorHAnsi"/>
          <w:b/>
          <w:lang w:val="en-GB"/>
        </w:rPr>
      </w:pPr>
    </w:p>
    <w:p w14:paraId="3DB8B6D7" w14:textId="77777777" w:rsidR="00937173" w:rsidRDefault="007C47E8" w:rsidP="00551DF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724B3377" w14:textId="77777777" w:rsidR="00937173" w:rsidRDefault="00937173" w:rsidP="00551DFD">
      <w:pPr>
        <w:spacing w:beforeLines="50" w:before="120"/>
        <w:rPr>
          <w:rFonts w:ascii="Calibri" w:eastAsia="Calibri" w:hAnsi="Calibri"/>
          <w:b/>
          <w:bCs/>
          <w:sz w:val="22"/>
          <w:szCs w:val="22"/>
        </w:rPr>
      </w:pPr>
    </w:p>
    <w:p w14:paraId="4A024282" w14:textId="77777777" w:rsidR="006D78C8" w:rsidRDefault="00937173" w:rsidP="00551DFD">
      <w:pPr>
        <w:spacing w:beforeLines="50" w:before="12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53BE4CD1" w14:textId="77777777" w:rsidR="006D78C8" w:rsidRDefault="006D78C8" w:rsidP="00551DF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4695D4BA"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0EC580"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ABBA8DA" w14:textId="77777777" w:rsidR="006D78C8" w:rsidRDefault="006D78C8" w:rsidP="004118BD">
      <w:pPr>
        <w:ind w:left="720"/>
        <w:rPr>
          <w:rFonts w:ascii="Calibri" w:eastAsia="Calibri" w:hAnsi="Calibri"/>
          <w:b/>
          <w:bCs/>
          <w:sz w:val="22"/>
          <w:szCs w:val="22"/>
        </w:rPr>
      </w:pPr>
    </w:p>
    <w:p w14:paraId="4C4975A8" w14:textId="77777777"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338C4B" w14:textId="77777777" w:rsidR="003E76BF" w:rsidRDefault="003E76BF" w:rsidP="004118BD">
      <w:pPr>
        <w:ind w:left="720"/>
        <w:rPr>
          <w:rFonts w:ascii="Calibri" w:eastAsia="Calibri" w:hAnsi="Calibri"/>
          <w:b/>
          <w:bCs/>
          <w:sz w:val="22"/>
          <w:szCs w:val="22"/>
        </w:rPr>
      </w:pPr>
    </w:p>
    <w:p w14:paraId="0999E00F"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6F354583" w14:textId="77777777" w:rsidR="0047580F" w:rsidRDefault="0047580F">
      <w:pPr>
        <w:rPr>
          <w:rFonts w:ascii="Arial" w:hAnsi="Arial"/>
          <w:b/>
          <w:i/>
          <w:sz w:val="28"/>
          <w:szCs w:val="20"/>
          <w:lang w:val="en-GB"/>
        </w:rPr>
      </w:pPr>
    </w:p>
    <w:p w14:paraId="69B896EB" w14:textId="77777777"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6982979A" w14:textId="77777777" w:rsidR="004118BD" w:rsidRDefault="004118BD">
      <w:pPr>
        <w:rPr>
          <w:rFonts w:ascii="Calibri" w:eastAsia="Calibri" w:hAnsi="Calibri"/>
          <w:sz w:val="22"/>
          <w:szCs w:val="22"/>
        </w:rPr>
      </w:pPr>
    </w:p>
    <w:p w14:paraId="51FECDCE" w14:textId="77777777" w:rsidR="004118BD" w:rsidRPr="004118BD" w:rsidRDefault="004118BD">
      <w:pPr>
        <w:rPr>
          <w:rFonts w:ascii="Calibri" w:eastAsia="Calibri" w:hAnsi="Calibri"/>
          <w:sz w:val="22"/>
          <w:szCs w:val="22"/>
        </w:rPr>
      </w:pPr>
      <w:r>
        <w:rPr>
          <w:rFonts w:ascii="Calibri" w:eastAsia="Calibri" w:hAnsi="Calibri"/>
          <w:sz w:val="22"/>
          <w:szCs w:val="22"/>
        </w:rPr>
        <w:t>Given this i</w:t>
      </w:r>
      <w:r w:rsidR="00816131">
        <w:rPr>
          <w:rFonts w:ascii="Calibri" w:eastAsia="Calibri" w:hAnsi="Calibri"/>
          <w:sz w:val="22"/>
          <w:szCs w:val="22"/>
        </w:rPr>
        <w:t>potential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372A3007" w14:textId="77777777" w:rsidR="004118BD" w:rsidRDefault="004118BD">
      <w:pPr>
        <w:rPr>
          <w:rFonts w:ascii="Arial" w:hAnsi="Arial"/>
          <w:b/>
          <w:i/>
          <w:sz w:val="28"/>
          <w:szCs w:val="20"/>
          <w:lang w:val="en-GB"/>
        </w:rPr>
      </w:pPr>
    </w:p>
    <w:p w14:paraId="68814E5D"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65790" w:rsidRPr="008040F5" w14:paraId="63B33E39" w14:textId="77777777" w:rsidTr="006D78C8">
        <w:tc>
          <w:tcPr>
            <w:tcW w:w="1696" w:type="dxa"/>
          </w:tcPr>
          <w:p w14:paraId="43A82D1D"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5D77785" w14:textId="77777777"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5610F5D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14:paraId="31F6EF50" w14:textId="77777777" w:rsidTr="006D78C8">
        <w:tc>
          <w:tcPr>
            <w:tcW w:w="1696" w:type="dxa"/>
          </w:tcPr>
          <w:p w14:paraId="6E66EEBD" w14:textId="77777777"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14:paraId="7DE1C749" w14:textId="77777777"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14:paraId="59A73AD2" w14:textId="77777777"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14:paraId="7F887B81" w14:textId="77777777"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p>
        </w:tc>
      </w:tr>
      <w:tr w:rsidR="00551DFD" w:rsidRPr="008040F5" w14:paraId="6BF27EAC" w14:textId="77777777" w:rsidTr="006D78C8">
        <w:tc>
          <w:tcPr>
            <w:tcW w:w="1696" w:type="dxa"/>
          </w:tcPr>
          <w:p w14:paraId="694795D2" w14:textId="77777777" w:rsidR="00551DFD" w:rsidRPr="00EF0778" w:rsidRDefault="00551DFD" w:rsidP="006C11EF">
            <w:pPr>
              <w:rPr>
                <w:rFonts w:ascii="Calibri" w:eastAsia="Calibri" w:hAnsi="Calibri"/>
                <w:b/>
                <w:bCs/>
                <w:sz w:val="22"/>
                <w:szCs w:val="22"/>
              </w:rPr>
            </w:pPr>
            <w:r>
              <w:rPr>
                <w:rFonts w:ascii="Calibri" w:eastAsia="Calibri" w:hAnsi="Calibri"/>
                <w:b/>
                <w:bCs/>
                <w:sz w:val="22"/>
                <w:szCs w:val="22"/>
              </w:rPr>
              <w:t>ZTE, Sanechips</w:t>
            </w:r>
          </w:p>
        </w:tc>
        <w:tc>
          <w:tcPr>
            <w:tcW w:w="2265" w:type="dxa"/>
          </w:tcPr>
          <w:p w14:paraId="7A4B773F"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Neither is perfect. RAN1 does not seem to be asked by RAN2 the difference </w:t>
            </w:r>
            <w:r>
              <w:rPr>
                <w:rFonts w:ascii="Calibri" w:eastAsia="Calibri" w:hAnsi="Calibri"/>
                <w:b/>
                <w:bCs/>
                <w:sz w:val="22"/>
                <w:szCs w:val="22"/>
              </w:rPr>
              <w:lastRenderedPageBreak/>
              <w:t xml:space="preserve">between Alt1 and Alt2. </w:t>
            </w:r>
          </w:p>
        </w:tc>
        <w:tc>
          <w:tcPr>
            <w:tcW w:w="6109" w:type="dxa"/>
          </w:tcPr>
          <w:p w14:paraId="3C2AA38C" w14:textId="77777777" w:rsidR="00551DFD" w:rsidRDefault="00551DFD" w:rsidP="006C11EF">
            <w:pPr>
              <w:rPr>
                <w:rFonts w:ascii="Calibri" w:eastAsia="Calibri" w:hAnsi="Calibri"/>
                <w:b/>
                <w:bCs/>
                <w:sz w:val="22"/>
                <w:szCs w:val="22"/>
              </w:rPr>
            </w:pPr>
            <w:r>
              <w:rPr>
                <w:rFonts w:ascii="Calibri" w:eastAsia="Calibri" w:hAnsi="Calibri"/>
                <w:b/>
                <w:bCs/>
                <w:sz w:val="22"/>
                <w:szCs w:val="22"/>
              </w:rPr>
              <w:lastRenderedPageBreak/>
              <w:t>The Alt-2 indeed has the issue as what Huawei commented in the preparation phase. However, Alt-1 may have different issue. RAN1 agreed following in #98bis and RAN1 #99:</w:t>
            </w:r>
          </w:p>
          <w:p w14:paraId="4AD10ED8" w14:textId="77777777" w:rsidR="00551DFD" w:rsidRPr="002F3EFE" w:rsidRDefault="00551DFD" w:rsidP="006C11EF">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14:paraId="51335E44" w14:textId="77777777" w:rsidR="00551DFD" w:rsidRPr="002F3EFE" w:rsidRDefault="00551DFD" w:rsidP="006C11EF">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lastRenderedPageBreak/>
              <w:t>[RAN1 #98bis]</w:t>
            </w:r>
            <w:r w:rsidRPr="002F3EFE">
              <w:rPr>
                <w:rFonts w:eastAsia="Times New Roman" w:cs="Times New Roman"/>
                <w:i/>
                <w:sz w:val="18"/>
                <w:szCs w:val="18"/>
                <w:lang w:val="en-US" w:eastAsia="en-US"/>
              </w:rPr>
              <w:t>The donor CU and the parent node can be made aware of the multiplexing capability between MT and DU (TDM required, TDM not required) of an IAB node to for any {MT CC, DU cell} pair.</w:t>
            </w:r>
            <w:r>
              <w:rPr>
                <w:rFonts w:eastAsia="Times New Roman" w:cs="Times New Roman"/>
                <w:i/>
                <w:sz w:val="18"/>
                <w:szCs w:val="18"/>
                <w:lang w:val="en-US" w:eastAsia="en-US"/>
              </w:rPr>
              <w:t xml:space="preserve"> </w:t>
            </w:r>
          </w:p>
          <w:p w14:paraId="3AB442D3" w14:textId="77777777" w:rsidR="00551DFD" w:rsidRPr="002F3EFE" w:rsidRDefault="00551DFD" w:rsidP="008F19A4">
            <w:pPr>
              <w:pStyle w:val="maintext"/>
              <w:numPr>
                <w:ilvl w:val="0"/>
                <w:numId w:val="22"/>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14:paraId="3074769D" w14:textId="77777777" w:rsidR="00551DFD" w:rsidRPr="002F3EFE" w:rsidRDefault="00551DFD" w:rsidP="006C11EF">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14:paraId="7EF73654"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14:paraId="6CEC37CA"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14:paraId="3D252337"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14:paraId="54C4BEEF"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14:paraId="1ADDBB61" w14:textId="77777777" w:rsidR="00551DFD" w:rsidRDefault="00551DFD" w:rsidP="006C11EF">
            <w:pPr>
              <w:rPr>
                <w:b/>
                <w:bCs/>
              </w:rPr>
            </w:pPr>
            <w:r w:rsidRPr="002F3EFE">
              <w:rPr>
                <w:i/>
                <w:sz w:val="18"/>
                <w:szCs w:val="18"/>
              </w:rPr>
              <w:t>Note: This agreement does not require any additional specification impact in RAN1 in Rel-16, i.e. in Rel-16 the behaviour of the IAB node is only defined for TDM cases. The behaviour for no-TDM is left to IAB-node/network implementation in Rel-16.</w:t>
            </w:r>
          </w:p>
          <w:p w14:paraId="476A48F0"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 Alt-1 actually, by saying “all transitions”, means that the guard symbol is still present in case the transition falls into “no-TDM capability” category. However, as RAN1 agreed, any behavior relating to “no-TDM” is not specified in Rel-16. People may also not want to sacrifice performance by inserting unnecessary guard symbols. But on the other hand, as commented by Huawei for Alt-2, the parent node would not know whether the child node chooses a “TDM capable” DU or “no-TDM capable” DU at a moment. This seems to need more RAN1 discussion which somehow touches the thing out of Rel-16 scope. It is our preference NOT to make any spec footprint or even RAN1 agreement upon this issue. </w:t>
            </w:r>
          </w:p>
          <w:p w14:paraId="537CEAB7"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Meanwhile, the LS from RAN2 does not ask questions for DU-cell, but only asks questions for MT-cell (i.e., the guard symbol to be applied per single MT cell vs. all MT cells in a cell group). If RAN1 has the worry that the parent node may lack knowledge of child node behaviors relating to child DU cell, why should RAN1 include the relation with child DU-cell in the reply LS and propagate that uncertainty into RAN2? </w:t>
            </w:r>
          </w:p>
          <w:p w14:paraId="7A454BEA"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Therefore, the reply LS in our preference could include the following only, without mentioning DU cell: </w:t>
            </w:r>
          </w:p>
          <w:p w14:paraId="4F7E3D41"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    </w:t>
            </w:r>
          </w:p>
          <w:p w14:paraId="3900BA29" w14:textId="77777777" w:rsidR="00551DFD" w:rsidRPr="00196DD8" w:rsidRDefault="00551DFD" w:rsidP="006C11EF">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r w:rsidR="00F22CE3" w:rsidRPr="008040F5" w14:paraId="1FF3C626" w14:textId="77777777" w:rsidTr="006D78C8">
        <w:tc>
          <w:tcPr>
            <w:tcW w:w="1696" w:type="dxa"/>
          </w:tcPr>
          <w:p w14:paraId="50F28D23" w14:textId="77777777" w:rsidR="00F22CE3" w:rsidRDefault="00F22CE3" w:rsidP="006C11EF">
            <w:pPr>
              <w:rPr>
                <w:rFonts w:ascii="Calibri" w:eastAsia="Calibri" w:hAnsi="Calibri"/>
                <w:b/>
                <w:bCs/>
                <w:sz w:val="22"/>
                <w:szCs w:val="22"/>
              </w:rPr>
            </w:pPr>
            <w:r>
              <w:rPr>
                <w:rFonts w:ascii="Calibri" w:eastAsia="Calibri" w:hAnsi="Calibri"/>
                <w:b/>
                <w:bCs/>
                <w:sz w:val="22"/>
                <w:szCs w:val="22"/>
              </w:rPr>
              <w:lastRenderedPageBreak/>
              <w:t>Nokia</w:t>
            </w:r>
          </w:p>
        </w:tc>
        <w:tc>
          <w:tcPr>
            <w:tcW w:w="2265" w:type="dxa"/>
          </w:tcPr>
          <w:p w14:paraId="51F34C07" w14:textId="77777777" w:rsidR="009E6BEB" w:rsidRDefault="009E6BEB" w:rsidP="006C11EF">
            <w:pPr>
              <w:rPr>
                <w:rFonts w:ascii="Calibri" w:eastAsia="Calibri" w:hAnsi="Calibri"/>
                <w:b/>
                <w:bCs/>
                <w:sz w:val="22"/>
                <w:szCs w:val="22"/>
              </w:rPr>
            </w:pPr>
            <w:r>
              <w:rPr>
                <w:rFonts w:ascii="Calibri" w:eastAsia="Calibri" w:hAnsi="Calibri"/>
                <w:b/>
                <w:bCs/>
                <w:sz w:val="22"/>
                <w:szCs w:val="22"/>
              </w:rPr>
              <w:t>Based on Alt.2.</w:t>
            </w:r>
          </w:p>
          <w:p w14:paraId="75872345" w14:textId="49BF7B8A" w:rsidR="00F22CE3" w:rsidRDefault="009E6BEB" w:rsidP="006C11EF">
            <w:pPr>
              <w:rPr>
                <w:rFonts w:ascii="Calibri" w:eastAsia="Calibri" w:hAnsi="Calibri"/>
                <w:b/>
                <w:bCs/>
                <w:sz w:val="22"/>
                <w:szCs w:val="22"/>
              </w:rPr>
            </w:pPr>
            <w:r>
              <w:rPr>
                <w:rFonts w:ascii="Calibri" w:eastAsia="Calibri" w:hAnsi="Calibri"/>
                <w:b/>
                <w:bCs/>
                <w:sz w:val="22"/>
                <w:szCs w:val="22"/>
              </w:rPr>
              <w:t xml:space="preserve">  </w:t>
            </w:r>
          </w:p>
          <w:p w14:paraId="041D4CEA" w14:textId="1FC45361" w:rsidR="009E6BEB" w:rsidRDefault="009E6BEB" w:rsidP="006C11EF">
            <w:pPr>
              <w:rPr>
                <w:rFonts w:ascii="Calibri" w:eastAsia="Calibri" w:hAnsi="Calibri"/>
                <w:b/>
                <w:bCs/>
                <w:sz w:val="22"/>
                <w:szCs w:val="22"/>
              </w:rPr>
            </w:pPr>
            <w:r>
              <w:rPr>
                <w:rFonts w:ascii="Calibri" w:eastAsia="Calibri" w:hAnsi="Calibri"/>
                <w:b/>
                <w:bCs/>
                <w:sz w:val="22"/>
                <w:szCs w:val="22"/>
              </w:rPr>
              <w:t>The Number of Guard Symbols can be indicated and applied for a specific (MT cell)</w:t>
            </w:r>
          </w:p>
        </w:tc>
        <w:tc>
          <w:tcPr>
            <w:tcW w:w="6109" w:type="dxa"/>
          </w:tcPr>
          <w:p w14:paraId="33605A41" w14:textId="3D6CEBCE" w:rsidR="00F22CE3" w:rsidRPr="00F22CE3" w:rsidRDefault="00F22CE3" w:rsidP="006C11EF">
            <w:pPr>
              <w:rPr>
                <w:rFonts w:ascii="Calibri" w:eastAsia="Calibri" w:hAnsi="Calibri"/>
                <w:sz w:val="22"/>
                <w:szCs w:val="22"/>
              </w:rPr>
            </w:pPr>
            <w:r w:rsidRPr="00F22CE3">
              <w:rPr>
                <w:rFonts w:ascii="Calibri" w:eastAsia="Calibri" w:hAnsi="Calibri"/>
                <w:sz w:val="22"/>
                <w:szCs w:val="22"/>
              </w:rPr>
              <w:t xml:space="preserve">First, </w:t>
            </w:r>
            <w:r>
              <w:rPr>
                <w:rFonts w:ascii="Calibri" w:eastAsia="Calibri" w:hAnsi="Calibri"/>
                <w:sz w:val="22"/>
                <w:szCs w:val="22"/>
              </w:rPr>
              <w:t>Alt.2</w:t>
            </w:r>
            <w:r w:rsidRPr="00F22CE3">
              <w:rPr>
                <w:rFonts w:ascii="Calibri" w:eastAsia="Calibri" w:hAnsi="Calibri"/>
                <w:sz w:val="22"/>
                <w:szCs w:val="22"/>
              </w:rPr>
              <w:t xml:space="preserve"> align</w:t>
            </w:r>
            <w:r>
              <w:rPr>
                <w:rFonts w:ascii="Calibri" w:eastAsia="Calibri" w:hAnsi="Calibri"/>
                <w:sz w:val="22"/>
                <w:szCs w:val="22"/>
              </w:rPr>
              <w:t xml:space="preserve"> </w:t>
            </w:r>
            <w:r w:rsidRPr="00F22CE3">
              <w:rPr>
                <w:rFonts w:ascii="Calibri" w:eastAsia="Calibri" w:hAnsi="Calibri"/>
                <w:sz w:val="22"/>
                <w:szCs w:val="22"/>
              </w:rPr>
              <w:t xml:space="preserve">with </w:t>
            </w:r>
            <w:r>
              <w:rPr>
                <w:rFonts w:ascii="Calibri" w:eastAsia="Calibri" w:hAnsi="Calibri"/>
                <w:sz w:val="22"/>
                <w:szCs w:val="22"/>
              </w:rPr>
              <w:t xml:space="preserve">the </w:t>
            </w:r>
            <w:r w:rsidRPr="00F22CE3">
              <w:rPr>
                <w:rFonts w:ascii="Calibri" w:eastAsia="Calibri" w:hAnsi="Calibri"/>
                <w:sz w:val="22"/>
                <w:szCs w:val="22"/>
              </w:rPr>
              <w:t xml:space="preserve">Ran1 agreement. </w:t>
            </w:r>
          </w:p>
          <w:p w14:paraId="764C0E6F" w14:textId="081D0FA8" w:rsidR="00F22CE3" w:rsidRDefault="00F22CE3" w:rsidP="006C11EF">
            <w:pPr>
              <w:rPr>
                <w:rFonts w:ascii="Calibri" w:eastAsia="Calibri" w:hAnsi="Calibri"/>
                <w:b/>
                <w:bCs/>
                <w:sz w:val="22"/>
                <w:szCs w:val="22"/>
              </w:rPr>
            </w:pPr>
            <w:r w:rsidRPr="00F22CE3">
              <w:rPr>
                <w:rFonts w:ascii="Calibri" w:eastAsia="Calibri" w:hAnsi="Calibri"/>
                <w:sz w:val="22"/>
                <w:szCs w:val="22"/>
              </w:rPr>
              <w:t xml:space="preserve">Second, (MT cell, DU cell) pair was mentioned in many places as highlighted by ZTE. </w:t>
            </w:r>
            <w:r>
              <w:rPr>
                <w:rFonts w:ascii="Calibri" w:eastAsia="Calibri" w:hAnsi="Calibri"/>
                <w:sz w:val="22"/>
                <w:szCs w:val="22"/>
              </w:rPr>
              <w:t>O</w:t>
            </w:r>
            <w:r w:rsidRPr="00F22CE3">
              <w:rPr>
                <w:rFonts w:ascii="Calibri" w:eastAsia="Calibri" w:hAnsi="Calibri"/>
                <w:sz w:val="22"/>
                <w:szCs w:val="22"/>
              </w:rPr>
              <w:t xml:space="preserve">ur understanding is that </w:t>
            </w:r>
            <w:r>
              <w:rPr>
                <w:rFonts w:ascii="Calibri" w:eastAsia="Calibri" w:hAnsi="Calibri"/>
                <w:sz w:val="22"/>
                <w:szCs w:val="22"/>
              </w:rPr>
              <w:t>“MT cell”</w:t>
            </w:r>
            <w:r w:rsidRPr="00F22CE3">
              <w:rPr>
                <w:rFonts w:ascii="Calibri" w:eastAsia="Calibri" w:hAnsi="Calibri"/>
                <w:sz w:val="22"/>
                <w:szCs w:val="22"/>
              </w:rPr>
              <w:t xml:space="preserve"> </w:t>
            </w:r>
            <w:r>
              <w:rPr>
                <w:rFonts w:ascii="Calibri" w:eastAsia="Calibri" w:hAnsi="Calibri"/>
                <w:sz w:val="22"/>
                <w:szCs w:val="22"/>
              </w:rPr>
              <w:t xml:space="preserve">refers to a </w:t>
            </w:r>
            <w:r w:rsidRPr="00F22CE3">
              <w:rPr>
                <w:rFonts w:ascii="Calibri" w:eastAsia="Calibri" w:hAnsi="Calibri"/>
                <w:sz w:val="22"/>
                <w:szCs w:val="22"/>
              </w:rPr>
              <w:t>serving cell configured for the MT</w:t>
            </w:r>
            <w:r>
              <w:rPr>
                <w:rFonts w:ascii="Calibri" w:eastAsia="Calibri" w:hAnsi="Calibri"/>
                <w:sz w:val="22"/>
                <w:szCs w:val="22"/>
              </w:rPr>
              <w:t xml:space="preserve"> by the parent DU</w:t>
            </w:r>
            <w:r w:rsidRPr="00F22CE3">
              <w:rPr>
                <w:rFonts w:ascii="Calibri" w:eastAsia="Calibri" w:hAnsi="Calibri"/>
                <w:sz w:val="22"/>
                <w:szCs w:val="22"/>
              </w:rPr>
              <w:t>, and</w:t>
            </w:r>
            <w:r>
              <w:rPr>
                <w:rFonts w:ascii="Calibri" w:eastAsia="Calibri" w:hAnsi="Calibri"/>
                <w:sz w:val="22"/>
                <w:szCs w:val="22"/>
              </w:rPr>
              <w:t xml:space="preserve"> the (MT cell, DU cell) pair may refer to a</w:t>
            </w:r>
            <w:r w:rsidRPr="00F22CE3">
              <w:rPr>
                <w:rFonts w:ascii="Calibri" w:eastAsia="Calibri" w:hAnsi="Calibri"/>
                <w:sz w:val="22"/>
                <w:szCs w:val="22"/>
              </w:rPr>
              <w:t xml:space="preserve"> matching DU cell that uses </w:t>
            </w:r>
            <w:r>
              <w:rPr>
                <w:rFonts w:ascii="Calibri" w:eastAsia="Calibri" w:hAnsi="Calibri"/>
                <w:sz w:val="22"/>
                <w:szCs w:val="22"/>
              </w:rPr>
              <w:t xml:space="preserve">the </w:t>
            </w:r>
            <w:r w:rsidRPr="00F22CE3">
              <w:rPr>
                <w:rFonts w:ascii="Calibri" w:eastAsia="Calibri" w:hAnsi="Calibri"/>
                <w:sz w:val="22"/>
                <w:szCs w:val="22"/>
              </w:rPr>
              <w:t>same frequency and time resources.</w:t>
            </w:r>
            <w:r>
              <w:rPr>
                <w:rFonts w:ascii="Calibri" w:eastAsia="Calibri" w:hAnsi="Calibri"/>
                <w:b/>
                <w:bCs/>
                <w:sz w:val="22"/>
                <w:szCs w:val="22"/>
              </w:rPr>
              <w:t xml:space="preserve"> </w:t>
            </w:r>
          </w:p>
          <w:p w14:paraId="731C4E46" w14:textId="35F2628F" w:rsidR="00F22CE3" w:rsidRPr="00F22CE3" w:rsidRDefault="00F22CE3" w:rsidP="006C11EF">
            <w:pPr>
              <w:rPr>
                <w:rFonts w:ascii="Calibri" w:eastAsia="Calibri" w:hAnsi="Calibri"/>
                <w:b/>
                <w:bCs/>
                <w:sz w:val="22"/>
                <w:szCs w:val="22"/>
              </w:rPr>
            </w:pPr>
            <w:r>
              <w:rPr>
                <w:rFonts w:ascii="Calibri" w:eastAsia="Calibri" w:hAnsi="Calibri"/>
                <w:sz w:val="22"/>
                <w:szCs w:val="22"/>
              </w:rPr>
              <w:t>As this is more on using the same resources, t</w:t>
            </w:r>
            <w:r w:rsidRPr="00F22CE3">
              <w:rPr>
                <w:rFonts w:ascii="Calibri" w:eastAsia="Calibri" w:hAnsi="Calibri"/>
                <w:sz w:val="22"/>
                <w:szCs w:val="22"/>
              </w:rPr>
              <w:t xml:space="preserve">he parent does not have to </w:t>
            </w:r>
            <w:r>
              <w:rPr>
                <w:rFonts w:ascii="Calibri" w:eastAsia="Calibri" w:hAnsi="Calibri"/>
                <w:sz w:val="22"/>
                <w:szCs w:val="22"/>
              </w:rPr>
              <w:t>worry about</w:t>
            </w:r>
            <w:r w:rsidRPr="00F22CE3">
              <w:rPr>
                <w:rFonts w:ascii="Calibri" w:eastAsia="Calibri" w:hAnsi="Calibri"/>
                <w:sz w:val="22"/>
                <w:szCs w:val="22"/>
              </w:rPr>
              <w:t xml:space="preserve"> which DU cell(s) overlaps with the serving cell configured for the IAB MT</w:t>
            </w:r>
            <w:r>
              <w:rPr>
                <w:rFonts w:ascii="Calibri" w:eastAsia="Calibri" w:hAnsi="Calibri"/>
                <w:sz w:val="22"/>
                <w:szCs w:val="22"/>
              </w:rPr>
              <w:t>. W</w:t>
            </w:r>
            <w:r w:rsidRPr="00F22CE3">
              <w:rPr>
                <w:rFonts w:ascii="Calibri" w:eastAsia="Calibri" w:hAnsi="Calibri"/>
                <w:sz w:val="22"/>
                <w:szCs w:val="22"/>
              </w:rPr>
              <w:t>hat matters is the assumption of using the same resources</w:t>
            </w:r>
            <w:r>
              <w:rPr>
                <w:rFonts w:ascii="Calibri" w:eastAsia="Calibri" w:hAnsi="Calibri"/>
                <w:sz w:val="22"/>
                <w:szCs w:val="22"/>
              </w:rPr>
              <w:t>,</w:t>
            </w:r>
            <w:r w:rsidRPr="00F22CE3">
              <w:rPr>
                <w:rFonts w:ascii="Calibri" w:eastAsia="Calibri" w:hAnsi="Calibri"/>
                <w:sz w:val="22"/>
                <w:szCs w:val="22"/>
              </w:rPr>
              <w:t xml:space="preserve"> and TDM constraint shall be satisfied. </w:t>
            </w:r>
            <w:r w:rsidRPr="00F22CE3">
              <w:rPr>
                <w:rFonts w:ascii="Calibri" w:eastAsia="Calibri" w:hAnsi="Calibri"/>
                <w:sz w:val="22"/>
                <w:szCs w:val="22"/>
              </w:rPr>
              <w:lastRenderedPageBreak/>
              <w:t xml:space="preserve">For that, it is more than enough to indicate the guard symbols per MT cell. </w:t>
            </w:r>
          </w:p>
        </w:tc>
      </w:tr>
      <w:tr w:rsidR="003E3C95" w:rsidRPr="008040F5" w14:paraId="0E89CD81" w14:textId="77777777" w:rsidTr="006D78C8">
        <w:tc>
          <w:tcPr>
            <w:tcW w:w="1696" w:type="dxa"/>
          </w:tcPr>
          <w:p w14:paraId="5D5036D1" w14:textId="0D47E373"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C</w:t>
            </w:r>
            <w:r>
              <w:rPr>
                <w:rFonts w:ascii="Calibri" w:eastAsiaTheme="minorEastAsia" w:hAnsi="Calibri"/>
                <w:b/>
                <w:bCs/>
                <w:sz w:val="22"/>
                <w:szCs w:val="22"/>
                <w:lang w:eastAsia="zh-CN"/>
              </w:rPr>
              <w:t>MCC</w:t>
            </w:r>
          </w:p>
        </w:tc>
        <w:tc>
          <w:tcPr>
            <w:tcW w:w="2265" w:type="dxa"/>
          </w:tcPr>
          <w:p w14:paraId="6953CCAF" w14:textId="7506C98A"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4EE050D5" w14:textId="71FF1BD8" w:rsidR="003E3C95" w:rsidRPr="004103E1" w:rsidRDefault="004103E1" w:rsidP="006C11EF">
            <w:pPr>
              <w:rPr>
                <w:rFonts w:ascii="Calibri" w:eastAsiaTheme="minorEastAsia" w:hAnsi="Calibri"/>
                <w:sz w:val="22"/>
                <w:szCs w:val="22"/>
                <w:lang w:eastAsia="zh-CN"/>
              </w:rPr>
            </w:pPr>
            <w:r>
              <w:rPr>
                <w:rFonts w:ascii="Calibri" w:eastAsiaTheme="minorEastAsia" w:hAnsi="Calibri"/>
                <w:sz w:val="22"/>
                <w:szCs w:val="22"/>
                <w:lang w:eastAsia="zh-CN"/>
              </w:rPr>
              <w:t>Alt 1 no doubt works, and it aligns with the original RAN1 agreements.</w:t>
            </w:r>
          </w:p>
        </w:tc>
      </w:tr>
      <w:tr w:rsidR="007C340A" w:rsidRPr="008040F5" w14:paraId="3C19F955" w14:textId="77777777" w:rsidTr="006D78C8">
        <w:tc>
          <w:tcPr>
            <w:tcW w:w="1696" w:type="dxa"/>
          </w:tcPr>
          <w:p w14:paraId="71AAFC59" w14:textId="419D00E0" w:rsidR="007C340A" w:rsidRDefault="007C340A" w:rsidP="007C340A">
            <w:pPr>
              <w:rPr>
                <w:rFonts w:ascii="Calibri" w:eastAsiaTheme="minorEastAsia" w:hAnsi="Calibri"/>
                <w:b/>
                <w:bCs/>
                <w:sz w:val="22"/>
                <w:szCs w:val="22"/>
                <w:lang w:eastAsia="zh-CN"/>
              </w:rPr>
            </w:pPr>
            <w:r w:rsidRPr="0079133E">
              <w:rPr>
                <w:rFonts w:ascii="Calibri" w:eastAsia="Calibri" w:hAnsi="Calibri"/>
                <w:bCs/>
                <w:sz w:val="22"/>
                <w:szCs w:val="22"/>
              </w:rPr>
              <w:t>NTT DOCOMO</w:t>
            </w:r>
          </w:p>
        </w:tc>
        <w:tc>
          <w:tcPr>
            <w:tcW w:w="2265" w:type="dxa"/>
          </w:tcPr>
          <w:p w14:paraId="479FE29C" w14:textId="3F37625F" w:rsidR="007C340A" w:rsidRDefault="007C340A" w:rsidP="007C340A">
            <w:pPr>
              <w:rPr>
                <w:rFonts w:ascii="Calibri" w:eastAsiaTheme="minorEastAsia" w:hAnsi="Calibri"/>
                <w:b/>
                <w:bCs/>
                <w:sz w:val="22"/>
                <w:szCs w:val="22"/>
                <w:lang w:eastAsia="zh-CN"/>
              </w:rPr>
            </w:pPr>
            <w:r w:rsidRPr="0079133E">
              <w:rPr>
                <w:rFonts w:ascii="Calibri" w:eastAsia="Yu Mincho" w:hAnsi="Calibri" w:hint="eastAsia"/>
                <w:bCs/>
                <w:sz w:val="22"/>
                <w:szCs w:val="22"/>
                <w:lang w:eastAsia="ja-JP"/>
              </w:rPr>
              <w:t>Yes</w:t>
            </w:r>
          </w:p>
        </w:tc>
        <w:tc>
          <w:tcPr>
            <w:tcW w:w="6109" w:type="dxa"/>
          </w:tcPr>
          <w:p w14:paraId="5BC55350" w14:textId="4AC5BDEA" w:rsidR="007C340A" w:rsidRDefault="007C340A" w:rsidP="007C340A">
            <w:pPr>
              <w:rPr>
                <w:rFonts w:ascii="Calibri" w:eastAsiaTheme="minorEastAsia" w:hAnsi="Calibri"/>
                <w:sz w:val="22"/>
                <w:szCs w:val="22"/>
                <w:lang w:eastAsia="zh-CN"/>
              </w:rPr>
            </w:pPr>
            <w:r>
              <w:rPr>
                <w:rFonts w:ascii="Calibri" w:eastAsia="Yu Mincho" w:hAnsi="Calibri"/>
                <w:sz w:val="22"/>
                <w:szCs w:val="22"/>
                <w:lang w:eastAsia="ja-JP"/>
              </w:rPr>
              <w:t>RAN1 may have the consensus that</w:t>
            </w:r>
            <w:r>
              <w:rPr>
                <w:rFonts w:ascii="Calibri" w:eastAsia="Yu Mincho" w:hAnsi="Calibri" w:hint="eastAsia"/>
                <w:sz w:val="22"/>
                <w:szCs w:val="22"/>
                <w:lang w:eastAsia="ja-JP"/>
              </w:rPr>
              <w:t xml:space="preserve"> </w:t>
            </w:r>
            <w:r>
              <w:rPr>
                <w:rFonts w:ascii="Calibri" w:eastAsia="Yu Mincho" w:hAnsi="Calibri"/>
                <w:sz w:val="22"/>
                <w:szCs w:val="22"/>
                <w:lang w:eastAsia="ja-JP"/>
              </w:rPr>
              <w:t>the answer to RAN2 question is “specific cell”, so we are also fine to answer this point only as ZTE mentioned. It seems that the discussion between Alt.1 and Alt.2 seems an implementation/behavior for a parent node, since a parent node can select the gap based on Alt.2 (specific MT-DU pair) or not, and it may indicate the gap for the all DUs (as in Alt.1) and the gap may be necessary for only specific DU (e.g. the DU resource is H).</w:t>
            </w:r>
          </w:p>
        </w:tc>
      </w:tr>
      <w:tr w:rsidR="00A20FBE" w:rsidRPr="008040F5" w14:paraId="2C428BBF" w14:textId="77777777" w:rsidTr="006D78C8">
        <w:tc>
          <w:tcPr>
            <w:tcW w:w="1696" w:type="dxa"/>
          </w:tcPr>
          <w:p w14:paraId="30FDF421" w14:textId="46A06742" w:rsidR="00A20FBE" w:rsidRPr="00A20FBE" w:rsidRDefault="00A20FBE" w:rsidP="007C340A">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198B6544" w14:textId="36498263" w:rsidR="00A20FBE" w:rsidRPr="0079133E" w:rsidRDefault="00A20FBE" w:rsidP="007C340A">
            <w:pPr>
              <w:rPr>
                <w:rFonts w:ascii="Calibri" w:eastAsia="Yu Mincho" w:hAnsi="Calibri"/>
                <w:bCs/>
                <w:sz w:val="22"/>
                <w:szCs w:val="22"/>
                <w:lang w:eastAsia="ja-JP"/>
              </w:rPr>
            </w:pPr>
            <w:r w:rsidRPr="00A20FBE">
              <w:rPr>
                <w:rFonts w:ascii="Calibri" w:eastAsiaTheme="minorEastAsia" w:hAnsi="Calibri"/>
                <w:b/>
                <w:bCs/>
                <w:sz w:val="22"/>
                <w:szCs w:val="22"/>
                <w:lang w:eastAsia="zh-CN"/>
              </w:rPr>
              <w:t>Y</w:t>
            </w:r>
            <w:r w:rsidRPr="00A20FBE">
              <w:rPr>
                <w:rFonts w:ascii="Calibri" w:eastAsiaTheme="minorEastAsia" w:hAnsi="Calibri" w:hint="eastAsia"/>
                <w:b/>
                <w:bCs/>
                <w:sz w:val="22"/>
                <w:szCs w:val="22"/>
                <w:lang w:eastAsia="zh-CN"/>
              </w:rPr>
              <w:t>es</w:t>
            </w:r>
            <w:r w:rsidR="002D6D3C">
              <w:rPr>
                <w:rFonts w:ascii="Calibri" w:eastAsiaTheme="minorEastAsia" w:hAnsi="Calibri"/>
                <w:b/>
                <w:bCs/>
                <w:sz w:val="22"/>
                <w:szCs w:val="22"/>
                <w:lang w:eastAsia="zh-CN"/>
              </w:rPr>
              <w:t xml:space="preserve"> </w:t>
            </w:r>
          </w:p>
        </w:tc>
        <w:tc>
          <w:tcPr>
            <w:tcW w:w="6109" w:type="dxa"/>
          </w:tcPr>
          <w:p w14:paraId="6754083F" w14:textId="33501AA9" w:rsidR="00A20FBE" w:rsidRDefault="00173E8B" w:rsidP="007C340A">
            <w:pPr>
              <w:rPr>
                <w:rFonts w:ascii="Calibri" w:eastAsia="Yu Mincho" w:hAnsi="Calibri"/>
                <w:sz w:val="22"/>
                <w:szCs w:val="22"/>
                <w:lang w:eastAsia="ja-JP"/>
              </w:rPr>
            </w:pPr>
            <w:r>
              <w:rPr>
                <w:rFonts w:ascii="Calibri" w:eastAsia="Yu Mincho" w:hAnsi="Calibri"/>
                <w:sz w:val="22"/>
                <w:szCs w:val="22"/>
                <w:lang w:eastAsia="ja-JP"/>
              </w:rPr>
              <w:t>W</w:t>
            </w:r>
            <w:r w:rsidR="002D6D3C" w:rsidRPr="002D6D3C">
              <w:rPr>
                <w:rFonts w:ascii="Calibri" w:eastAsia="Yu Mincho" w:hAnsi="Calibri"/>
                <w:sz w:val="22"/>
                <w:szCs w:val="22"/>
                <w:lang w:eastAsia="ja-JP"/>
              </w:rPr>
              <w:t xml:space="preserve">e </w:t>
            </w:r>
            <w:r w:rsidR="002D6D3C">
              <w:rPr>
                <w:rFonts w:ascii="Calibri" w:eastAsia="Yu Mincho" w:hAnsi="Calibri"/>
                <w:sz w:val="22"/>
                <w:szCs w:val="22"/>
                <w:lang w:eastAsia="ja-JP"/>
              </w:rPr>
              <w:t xml:space="preserve">are fine with </w:t>
            </w:r>
            <w:r w:rsidR="0037722F">
              <w:rPr>
                <w:rFonts w:ascii="Calibri" w:eastAsia="Yu Mincho" w:hAnsi="Calibri"/>
                <w:sz w:val="22"/>
                <w:szCs w:val="22"/>
                <w:lang w:eastAsia="ja-JP"/>
              </w:rPr>
              <w:t>proposed</w:t>
            </w:r>
            <w:r w:rsidR="002D6D3C">
              <w:rPr>
                <w:rFonts w:ascii="Calibri" w:eastAsia="Yu Mincho" w:hAnsi="Calibri"/>
                <w:sz w:val="22"/>
                <w:szCs w:val="22"/>
                <w:lang w:eastAsia="ja-JP"/>
              </w:rPr>
              <w:t xml:space="preserve"> </w:t>
            </w:r>
            <w:r>
              <w:rPr>
                <w:rFonts w:ascii="Calibri" w:eastAsia="Yu Mincho" w:hAnsi="Calibri"/>
                <w:sz w:val="22"/>
                <w:szCs w:val="22"/>
                <w:lang w:eastAsia="ja-JP"/>
              </w:rPr>
              <w:t>response</w:t>
            </w:r>
            <w:r w:rsidR="002D6D3C">
              <w:rPr>
                <w:rFonts w:ascii="Calibri" w:eastAsia="Yu Mincho" w:hAnsi="Calibri"/>
                <w:sz w:val="22"/>
                <w:szCs w:val="22"/>
                <w:lang w:eastAsia="ja-JP"/>
              </w:rPr>
              <w:t xml:space="preserve"> </w:t>
            </w:r>
            <w:r>
              <w:rPr>
                <w:rFonts w:ascii="Calibri" w:eastAsia="Yu Mincho" w:hAnsi="Calibri"/>
                <w:sz w:val="22"/>
                <w:szCs w:val="22"/>
                <w:lang w:eastAsia="ja-JP"/>
              </w:rPr>
              <w:t xml:space="preserve">to RAN2 </w:t>
            </w:r>
            <w:r w:rsidR="002D6D3C">
              <w:rPr>
                <w:rFonts w:ascii="Calibri" w:eastAsia="Yu Mincho" w:hAnsi="Calibri"/>
                <w:sz w:val="22"/>
                <w:szCs w:val="22"/>
                <w:lang w:eastAsia="ja-JP"/>
              </w:rPr>
              <w:t xml:space="preserve">from ZTE and Nokia. </w:t>
            </w:r>
          </w:p>
          <w:p w14:paraId="1DCD41CA" w14:textId="77777777" w:rsidR="00173E8B" w:rsidRDefault="00173E8B" w:rsidP="007C340A">
            <w:pPr>
              <w:rPr>
                <w:rFonts w:ascii="Calibri" w:eastAsia="Yu Mincho" w:hAnsi="Calibri"/>
                <w:sz w:val="22"/>
                <w:szCs w:val="22"/>
                <w:lang w:eastAsia="ja-JP"/>
              </w:rPr>
            </w:pPr>
          </w:p>
          <w:p w14:paraId="25AF6063" w14:textId="62A43771" w:rsidR="0037722F" w:rsidRDefault="0037722F" w:rsidP="007C340A">
            <w:pPr>
              <w:rPr>
                <w:rFonts w:ascii="Calibri" w:eastAsia="Yu Mincho" w:hAnsi="Calibri"/>
                <w:sz w:val="22"/>
                <w:szCs w:val="22"/>
                <w:lang w:eastAsia="ja-JP"/>
              </w:rPr>
            </w:pPr>
            <w:r>
              <w:rPr>
                <w:rFonts w:ascii="Calibri" w:eastAsia="Yu Mincho" w:hAnsi="Calibri"/>
                <w:sz w:val="22"/>
                <w:szCs w:val="22"/>
                <w:lang w:eastAsia="ja-JP"/>
              </w:rPr>
              <w:t>From RAN1 point of view</w:t>
            </w:r>
            <w:r w:rsidR="00C201C0">
              <w:rPr>
                <w:rFonts w:ascii="Calibri" w:eastAsia="Yu Mincho" w:hAnsi="Calibri"/>
                <w:sz w:val="22"/>
                <w:szCs w:val="22"/>
                <w:lang w:eastAsia="ja-JP"/>
              </w:rPr>
              <w:t>, we could check whether the following can be agreed</w:t>
            </w:r>
          </w:p>
          <w:p w14:paraId="0F112A76" w14:textId="3A00FC57" w:rsidR="00C201C0" w:rsidRPr="00C201C0" w:rsidRDefault="00C201C0" w:rsidP="008F19A4">
            <w:pPr>
              <w:pStyle w:val="a8"/>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Desired Guard Symbols</w:t>
            </w:r>
            <w:r w:rsidRPr="00C201C0">
              <w:rPr>
                <w:rFonts w:ascii="Calibri" w:eastAsia="Calibri" w:hAnsi="Calibri"/>
                <w:b/>
                <w:bCs/>
                <w:sz w:val="22"/>
                <w:szCs w:val="22"/>
              </w:rPr>
              <w:t xml:space="preserve"> is </w:t>
            </w:r>
            <w:r w:rsidR="00606736" w:rsidRPr="00C201C0">
              <w:rPr>
                <w:rFonts w:ascii="Calibri" w:eastAsia="Calibri" w:hAnsi="Calibri"/>
                <w:b/>
                <w:bCs/>
                <w:sz w:val="22"/>
                <w:szCs w:val="22"/>
              </w:rPr>
              <w:t xml:space="preserve">provided </w:t>
            </w:r>
            <w:r w:rsidRPr="00C201C0">
              <w:rPr>
                <w:rFonts w:ascii="Calibri" w:eastAsia="Calibri" w:hAnsi="Calibri"/>
                <w:b/>
                <w:bCs/>
                <w:sz w:val="22"/>
                <w:szCs w:val="22"/>
              </w:rPr>
              <w:t>for a specific (MT cell, DU cell) pair within an IAB-node</w:t>
            </w:r>
          </w:p>
          <w:p w14:paraId="13B89BED" w14:textId="1549B8A4" w:rsidR="00CA35EA" w:rsidRPr="00CA35EA" w:rsidRDefault="00C201C0" w:rsidP="00CA35EA">
            <w:pPr>
              <w:pStyle w:val="a8"/>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Provided Guard Symbols</w:t>
            </w:r>
            <w:r w:rsidRPr="00C201C0">
              <w:rPr>
                <w:rFonts w:ascii="Calibri" w:eastAsia="Calibri" w:hAnsi="Calibri"/>
                <w:b/>
                <w:bCs/>
                <w:sz w:val="22"/>
                <w:szCs w:val="22"/>
              </w:rPr>
              <w:t xml:space="preserve"> is</w:t>
            </w:r>
            <w:r w:rsidR="0037722F" w:rsidRPr="00C201C0">
              <w:rPr>
                <w:rFonts w:ascii="Calibri" w:eastAsia="Calibri" w:hAnsi="Calibri"/>
                <w:b/>
                <w:bCs/>
                <w:sz w:val="22"/>
                <w:szCs w:val="22"/>
              </w:rPr>
              <w:t xml:space="preserve"> </w:t>
            </w:r>
            <w:r w:rsidRPr="00C201C0">
              <w:rPr>
                <w:rFonts w:ascii="Calibri" w:eastAsia="Calibri" w:hAnsi="Calibri"/>
                <w:b/>
                <w:bCs/>
                <w:sz w:val="22"/>
                <w:szCs w:val="22"/>
              </w:rPr>
              <w:t>provided</w:t>
            </w:r>
            <w:r w:rsidR="0037722F" w:rsidRPr="00C201C0">
              <w:rPr>
                <w:rFonts w:ascii="Calibri" w:eastAsia="Calibri" w:hAnsi="Calibri"/>
                <w:b/>
                <w:bCs/>
                <w:sz w:val="22"/>
                <w:szCs w:val="22"/>
              </w:rPr>
              <w:t xml:space="preserve"> </w:t>
            </w:r>
            <w:r w:rsidRPr="00C201C0">
              <w:rPr>
                <w:rFonts w:ascii="Calibri" w:eastAsia="Calibri" w:hAnsi="Calibri"/>
                <w:b/>
                <w:bCs/>
                <w:sz w:val="22"/>
                <w:szCs w:val="22"/>
              </w:rPr>
              <w:t xml:space="preserve">for a specific MT cell </w:t>
            </w:r>
          </w:p>
        </w:tc>
      </w:tr>
      <w:tr w:rsidR="006A78B9" w:rsidRPr="008040F5" w14:paraId="326A99C7" w14:textId="77777777" w:rsidTr="006D78C8">
        <w:tc>
          <w:tcPr>
            <w:tcW w:w="1696" w:type="dxa"/>
          </w:tcPr>
          <w:p w14:paraId="1C8913C0" w14:textId="7695484E" w:rsidR="006A78B9" w:rsidRPr="006A78B9" w:rsidRDefault="006A78B9" w:rsidP="007C340A">
            <w:pPr>
              <w:rPr>
                <w:rFonts w:ascii="Calibri" w:eastAsia="Yu Mincho" w:hAnsi="Calibri"/>
                <w:sz w:val="22"/>
                <w:szCs w:val="22"/>
                <w:lang w:eastAsia="ja-JP"/>
              </w:rPr>
            </w:pPr>
            <w:r w:rsidRPr="006A78B9">
              <w:rPr>
                <w:rFonts w:ascii="Calibri" w:eastAsia="Yu Mincho" w:hAnsi="Calibri"/>
                <w:sz w:val="22"/>
                <w:szCs w:val="22"/>
                <w:lang w:eastAsia="ja-JP"/>
              </w:rPr>
              <w:t>V</w:t>
            </w:r>
            <w:r w:rsidRPr="006A78B9">
              <w:rPr>
                <w:rFonts w:ascii="Calibri" w:eastAsia="Yu Mincho" w:hAnsi="Calibri" w:hint="eastAsia"/>
                <w:sz w:val="22"/>
                <w:szCs w:val="22"/>
                <w:lang w:eastAsia="ja-JP"/>
              </w:rPr>
              <w:t>ivo</w:t>
            </w:r>
          </w:p>
        </w:tc>
        <w:tc>
          <w:tcPr>
            <w:tcW w:w="2265" w:type="dxa"/>
          </w:tcPr>
          <w:p w14:paraId="51C76625" w14:textId="26D35517" w:rsidR="006A78B9" w:rsidRPr="006A78B9" w:rsidRDefault="006A78B9" w:rsidP="007C340A">
            <w:pPr>
              <w:rPr>
                <w:rFonts w:ascii="Calibri" w:eastAsia="Yu Mincho" w:hAnsi="Calibri"/>
                <w:sz w:val="22"/>
                <w:szCs w:val="22"/>
                <w:lang w:eastAsia="ja-JP"/>
              </w:rPr>
            </w:pPr>
            <w:r w:rsidRPr="006A78B9">
              <w:rPr>
                <w:rFonts w:ascii="Calibri" w:eastAsia="Yu Mincho" w:hAnsi="Calibri" w:hint="eastAsia"/>
                <w:sz w:val="22"/>
                <w:szCs w:val="22"/>
                <w:lang w:eastAsia="ja-JP"/>
              </w:rPr>
              <w:t>Yes</w:t>
            </w:r>
          </w:p>
        </w:tc>
        <w:tc>
          <w:tcPr>
            <w:tcW w:w="6109" w:type="dxa"/>
          </w:tcPr>
          <w:p w14:paraId="69A67886" w14:textId="23D92BD1" w:rsidR="006A78B9" w:rsidRDefault="006A78B9" w:rsidP="006A78B9">
            <w:pPr>
              <w:rPr>
                <w:rFonts w:ascii="Calibri" w:eastAsia="Yu Mincho" w:hAnsi="Calibri"/>
                <w:sz w:val="22"/>
                <w:szCs w:val="22"/>
                <w:lang w:eastAsia="ja-JP"/>
              </w:rPr>
            </w:pPr>
            <w:r>
              <w:rPr>
                <w:rFonts w:ascii="Calibri" w:eastAsia="Yu Mincho" w:hAnsi="Calibri"/>
                <w:sz w:val="22"/>
                <w:szCs w:val="22"/>
                <w:lang w:eastAsia="ja-JP"/>
              </w:rPr>
              <w:t xml:space="preserve">In our understanding, both alternative can works. </w:t>
            </w:r>
            <w:r w:rsidRPr="006A78B9">
              <w:rPr>
                <w:rFonts w:ascii="Calibri" w:eastAsia="Yu Mincho" w:hAnsi="Calibri"/>
                <w:sz w:val="22"/>
                <w:szCs w:val="22"/>
                <w:lang w:eastAsia="ja-JP"/>
              </w:rPr>
              <w:t>Alt. 2 is the one which matches the original intention, however, we can accept a simple solution which does not scarify too much performance, i.e., Alt. 1-like</w:t>
            </w:r>
          </w:p>
        </w:tc>
      </w:tr>
      <w:tr w:rsidR="00AA2FF1" w:rsidRPr="008040F5" w14:paraId="08E448CE" w14:textId="77777777" w:rsidTr="006D78C8">
        <w:tc>
          <w:tcPr>
            <w:tcW w:w="1696" w:type="dxa"/>
          </w:tcPr>
          <w:p w14:paraId="116D8686" w14:textId="6BC4239C" w:rsidR="00AA2FF1" w:rsidRPr="006A78B9" w:rsidRDefault="00AA2FF1" w:rsidP="00AA2FF1">
            <w:pPr>
              <w:rPr>
                <w:rFonts w:ascii="Calibri" w:eastAsia="Yu Mincho" w:hAnsi="Calibri"/>
                <w:sz w:val="22"/>
                <w:szCs w:val="22"/>
                <w:lang w:eastAsia="ja-JP"/>
              </w:rPr>
            </w:pPr>
            <w:r>
              <w:rPr>
                <w:rFonts w:ascii="Calibri" w:eastAsia="맑은 고딕" w:hAnsi="Calibri" w:hint="eastAsia"/>
                <w:bCs/>
                <w:sz w:val="22"/>
                <w:szCs w:val="22"/>
                <w:lang w:eastAsia="ko-KR"/>
              </w:rPr>
              <w:t>Samsung</w:t>
            </w:r>
          </w:p>
        </w:tc>
        <w:tc>
          <w:tcPr>
            <w:tcW w:w="2265" w:type="dxa"/>
          </w:tcPr>
          <w:p w14:paraId="31CE7E06" w14:textId="5E97145A" w:rsidR="00AA2FF1" w:rsidRPr="006A78B9" w:rsidRDefault="00AA2FF1" w:rsidP="00AA2FF1">
            <w:pPr>
              <w:rPr>
                <w:rFonts w:ascii="Calibri" w:eastAsia="Yu Mincho" w:hAnsi="Calibri" w:hint="eastAsia"/>
                <w:sz w:val="22"/>
                <w:szCs w:val="22"/>
                <w:lang w:eastAsia="ja-JP"/>
              </w:rPr>
            </w:pPr>
            <w:r>
              <w:rPr>
                <w:rFonts w:ascii="Calibri" w:eastAsia="맑은 고딕" w:hAnsi="Calibri" w:hint="eastAsia"/>
                <w:b/>
                <w:bCs/>
                <w:sz w:val="22"/>
                <w:szCs w:val="22"/>
                <w:lang w:eastAsia="ko-KR"/>
              </w:rPr>
              <w:t>Y</w:t>
            </w:r>
            <w:r>
              <w:rPr>
                <w:rFonts w:ascii="Calibri" w:eastAsia="맑은 고딕" w:hAnsi="Calibri"/>
                <w:b/>
                <w:bCs/>
                <w:sz w:val="22"/>
                <w:szCs w:val="22"/>
                <w:lang w:eastAsia="ko-KR"/>
              </w:rPr>
              <w:t>es</w:t>
            </w:r>
          </w:p>
        </w:tc>
        <w:tc>
          <w:tcPr>
            <w:tcW w:w="6109" w:type="dxa"/>
          </w:tcPr>
          <w:p w14:paraId="59C5809F" w14:textId="64F4A420" w:rsidR="00AA2FF1" w:rsidRDefault="00AA2FF1" w:rsidP="00AA2FF1">
            <w:pPr>
              <w:rPr>
                <w:rFonts w:ascii="Calibri" w:eastAsia="Yu Mincho" w:hAnsi="Calibri"/>
                <w:sz w:val="22"/>
                <w:szCs w:val="22"/>
                <w:lang w:eastAsia="ja-JP"/>
              </w:rPr>
            </w:pPr>
            <w:r>
              <w:rPr>
                <w:rFonts w:ascii="Calibri" w:eastAsia="맑은 고딕" w:hAnsi="Calibri"/>
                <w:sz w:val="22"/>
                <w:szCs w:val="22"/>
                <w:lang w:eastAsia="ko-KR"/>
              </w:rPr>
              <w:t>W</w:t>
            </w:r>
            <w:r>
              <w:rPr>
                <w:rFonts w:ascii="Calibri" w:eastAsia="맑은 고딕" w:hAnsi="Calibri" w:hint="eastAsia"/>
                <w:sz w:val="22"/>
                <w:szCs w:val="22"/>
                <w:lang w:eastAsia="ko-KR"/>
              </w:rPr>
              <w:t xml:space="preserve">e </w:t>
            </w:r>
            <w:r>
              <w:rPr>
                <w:rFonts w:ascii="Calibri" w:eastAsia="맑은 고딕" w:hAnsi="Calibri"/>
                <w:sz w:val="22"/>
                <w:szCs w:val="22"/>
                <w:lang w:eastAsia="ko-KR"/>
              </w:rPr>
              <w:t>supports</w:t>
            </w:r>
            <w:r>
              <w:rPr>
                <w:rFonts w:ascii="Calibri" w:eastAsia="맑은 고딕" w:hAnsi="Calibri" w:hint="eastAsia"/>
                <w:sz w:val="22"/>
                <w:szCs w:val="22"/>
                <w:lang w:eastAsia="ko-KR"/>
              </w:rPr>
              <w:t xml:space="preserve"> Alt.1 </w:t>
            </w:r>
            <w:r>
              <w:rPr>
                <w:rFonts w:ascii="Calibri" w:eastAsia="맑은 고딕" w:hAnsi="Calibri"/>
                <w:sz w:val="22"/>
                <w:szCs w:val="22"/>
                <w:lang w:eastAsia="ko-KR"/>
              </w:rPr>
              <w:t>to address the concern. But, even if we go with “specific cell”, the same value for all MT cells can be applied by parent IAB implementation for some scenarios as com</w:t>
            </w:r>
            <w:bookmarkStart w:id="2" w:name="_GoBack"/>
            <w:bookmarkEnd w:id="2"/>
            <w:r>
              <w:rPr>
                <w:rFonts w:ascii="Calibri" w:eastAsia="맑은 고딕" w:hAnsi="Calibri"/>
                <w:sz w:val="22"/>
                <w:szCs w:val="22"/>
                <w:lang w:eastAsia="ko-KR"/>
              </w:rPr>
              <w:t>mented by ZTE. So, we are also fine with ZTE’s suggestion.</w:t>
            </w:r>
          </w:p>
        </w:tc>
      </w:tr>
    </w:tbl>
    <w:p w14:paraId="660556E0" w14:textId="77777777" w:rsidR="00C530D0" w:rsidRDefault="00C530D0">
      <w:pPr>
        <w:rPr>
          <w:rFonts w:ascii="Arial" w:hAnsi="Arial"/>
          <w:b/>
          <w:sz w:val="32"/>
          <w:szCs w:val="20"/>
        </w:rPr>
      </w:pPr>
      <w:r>
        <w:br w:type="page"/>
      </w:r>
    </w:p>
    <w:p w14:paraId="75E2BC9E" w14:textId="77777777" w:rsidR="002F634C" w:rsidRPr="00156B89" w:rsidRDefault="002F634C" w:rsidP="002F634C">
      <w:pPr>
        <w:pStyle w:val="1"/>
      </w:pPr>
      <w:r>
        <w:lastRenderedPageBreak/>
        <w:t>Summary</w:t>
      </w:r>
    </w:p>
    <w:p w14:paraId="166AF329" w14:textId="77777777"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A797D" w14:textId="77777777" w:rsidR="008A44D1" w:rsidRDefault="008A44D1" w:rsidP="00424124">
      <w:r>
        <w:separator/>
      </w:r>
    </w:p>
  </w:endnote>
  <w:endnote w:type="continuationSeparator" w:id="0">
    <w:p w14:paraId="599D5D3A" w14:textId="77777777" w:rsidR="008A44D1" w:rsidRDefault="008A44D1" w:rsidP="00424124">
      <w:r>
        <w:continuationSeparator/>
      </w:r>
    </w:p>
  </w:endnote>
  <w:endnote w:type="continuationNotice" w:id="1">
    <w:p w14:paraId="162B0FFA" w14:textId="77777777" w:rsidR="008A44D1" w:rsidRDefault="008A4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97E0" w14:textId="77777777" w:rsidR="008A44D1" w:rsidRDefault="008A44D1" w:rsidP="00424124">
      <w:r>
        <w:separator/>
      </w:r>
    </w:p>
  </w:footnote>
  <w:footnote w:type="continuationSeparator" w:id="0">
    <w:p w14:paraId="1D1EC851" w14:textId="77777777" w:rsidR="008A44D1" w:rsidRDefault="008A44D1" w:rsidP="00424124">
      <w:r>
        <w:continuationSeparator/>
      </w:r>
    </w:p>
  </w:footnote>
  <w:footnote w:type="continuationNotice" w:id="1">
    <w:p w14:paraId="73504421" w14:textId="77777777" w:rsidR="008A44D1" w:rsidRDefault="008A44D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060AB"/>
    <w:multiLevelType w:val="hybridMultilevel"/>
    <w:tmpl w:val="DDD4A0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9"/>
  </w:num>
  <w:num w:numId="5">
    <w:abstractNumId w:val="13"/>
  </w:num>
  <w:num w:numId="6">
    <w:abstractNumId w:val="19"/>
  </w:num>
  <w:num w:numId="7">
    <w:abstractNumId w:val="1"/>
  </w:num>
  <w:num w:numId="8">
    <w:abstractNumId w:val="20"/>
  </w:num>
  <w:num w:numId="9">
    <w:abstractNumId w:val="3"/>
  </w:num>
  <w:num w:numId="10">
    <w:abstractNumId w:val="2"/>
  </w:num>
  <w:num w:numId="11">
    <w:abstractNumId w:val="12"/>
  </w:num>
  <w:num w:numId="12">
    <w:abstractNumId w:val="22"/>
  </w:num>
  <w:num w:numId="13">
    <w:abstractNumId w:val="21"/>
  </w:num>
  <w:num w:numId="14">
    <w:abstractNumId w:val="17"/>
  </w:num>
  <w:num w:numId="15">
    <w:abstractNumId w:val="4"/>
  </w:num>
  <w:num w:numId="16">
    <w:abstractNumId w:val="23"/>
  </w:num>
  <w:num w:numId="17">
    <w:abstractNumId w:val="7"/>
  </w:num>
  <w:num w:numId="18">
    <w:abstractNumId w:val="18"/>
  </w:num>
  <w:num w:numId="19">
    <w:abstractNumId w:val="0"/>
  </w:num>
  <w:num w:numId="20">
    <w:abstractNumId w:val="11"/>
  </w:num>
  <w:num w:numId="21">
    <w:abstractNumId w:val="16"/>
  </w:num>
  <w:num w:numId="22">
    <w:abstractNumId w:val="14"/>
  </w:num>
  <w:num w:numId="23">
    <w:abstractNumId w:val="8"/>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CB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3E8B"/>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D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4DAE"/>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7722F"/>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0B5"/>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3C95"/>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3E1"/>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1DFD"/>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4D7"/>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06736"/>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A78B9"/>
    <w:rsid w:val="006B0CA8"/>
    <w:rsid w:val="006B0FD2"/>
    <w:rsid w:val="006B213F"/>
    <w:rsid w:val="006B443B"/>
    <w:rsid w:val="006B4635"/>
    <w:rsid w:val="006B7301"/>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544"/>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0A"/>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074"/>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4D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C66"/>
    <w:rsid w:val="008D7C83"/>
    <w:rsid w:val="008E110D"/>
    <w:rsid w:val="008E258C"/>
    <w:rsid w:val="008E2BDA"/>
    <w:rsid w:val="008E2ED7"/>
    <w:rsid w:val="008E48C2"/>
    <w:rsid w:val="008E51A2"/>
    <w:rsid w:val="008E5938"/>
    <w:rsid w:val="008E5CA7"/>
    <w:rsid w:val="008E6220"/>
    <w:rsid w:val="008E7BDD"/>
    <w:rsid w:val="008E7D11"/>
    <w:rsid w:val="008F19A4"/>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E6BEB"/>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FBE"/>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2FF1"/>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1C0"/>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35EA"/>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4F9"/>
    <w:rsid w:val="00EE6981"/>
    <w:rsid w:val="00EE75D2"/>
    <w:rsid w:val="00EE77BD"/>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2CE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647BB"/>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1"/>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42EEB-7ED1-45C5-8FF6-2DFE697B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1303</Words>
  <Characters>7431</Characters>
  <Application>Microsoft Office Word</Application>
  <DocSecurity>0</DocSecurity>
  <Lines>61</Lines>
  <Paragraphs>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최승훈/표준연구팀(SR)/Principal Engineer/삼성전자</cp:lastModifiedBy>
  <cp:revision>2</cp:revision>
  <cp:lastPrinted>2016-02-23T10:51:00Z</cp:lastPrinted>
  <dcterms:created xsi:type="dcterms:W3CDTF">2020-05-26T08:38:00Z</dcterms:created>
  <dcterms:modified xsi:type="dcterms:W3CDTF">2020-05-26T08:38:00Z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