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w:t>
      </w:r>
      <w:proofErr w:type="spellStart"/>
      <w:r w:rsidRPr="00F8459F">
        <w:rPr>
          <w:rFonts w:ascii="Times New Roman" w:hAnsi="Times New Roman"/>
          <w:sz w:val="22"/>
          <w:szCs w:val="22"/>
        </w:rPr>
        <w:t>nrofHARQ</w:t>
      </w:r>
      <w:proofErr w:type="spellEnd"/>
      <w:r w:rsidRPr="00F8459F">
        <w:rPr>
          <w:rFonts w:ascii="Times New Roman" w:hAnsi="Times New Roman"/>
          <w:sz w:val="22"/>
          <w:szCs w:val="22"/>
        </w:rPr>
        <w:t>-Processes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20B6FB87"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zh-CN"/>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65pt;height:45.25pt" o:ole="">
                  <v:imagedata r:id="rId24" o:title=""/>
                </v:shape>
                <o:OLEObject Type="Embed" ProgID="Visio.Drawing.15" ShapeID="_x0000_i1025" DrawAspect="Content" ObjectID="_1649171062"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proofErr w:type="spellStart"/>
            <w:r w:rsidRPr="00F8459F">
              <w:t>nrofHARQ</w:t>
            </w:r>
            <w:proofErr w:type="spellEnd"/>
            <w:r w:rsidRPr="00F8459F">
              <w:t>-Processes confi</w:t>
            </w:r>
            <w:r>
              <w:t>gured for the SPS configuration</w:t>
            </w:r>
            <w:r>
              <w:rPr>
                <w:rFonts w:eastAsiaTheme="minorEastAsia"/>
                <w:sz w:val="20"/>
                <w:szCs w:val="20"/>
                <w:lang w:eastAsia="zh-CN"/>
              </w:rPr>
              <w:t xml:space="preserve">”. Whether the </w:t>
            </w:r>
            <w:proofErr w:type="spellStart"/>
            <w:r w:rsidRPr="00DC7F97">
              <w:rPr>
                <w:i/>
              </w:rPr>
              <w:t>nrofHARQ</w:t>
            </w:r>
            <w:proofErr w:type="spellEnd"/>
            <w:r w:rsidRPr="00DC7F97">
              <w:rPr>
                <w:i/>
              </w:rPr>
              <w:t>-Processes</w:t>
            </w:r>
            <w:r>
              <w:t xml:space="preserve"> is determined by the number of SPS PDSCHs with </w:t>
            </w:r>
            <w:r>
              <w:rPr>
                <w:lang w:eastAsia="zh-CN"/>
              </w:rPr>
              <w:t xml:space="preserve">in a slot </w:t>
            </w:r>
            <w:r>
              <w:rPr>
                <w:noProof/>
                <w:position w:val="-12"/>
                <w:lang w:eastAsia="zh-CN"/>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i.e. exactly the same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r w:rsidRPr="0094512B">
              <w:rPr>
                <w:sz w:val="20"/>
                <w:szCs w:val="20"/>
                <w:lang w:eastAsia="zh-CN"/>
              </w:rPr>
              <w:t xml:space="preserve">Basically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proofErr w:type="spellStart"/>
            <w:r w:rsidRPr="00FA4621">
              <w:rPr>
                <w:i/>
              </w:rPr>
              <w:t>nrofHARQ</w:t>
            </w:r>
            <w:proofErr w:type="spellEnd"/>
            <w:r w:rsidRPr="00FA4621">
              <w:rPr>
                <w:i/>
              </w:rPr>
              <w:t>-Processes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 xml:space="preserve">For NRU, one motivation is to save on UL overhead to avoid unnecessary UL transmission to feedback </w:t>
            </w:r>
            <w:proofErr w:type="spellStart"/>
            <w:r w:rsidR="0033748A" w:rsidRPr="0033748A">
              <w:rPr>
                <w:sz w:val="20"/>
                <w:szCs w:val="20"/>
                <w:lang w:eastAsia="zh-CN"/>
              </w:rPr>
              <w:t>Nack</w:t>
            </w:r>
            <w:proofErr w:type="spellEnd"/>
            <w:r w:rsidR="0033748A" w:rsidRPr="0033748A">
              <w:rPr>
                <w:sz w:val="20"/>
                <w:szCs w:val="20"/>
                <w:lang w:eastAsia="zh-CN"/>
              </w:rPr>
              <w:t xml:space="preserve"> when the SPS PDSCH is not transmitted (SPS is activated, but for some instances, e.g. a burst of instances, SPS PDSCH is not sent due to LBT failure at the gNB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ListParagraph"/>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proofErr w:type="spellStart"/>
            <w:r w:rsidRPr="0033748A">
              <w:rPr>
                <w:rFonts w:ascii="Times New Roman" w:hAnsi="Times New Roman"/>
                <w:sz w:val="20"/>
                <w:szCs w:val="20"/>
                <w:lang w:eastAsia="zh-CN"/>
              </w:rPr>
              <w:t>nrofHARQ</w:t>
            </w:r>
            <w:proofErr w:type="spellEnd"/>
            <w:r w:rsidRPr="0033748A">
              <w:rPr>
                <w:rFonts w:ascii="Times New Roman" w:hAnsi="Times New Roman"/>
                <w:sz w:val="20"/>
                <w:szCs w:val="20"/>
                <w:lang w:eastAsia="zh-CN"/>
              </w:rPr>
              <w:t>-Processes</w:t>
            </w:r>
            <w:r>
              <w:rPr>
                <w:rFonts w:ascii="Times New Roman" w:hAnsi="Times New Roman"/>
                <w:sz w:val="20"/>
                <w:szCs w:val="20"/>
                <w:lang w:eastAsia="zh-CN"/>
              </w:rPr>
              <w:t xml:space="preserve"> * periodicity</w:t>
            </w:r>
          </w:p>
          <w:p w14:paraId="039D7EF9" w14:textId="77777777" w:rsidR="0033748A" w:rsidRDefault="0033748A"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gNB does not send the PDSCH. Hence, UE does not need to send </w:t>
            </w:r>
            <w:proofErr w:type="spellStart"/>
            <w:r>
              <w:rPr>
                <w:rFonts w:ascii="Times New Roman" w:hAnsi="Times New Roman"/>
                <w:sz w:val="20"/>
                <w:szCs w:val="20"/>
                <w:lang w:eastAsia="zh-CN"/>
              </w:rPr>
              <w:t>Nack</w:t>
            </w:r>
            <w:proofErr w:type="spellEnd"/>
            <w:r>
              <w:rPr>
                <w:rFonts w:ascii="Times New Roman" w:hAnsi="Times New Roman"/>
                <w:sz w:val="20"/>
                <w:szCs w:val="20"/>
                <w:lang w:eastAsia="zh-CN"/>
              </w:rPr>
              <w:t xml:space="preserve"> for every instance. </w:t>
            </w:r>
          </w:p>
          <w:p w14:paraId="48D5770D" w14:textId="77777777" w:rsidR="00171668" w:rsidRDefault="00171668"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gNB has the flexibility to request HARQ-Ack for the first SPS PDSCH if it sends a DCI after activation. If it can wait, it can send it sometime after that (e.g. after the second SPS PDSCH). If it can wait further, it can send the DCI after the first </w:t>
            </w:r>
            <w:proofErr w:type="spellStart"/>
            <w:r w:rsidRPr="00171668">
              <w:rPr>
                <w:rFonts w:ascii="Times New Roman" w:hAnsi="Times New Roman"/>
                <w:sz w:val="20"/>
                <w:szCs w:val="20"/>
                <w:lang w:eastAsia="zh-CN"/>
              </w:rPr>
              <w:t>nrofHARQ</w:t>
            </w:r>
            <w:proofErr w:type="spellEnd"/>
            <w:r w:rsidRPr="00171668">
              <w:rPr>
                <w:rFonts w:ascii="Times New Roman" w:hAnsi="Times New Roman"/>
                <w:sz w:val="20"/>
                <w:szCs w:val="20"/>
                <w:lang w:eastAsia="zh-CN"/>
              </w:rPr>
              <w:t xml:space="preserve">-Processes </w:t>
            </w:r>
            <w:r>
              <w:rPr>
                <w:rFonts w:ascii="Times New Roman" w:hAnsi="Times New Roman"/>
                <w:sz w:val="20"/>
                <w:szCs w:val="20"/>
                <w:lang w:eastAsia="zh-CN"/>
              </w:rPr>
              <w:t>SPS PDSCHs. So, gNB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zh-CN"/>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it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info, or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proofErr w:type="spellStart"/>
            <w:r w:rsidRPr="00BC3170">
              <w:rPr>
                <w:b/>
                <w:sz w:val="20"/>
                <w:szCs w:val="20"/>
                <w:lang w:eastAsia="zh-CN"/>
              </w:rPr>
              <w:t>nrofHARQ</w:t>
            </w:r>
            <w:proofErr w:type="spellEnd"/>
            <w:r w:rsidRPr="00BC3170">
              <w:rPr>
                <w:b/>
                <w:sz w:val="20"/>
                <w:szCs w:val="20"/>
                <w:lang w:eastAsia="zh-CN"/>
              </w:rPr>
              <w:t>-Processes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OPPO, ZTE, Mediatek, Sharp, Samsung, LG, vivo, Ericsson, Lenovo, Qualcomm</w:t>
            </w:r>
          </w:p>
          <w:p w14:paraId="2ACEE521" w14:textId="6CE695E2"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No: Mediatek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Question to Mediatek</w:t>
            </w:r>
            <w:r>
              <w:rPr>
                <w:sz w:val="20"/>
                <w:szCs w:val="20"/>
                <w:lang w:eastAsia="zh-CN"/>
              </w:rPr>
              <w:t xml:space="preserve">: your proposal mean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zh-CN"/>
              </w:rPr>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ListParagraph"/>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ListParagraph"/>
              <w:ind w:left="845" w:firstLine="0"/>
              <w:rPr>
                <w:rFonts w:ascii="Times New Roman" w:hAnsi="Times New Roman"/>
                <w:sz w:val="20"/>
                <w:szCs w:val="20"/>
                <w:lang w:eastAsia="zh-CN"/>
              </w:rPr>
            </w:pPr>
          </w:p>
          <w:p w14:paraId="3CEC1F6C" w14:textId="012F6BFB" w:rsidR="00BC3170" w:rsidRPr="00347847" w:rsidRDefault="00BC3170" w:rsidP="00461C6C">
            <w:pPr>
              <w:pStyle w:val="ListParagraph"/>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No: Nokia, ZTE, Mediatek,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OPPO, ZTE, Mediatek,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 xml:space="preserve">does not require a TP unless we </w:t>
            </w:r>
            <w:r w:rsidR="000D379E" w:rsidRPr="00E1310F">
              <w:rPr>
                <w:sz w:val="20"/>
                <w:szCs w:val="20"/>
                <w:lang w:eastAsia="zh-CN"/>
              </w:rPr>
              <w:lastRenderedPageBreak/>
              <w:t>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p>
        </w:tc>
      </w:tr>
      <w:tr w:rsidR="00A31061" w:rsidRPr="00FE17B2" w14:paraId="46A813BF" w14:textId="77777777" w:rsidTr="007F7C79">
        <w:tc>
          <w:tcPr>
            <w:tcW w:w="1413" w:type="dxa"/>
          </w:tcPr>
          <w:p w14:paraId="792EE65B" w14:textId="390A5C8E" w:rsidR="00A31061" w:rsidRDefault="00A31061" w:rsidP="00ED077B">
            <w:pPr>
              <w:rPr>
                <w:sz w:val="20"/>
                <w:szCs w:val="20"/>
                <w:lang w:eastAsia="zh-CN"/>
              </w:rPr>
            </w:pPr>
            <w:r>
              <w:rPr>
                <w:rFonts w:hint="eastAsia"/>
                <w:sz w:val="20"/>
                <w:szCs w:val="20"/>
                <w:lang w:eastAsia="zh-CN"/>
              </w:rPr>
              <w:t>Intel</w:t>
            </w:r>
          </w:p>
        </w:tc>
        <w:tc>
          <w:tcPr>
            <w:tcW w:w="7894" w:type="dxa"/>
          </w:tcPr>
          <w:p w14:paraId="74C112CB" w14:textId="77777777" w:rsidR="00A31061" w:rsidRPr="00966528" w:rsidRDefault="00A31061" w:rsidP="00A31061">
            <w:pPr>
              <w:rPr>
                <w:bCs/>
                <w:sz w:val="20"/>
                <w:szCs w:val="20"/>
                <w:lang w:eastAsia="zh-CN"/>
              </w:rPr>
            </w:pPr>
            <w:r w:rsidRPr="00966528">
              <w:rPr>
                <w:bCs/>
                <w:sz w:val="20"/>
                <w:szCs w:val="20"/>
                <w:lang w:eastAsia="zh-CN"/>
              </w:rPr>
              <w:t>The two new FL proposals are fine with us.</w:t>
            </w:r>
          </w:p>
          <w:p w14:paraId="17482B0B" w14:textId="055948CD" w:rsidR="00A31061" w:rsidRPr="00966528" w:rsidRDefault="00A31061" w:rsidP="00A31061">
            <w:pPr>
              <w:rPr>
                <w:bCs/>
                <w:sz w:val="20"/>
                <w:szCs w:val="20"/>
                <w:lang w:eastAsia="zh-CN"/>
              </w:rPr>
            </w:pPr>
            <w:r>
              <w:rPr>
                <w:bCs/>
                <w:sz w:val="20"/>
                <w:szCs w:val="20"/>
                <w:lang w:eastAsia="zh-CN"/>
              </w:rPr>
              <w:t>A TP for Q3 is not needed and there is no confusion</w:t>
            </w:r>
            <w:r w:rsidRPr="00966528">
              <w:rPr>
                <w:bCs/>
                <w:sz w:val="20"/>
                <w:szCs w:val="20"/>
                <w:lang w:eastAsia="zh-CN"/>
              </w:rPr>
              <w:t>.</w:t>
            </w:r>
            <w:r>
              <w:rPr>
                <w:bCs/>
                <w:sz w:val="20"/>
                <w:szCs w:val="20"/>
                <w:lang w:eastAsia="zh-CN"/>
              </w:rPr>
              <w:t xml:space="preserve"> Based FL proposal 1, say it is agreeable, HARQ-ACK for SPS PDSCH is anyway appended to the end of the codebook, which is not impacted by the value of NFI, DAI, q or group index. </w:t>
            </w:r>
            <w:bookmarkStart w:id="6" w:name="_GoBack"/>
            <w:bookmarkEnd w:id="6"/>
          </w:p>
        </w:tc>
      </w:tr>
    </w:tbl>
    <w:p w14:paraId="235A5BA9" w14:textId="497E5870"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 xml:space="preserve">Summary of proposals from submitted </w:t>
      </w:r>
      <w:proofErr w:type="spellStart"/>
      <w:r w:rsidRPr="000216A1">
        <w:rPr>
          <w:sz w:val="20"/>
        </w:rPr>
        <w:t>Tdocs</w:t>
      </w:r>
      <w:proofErr w:type="spellEnd"/>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65pt;height:45.25pt" o:ole="">
                  <v:imagedata r:id="rId24" o:title=""/>
                </v:shape>
                <o:OLEObject Type="Embed" ProgID="Visio.Drawing.15" ShapeID="_x0000_i1026" DrawAspect="Content" ObjectID="_1649171063" r:id="rId27"/>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 xml:space="preserve">When an SPS configuration is activated with a DCI that indicates non-numeric K1, the number of HARQ-Ack bits corresponding to SPS PDSCHs that are appended to the end of a dynamic HARQ-Ack codebook is </w:t>
            </w:r>
            <w:proofErr w:type="spellStart"/>
            <w:r w:rsidRPr="00E1118F">
              <w:rPr>
                <w:sz w:val="20"/>
                <w:szCs w:val="20"/>
              </w:rPr>
              <w:t>nrofHARQ</w:t>
            </w:r>
            <w:proofErr w:type="spellEnd"/>
            <w:r w:rsidRPr="00E1118F">
              <w:rPr>
                <w:sz w:val="20"/>
                <w:szCs w:val="20"/>
              </w:rPr>
              <w:t>-Processes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lastRenderedPageBreak/>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R1-2001268  Feature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r>
      <w:proofErr w:type="spellStart"/>
      <w:r w:rsidRPr="00B01667">
        <w:rPr>
          <w:sz w:val="21"/>
          <w:szCs w:val="28"/>
          <w:lang w:eastAsia="zh-CN"/>
        </w:rPr>
        <w:t>Maintainance</w:t>
      </w:r>
      <w:proofErr w:type="spellEnd"/>
      <w:r w:rsidRPr="00B01667">
        <w:rPr>
          <w:sz w:val="21"/>
          <w:szCs w:val="28"/>
          <w:lang w:eastAsia="zh-CN"/>
        </w:rPr>
        <w:t xml:space="preserve"> on HARQ-ACK enhancement</w:t>
      </w:r>
      <w:r w:rsidRPr="00B01667">
        <w:rPr>
          <w:sz w:val="21"/>
          <w:szCs w:val="28"/>
          <w:lang w:eastAsia="zh-CN"/>
        </w:rPr>
        <w:tab/>
        <w:t xml:space="preserve">Huawei, </w:t>
      </w:r>
      <w:proofErr w:type="spellStart"/>
      <w:r w:rsidRPr="00B01667">
        <w:rPr>
          <w:sz w:val="21"/>
          <w:szCs w:val="28"/>
          <w:lang w:eastAsia="zh-CN"/>
        </w:rPr>
        <w:t>HiSilicon</w:t>
      </w:r>
      <w:proofErr w:type="spellEnd"/>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 xml:space="preserve">ZTE, </w:t>
      </w:r>
      <w:proofErr w:type="spellStart"/>
      <w:r w:rsidRPr="00B01667">
        <w:rPr>
          <w:sz w:val="21"/>
          <w:szCs w:val="28"/>
          <w:lang w:eastAsia="zh-CN"/>
        </w:rPr>
        <w:t>Sanechips</w:t>
      </w:r>
      <w:proofErr w:type="spellEnd"/>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r>
      <w:proofErr w:type="spellStart"/>
      <w:r w:rsidRPr="00B01667">
        <w:rPr>
          <w:sz w:val="21"/>
          <w:szCs w:val="28"/>
          <w:lang w:eastAsia="zh-CN"/>
        </w:rPr>
        <w:t>InterDigital</w:t>
      </w:r>
      <w:proofErr w:type="spellEnd"/>
      <w:r w:rsidRPr="00B01667">
        <w:rPr>
          <w:sz w:val="21"/>
          <w:szCs w:val="28"/>
          <w:lang w:eastAsia="zh-CN"/>
        </w:rPr>
        <w:t>,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EC23" w14:textId="77777777" w:rsidR="00C15159" w:rsidRDefault="00C15159">
      <w:r>
        <w:separator/>
      </w:r>
    </w:p>
  </w:endnote>
  <w:endnote w:type="continuationSeparator" w:id="0">
    <w:p w14:paraId="2F39AF5D" w14:textId="77777777" w:rsidR="00C15159" w:rsidRDefault="00C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35D13" w14:textId="77777777" w:rsidR="00C15159" w:rsidRDefault="00C15159">
      <w:r>
        <w:separator/>
      </w:r>
    </w:p>
  </w:footnote>
  <w:footnote w:type="continuationSeparator" w:id="0">
    <w:p w14:paraId="11601499" w14:textId="77777777" w:rsidR="00C15159" w:rsidRDefault="00C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061"/>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159"/>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62"/>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C38A2-7260-440D-AA3F-A86AA29B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2703</Words>
  <Characters>13534</Characters>
  <Application>Microsoft Office Word</Application>
  <DocSecurity>0</DocSecurity>
  <Lines>304</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Li, Yingyang</cp:lastModifiedBy>
  <cp:revision>4</cp:revision>
  <cp:lastPrinted>2020-04-14T09:12:00Z</cp:lastPrinted>
  <dcterms:created xsi:type="dcterms:W3CDTF">2020-04-23T07:58:00Z</dcterms:created>
  <dcterms:modified xsi:type="dcterms:W3CDTF">2020-04-23T09:51:00Z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2020-04-23 09:51:00Z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1587622472</vt:lpwstr>
  </property>
  <property fmtid="{D5CDD505-2E9C-101B-9397-08002B2CF9AE}" pid="28" name="CTPClassification">
    <vt:lpwstr>CTP_NT</vt:lpwstr>
  </property>
</Properties>
</file>