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Pr="00A17AE3" w:rsidRDefault="00B346B5">
      <w:pPr>
        <w:pStyle w:val="Doc-text2"/>
        <w:tabs>
          <w:tab w:val="left" w:pos="1276"/>
        </w:tabs>
        <w:ind w:left="0" w:firstLine="0"/>
        <w:rPr>
          <w:lang w:val="en-GB"/>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f9"/>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3"/>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f9"/>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11E844F7"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Support Alt-1 and OK with TP</w:t>
            </w:r>
            <w:r>
              <w:rPr>
                <w:rFonts w:eastAsia="游明朝"/>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f7"/>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f7"/>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游明朝" w:hint="eastAsia"/>
                <w:sz w:val="20"/>
                <w:szCs w:val="20"/>
                <w:lang w:eastAsia="ja-JP"/>
              </w:rPr>
              <w:t>S</w:t>
            </w:r>
            <w:r>
              <w:rPr>
                <w:rFonts w:eastAsia="游明朝"/>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游明朝" w:hint="eastAsia"/>
                <w:sz w:val="20"/>
                <w:szCs w:val="20"/>
                <w:lang w:eastAsia="ja-JP"/>
              </w:rPr>
              <w:t>S</w:t>
            </w:r>
            <w:r>
              <w:rPr>
                <w:rFonts w:eastAsia="游明朝"/>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游明朝"/>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游明朝"/>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游明朝" w:hint="eastAsia"/>
                <w:iCs/>
                <w:lang w:eastAsia="ja-JP"/>
              </w:rPr>
              <w:t>,</w:t>
            </w:r>
            <w:r>
              <w:rPr>
                <w:rFonts w:eastAsia="游明朝"/>
                <w:iCs/>
                <w:lang w:eastAsia="ja-JP"/>
              </w:rPr>
              <w:t xml:space="preserve"> </w:t>
            </w:r>
            <w:r>
              <w:rPr>
                <w:rFonts w:eastAsia="游明朝"/>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游明朝"/>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游明朝"/>
                <w:sz w:val="20"/>
                <w:szCs w:val="20"/>
                <w:lang w:eastAsia="ja-JP"/>
              </w:rPr>
            </w:pPr>
            <w:r w:rsidRPr="0033459D">
              <w:rPr>
                <w:rFonts w:eastAsia="游明朝"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游明朝"/>
                <w:sz w:val="20"/>
                <w:szCs w:val="20"/>
                <w:lang w:eastAsia="ja-JP"/>
              </w:rPr>
            </w:pPr>
            <w:r w:rsidRPr="009C50C4">
              <w:rPr>
                <w:rFonts w:eastAsia="游明朝"/>
                <w:sz w:val="20"/>
                <w:szCs w:val="20"/>
                <w:lang w:eastAsia="ja-JP"/>
              </w:rPr>
              <w:t>Prefer to wait for the outcome of the relevant discussion on the case with no guard band under WB agenda</w:t>
            </w:r>
            <w:r>
              <w:rPr>
                <w:rFonts w:eastAsia="游明朝"/>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游明朝"/>
                <w:lang w:eastAsia="ja-JP"/>
              </w:rPr>
            </w:pPr>
            <w:r w:rsidRPr="00A53164">
              <w:rPr>
                <w:rFonts w:eastAsia="游明朝"/>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游明朝"/>
                <w:lang w:eastAsia="ja-JP"/>
              </w:rPr>
            </w:pPr>
            <w:r w:rsidRPr="00A53164">
              <w:rPr>
                <w:rFonts w:eastAsia="游明朝"/>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游明朝"/>
                <w:lang w:eastAsia="ja-JP"/>
              </w:rPr>
            </w:pPr>
            <w:r w:rsidRPr="00FB4A2D">
              <w:rPr>
                <w:rFonts w:eastAsia="游明朝"/>
                <w:sz w:val="20"/>
                <w:szCs w:val="20"/>
                <w:lang w:eastAsia="ja-JP"/>
              </w:rPr>
              <w:t>MediaTek</w:t>
            </w:r>
          </w:p>
        </w:tc>
        <w:tc>
          <w:tcPr>
            <w:tcW w:w="7470" w:type="dxa"/>
          </w:tcPr>
          <w:p w14:paraId="35AF5146" w14:textId="5AB0D517" w:rsidR="00EC6887" w:rsidRPr="00A53164" w:rsidRDefault="00EC6887" w:rsidP="00EC6887">
            <w:pPr>
              <w:pStyle w:val="a7"/>
              <w:spacing w:after="0"/>
              <w:rPr>
                <w:rFonts w:eastAsia="游明朝"/>
                <w:lang w:eastAsia="ja-JP"/>
              </w:rPr>
            </w:pPr>
            <w:r w:rsidRPr="00FB4A2D">
              <w:rPr>
                <w:rFonts w:eastAsia="游明朝"/>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游明朝"/>
                <w:lang w:eastAsia="ja-JP"/>
              </w:rPr>
            </w:pPr>
            <w:r w:rsidRPr="00B46DBF">
              <w:rPr>
                <w:rFonts w:eastAsia="游明朝"/>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游明朝" w:hint="eastAsia"/>
                <w:sz w:val="20"/>
                <w:szCs w:val="20"/>
                <w:lang w:eastAsia="ja-JP"/>
              </w:rPr>
              <w:t>A</w:t>
            </w:r>
            <w:r w:rsidRPr="00537AAC">
              <w:rPr>
                <w:rFonts w:eastAsia="游明朝"/>
                <w:sz w:val="20"/>
                <w:szCs w:val="20"/>
                <w:lang w:eastAsia="ja-JP"/>
              </w:rPr>
              <w:t xml:space="preserve">gree with </w:t>
            </w:r>
            <w:r w:rsidR="00180307">
              <w:rPr>
                <w:rFonts w:eastAsia="游明朝"/>
                <w:sz w:val="20"/>
                <w:szCs w:val="20"/>
                <w:lang w:eastAsia="ja-JP"/>
              </w:rPr>
              <w:t>FL’s proposal</w:t>
            </w:r>
            <w:r w:rsidRPr="00537AAC">
              <w:rPr>
                <w:rFonts w:eastAsia="游明朝"/>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游明朝"/>
                <w:lang w:eastAsia="ja-JP"/>
              </w:rPr>
            </w:pPr>
            <w:r>
              <w:rPr>
                <w:rFonts w:eastAsia="游明朝"/>
                <w:lang w:eastAsia="ja-JP"/>
              </w:rPr>
              <w:t>Qualcomm</w:t>
            </w:r>
          </w:p>
        </w:tc>
        <w:tc>
          <w:tcPr>
            <w:tcW w:w="7470" w:type="dxa"/>
          </w:tcPr>
          <w:p w14:paraId="2B78F299" w14:textId="3F7CE2DD" w:rsidR="00F94DA7" w:rsidRPr="00537AAC" w:rsidRDefault="00F94DA7" w:rsidP="00180307">
            <w:pPr>
              <w:pStyle w:val="a7"/>
              <w:spacing w:after="0"/>
              <w:rPr>
                <w:rFonts w:eastAsia="游明朝"/>
                <w:lang w:eastAsia="ja-JP"/>
              </w:rPr>
            </w:pPr>
            <w:r>
              <w:rPr>
                <w:rFonts w:eastAsia="游明朝"/>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游明朝"/>
                <w:lang w:eastAsia="ja-JP"/>
              </w:rPr>
              <w:t>guardband</w:t>
            </w:r>
            <w:proofErr w:type="spellEnd"/>
            <w:r>
              <w:rPr>
                <w:rFonts w:eastAsia="游明朝"/>
                <w:lang w:eastAsia="ja-JP"/>
              </w:rPr>
              <w:t>,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游明朝"/>
                <w:lang w:eastAsia="ja-JP"/>
              </w:rPr>
            </w:pPr>
            <w:r>
              <w:rPr>
                <w:rFonts w:eastAsia="游明朝"/>
                <w:lang w:eastAsia="ja-JP"/>
              </w:rPr>
              <w:t>Intel</w:t>
            </w:r>
          </w:p>
        </w:tc>
        <w:tc>
          <w:tcPr>
            <w:tcW w:w="7470" w:type="dxa"/>
          </w:tcPr>
          <w:p w14:paraId="00FF99AD" w14:textId="6DFB81BF" w:rsidR="00360CFD" w:rsidRDefault="00306CF6" w:rsidP="00180307">
            <w:pPr>
              <w:pStyle w:val="a7"/>
              <w:spacing w:after="0"/>
              <w:rPr>
                <w:rFonts w:eastAsia="游明朝"/>
                <w:lang w:eastAsia="ja-JP"/>
              </w:rPr>
            </w:pPr>
            <w:r w:rsidRPr="00FB4A2D">
              <w:rPr>
                <w:rFonts w:eastAsia="游明朝"/>
                <w:sz w:val="20"/>
                <w:szCs w:val="20"/>
                <w:lang w:eastAsia="ja-JP"/>
              </w:rPr>
              <w:t>Share similar view with LGE</w:t>
            </w:r>
            <w:r>
              <w:rPr>
                <w:rFonts w:eastAsia="游明朝"/>
                <w:sz w:val="20"/>
                <w:szCs w:val="20"/>
                <w:lang w:eastAsia="ja-JP"/>
              </w:rPr>
              <w:t>. The</w:t>
            </w:r>
            <w:r w:rsidR="007D773F">
              <w:rPr>
                <w:rFonts w:eastAsia="游明朝"/>
                <w:sz w:val="20"/>
                <w:szCs w:val="20"/>
                <w:lang w:eastAsia="ja-JP"/>
              </w:rPr>
              <w:t xml:space="preserve"> proposal depends on the </w:t>
            </w:r>
            <w:r w:rsidR="006B12D4">
              <w:rPr>
                <w:rFonts w:eastAsia="游明朝"/>
                <w:sz w:val="20"/>
                <w:szCs w:val="20"/>
                <w:lang w:eastAsia="ja-JP"/>
              </w:rPr>
              <w:t>conclusion</w:t>
            </w:r>
            <w:r w:rsidR="007D773F">
              <w:rPr>
                <w:rFonts w:eastAsia="游明朝"/>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游明朝"/>
                <w:lang w:eastAsia="ja-JP"/>
              </w:rPr>
            </w:pPr>
            <w:r>
              <w:rPr>
                <w:rFonts w:eastAsia="游明朝"/>
                <w:lang w:eastAsia="ja-JP"/>
              </w:rPr>
              <w:t>OPPO</w:t>
            </w:r>
          </w:p>
        </w:tc>
        <w:tc>
          <w:tcPr>
            <w:tcW w:w="7470" w:type="dxa"/>
          </w:tcPr>
          <w:p w14:paraId="29A168AA" w14:textId="0CA52004" w:rsidR="00BD652B" w:rsidRPr="00FB4A2D" w:rsidRDefault="00BD652B" w:rsidP="00180307">
            <w:pPr>
              <w:pStyle w:val="a7"/>
              <w:spacing w:after="0"/>
              <w:rPr>
                <w:rFonts w:eastAsia="游明朝"/>
                <w:lang w:eastAsia="ja-JP"/>
              </w:rPr>
            </w:pPr>
            <w:r>
              <w:rPr>
                <w:rFonts w:eastAsia="游明朝"/>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pPr>
            <w:r>
              <w:rPr>
                <w:rFonts w:hint="eastAsia"/>
              </w:rPr>
              <w:t>v</w:t>
            </w:r>
            <w:r>
              <w:t>ivo</w:t>
            </w:r>
          </w:p>
        </w:tc>
        <w:tc>
          <w:tcPr>
            <w:tcW w:w="7470" w:type="dxa"/>
          </w:tcPr>
          <w:p w14:paraId="0DC04C9C" w14:textId="269C6461" w:rsidR="00E62875" w:rsidRDefault="00E62875" w:rsidP="00180307">
            <w:pPr>
              <w:pStyle w:val="a7"/>
              <w:spacing w:after="0"/>
              <w:rPr>
                <w:rFonts w:eastAsia="游明朝"/>
                <w:lang w:eastAsia="ja-JP"/>
              </w:rPr>
            </w:pPr>
            <w:r w:rsidRPr="00E62875">
              <w:rPr>
                <w:rFonts w:eastAsia="游明朝"/>
                <w:lang w:eastAsia="ja-JP"/>
              </w:rPr>
              <w:t>Share the same with LGE</w:t>
            </w:r>
            <w:r w:rsidR="00B770B2">
              <w:rPr>
                <w:rFonts w:eastAsia="游明朝"/>
                <w:lang w:eastAsia="ja-JP"/>
              </w:rPr>
              <w:t xml:space="preserve"> and </w:t>
            </w:r>
            <w:r w:rsidR="00B770B2" w:rsidRPr="00FB4A2D">
              <w:rPr>
                <w:rFonts w:eastAsia="游明朝"/>
                <w:sz w:val="20"/>
                <w:szCs w:val="20"/>
                <w:lang w:eastAsia="ja-JP"/>
              </w:rPr>
              <w:t>MediaTek</w:t>
            </w:r>
            <w:r w:rsidRPr="00E62875">
              <w:rPr>
                <w:rFonts w:eastAsia="游明朝"/>
                <w:lang w:eastAsia="ja-JP"/>
              </w:rPr>
              <w:t xml:space="preserve"> to wait the outcome under WB agenda. From our understanding, one RB set correspond</w:t>
            </w:r>
            <w:r>
              <w:rPr>
                <w:rFonts w:eastAsia="游明朝"/>
                <w:lang w:eastAsia="ja-JP"/>
              </w:rPr>
              <w:t>s to</w:t>
            </w:r>
            <w:r w:rsidRPr="00E62875">
              <w:rPr>
                <w:rFonts w:eastAsia="游明朝"/>
                <w:lang w:eastAsia="ja-JP"/>
              </w:rPr>
              <w:t xml:space="preserve"> 20MHz, regardless of intra-cell guard bands are configured or not</w:t>
            </w:r>
            <w:r>
              <w:rPr>
                <w:rFonts w:eastAsia="游明朝"/>
                <w:lang w:eastAsia="ja-JP"/>
              </w:rPr>
              <w:t>.</w:t>
            </w:r>
          </w:p>
        </w:tc>
      </w:tr>
      <w:tr w:rsidR="00E07B69" w14:paraId="1279FC6E" w14:textId="77777777">
        <w:tc>
          <w:tcPr>
            <w:tcW w:w="1525" w:type="dxa"/>
          </w:tcPr>
          <w:p w14:paraId="582B2BB4" w14:textId="1E97AF5D" w:rsidR="00E07B69" w:rsidRDefault="00E07B69" w:rsidP="00EC6887">
            <w:pPr>
              <w:pStyle w:val="a7"/>
              <w:spacing w:after="0"/>
            </w:pPr>
            <w:proofErr w:type="spellStart"/>
            <w:r>
              <w:rPr>
                <w:rFonts w:hint="eastAsia"/>
              </w:rPr>
              <w:t>S</w:t>
            </w:r>
            <w:r>
              <w:t>preadtrum</w:t>
            </w:r>
            <w:proofErr w:type="spellEnd"/>
          </w:p>
        </w:tc>
        <w:tc>
          <w:tcPr>
            <w:tcW w:w="7470" w:type="dxa"/>
          </w:tcPr>
          <w:p w14:paraId="0B388604" w14:textId="00E402D4" w:rsidR="00E07B69" w:rsidRPr="00E07B69" w:rsidRDefault="00E07B69" w:rsidP="00180307">
            <w:pPr>
              <w:pStyle w:val="a7"/>
              <w:spacing w:after="0"/>
            </w:pPr>
            <w:r>
              <w:t>Share the same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f7"/>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aff7"/>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w:t>
      </w:r>
      <w:r>
        <w:rPr>
          <w:rFonts w:eastAsia="Times New Roman"/>
          <w:iCs/>
          <w:lang w:eastAsia="en-US"/>
        </w:rPr>
        <w:lastRenderedPageBreak/>
        <w:t xml:space="preserve">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4FD9CF37" w:rsidR="00B346B5" w:rsidRDefault="00B346B5"/>
    <w:p w14:paraId="71EF4426" w14:textId="12334E54" w:rsidR="00F84335" w:rsidRDefault="00F84335" w:rsidP="00F84335">
      <w:pPr>
        <w:pStyle w:val="31"/>
      </w:pPr>
      <w:r>
        <w:t>2.1.1</w:t>
      </w:r>
      <w:r>
        <w:tab/>
        <w:t>Summary of Discussion</w:t>
      </w:r>
    </w:p>
    <w:p w14:paraId="5550B2F2" w14:textId="706E7E94" w:rsidR="00F84335" w:rsidRDefault="00F84335" w:rsidP="00F84335">
      <w:pPr>
        <w:pStyle w:val="a7"/>
        <w:numPr>
          <w:ilvl w:val="0"/>
          <w:numId w:val="29"/>
        </w:numPr>
      </w:pPr>
      <w:r>
        <w:t>7 companies support TP#1</w:t>
      </w:r>
    </w:p>
    <w:p w14:paraId="6357A382" w14:textId="74283D77" w:rsidR="001F47E3" w:rsidRDefault="00F84335" w:rsidP="001F47E3">
      <w:pPr>
        <w:pStyle w:val="a7"/>
        <w:numPr>
          <w:ilvl w:val="1"/>
          <w:numId w:val="29"/>
        </w:numPr>
      </w:pPr>
      <w:r>
        <w:t xml:space="preserve">3 of these companies </w:t>
      </w:r>
      <w:r w:rsidR="001F47E3">
        <w:t>suggest</w:t>
      </w:r>
      <w:r>
        <w:t xml:space="preserve"> minor </w:t>
      </w:r>
      <w:proofErr w:type="spellStart"/>
      <w:r>
        <w:t>modifictions</w:t>
      </w:r>
      <w:proofErr w:type="spellEnd"/>
      <w:r>
        <w:t xml:space="preserve"> to the TP which can be accommodated easily</w:t>
      </w:r>
    </w:p>
    <w:p w14:paraId="7BFA7173" w14:textId="6D9F4729" w:rsidR="001F47E3" w:rsidRDefault="00F84335" w:rsidP="00F84335">
      <w:pPr>
        <w:pStyle w:val="a7"/>
        <w:numPr>
          <w:ilvl w:val="0"/>
          <w:numId w:val="29"/>
        </w:numPr>
      </w:pPr>
      <w:r>
        <w:t xml:space="preserve">5 companies prefer to wait for the outcome of </w:t>
      </w:r>
      <w:r w:rsidR="001F47E3">
        <w:t>Email Thread #1 in the W</w:t>
      </w:r>
      <w:r>
        <w:t xml:space="preserve">ideband </w:t>
      </w:r>
      <w:r w:rsidR="001F47E3">
        <w:t>Operation Agenda Item which has the same deadline</w:t>
      </w:r>
      <w:r w:rsidR="00AE2AA3">
        <w:t>s</w:t>
      </w:r>
      <w:r w:rsidR="001F47E3">
        <w:t xml:space="preserve"> as this thread</w:t>
      </w:r>
    </w:p>
    <w:p w14:paraId="1BEBA3FF" w14:textId="42AF6F90" w:rsidR="00F84335" w:rsidRDefault="001F47E3" w:rsidP="001F47E3">
      <w:pPr>
        <w:pStyle w:val="a7"/>
        <w:numPr>
          <w:ilvl w:val="1"/>
          <w:numId w:val="29"/>
        </w:numPr>
      </w:pPr>
      <w:r>
        <w:t>However, it is not clear what the dependence is. It is the FL’s understanding that the question is not whether or not a carrier with no guard bands should be supported</w:t>
      </w:r>
      <w:r w:rsidR="00AE2AA3">
        <w:t xml:space="preserve"> (RAN1 already agreed to that)</w:t>
      </w:r>
      <w:r>
        <w:t>, but rather how the RB Set/Guard Band indexing should work for such a carrier. TP#1 is not dependent on that since it simply says “for an UL carrier without intra-cell guard bands”</w:t>
      </w:r>
    </w:p>
    <w:p w14:paraId="358677AA" w14:textId="46CAF2D2" w:rsidR="001F47E3" w:rsidRDefault="001F47E3" w:rsidP="001F47E3">
      <w:pPr>
        <w:pStyle w:val="a7"/>
      </w:pPr>
    </w:p>
    <w:p w14:paraId="5D673847" w14:textId="2A370B82" w:rsidR="001F47E3" w:rsidRDefault="001F47E3" w:rsidP="001F47E3">
      <w:pPr>
        <w:pStyle w:val="a7"/>
      </w:pPr>
      <w:r>
        <w:t>Hence, the FL recommendation is as follows:</w:t>
      </w:r>
    </w:p>
    <w:p w14:paraId="1CC148AE" w14:textId="4EBCF75C" w:rsidR="001F47E3" w:rsidRPr="00AE2AA3" w:rsidRDefault="001F47E3" w:rsidP="00AE2AA3">
      <w:pPr>
        <w:pStyle w:val="Proposal"/>
        <w:rPr>
          <w:highlight w:val="cyan"/>
        </w:rPr>
      </w:pPr>
      <w:r w:rsidRPr="00AE2AA3">
        <w:rPr>
          <w:highlight w:val="cyan"/>
        </w:rPr>
        <w:t xml:space="preserve">FL to update </w:t>
      </w:r>
      <w:r w:rsidR="00AE2AA3" w:rsidRPr="00AE2AA3">
        <w:rPr>
          <w:highlight w:val="cyan"/>
        </w:rPr>
        <w:t xml:space="preserve">TP#1 according to company feedback. Further discuss </w:t>
      </w:r>
      <w:r w:rsidR="00AE2AA3">
        <w:rPr>
          <w:highlight w:val="cyan"/>
        </w:rPr>
        <w:t xml:space="preserve">updated </w:t>
      </w:r>
      <w:r w:rsidR="00AE2AA3" w:rsidRPr="00AE2AA3">
        <w:rPr>
          <w:highlight w:val="cyan"/>
        </w:rPr>
        <w:t>TP</w:t>
      </w:r>
      <w:r w:rsidR="00AE2AA3">
        <w:rPr>
          <w:highlight w:val="cyan"/>
        </w:rPr>
        <w:t>#1</w:t>
      </w:r>
      <w:r w:rsidR="00AE2AA3" w:rsidRPr="00AE2AA3">
        <w:rPr>
          <w:highlight w:val="cyan"/>
        </w:rPr>
        <w:t xml:space="preserve"> until 4/28.</w:t>
      </w:r>
    </w:p>
    <w:p w14:paraId="3284D4ED" w14:textId="2CE96828" w:rsidR="001F47E3" w:rsidRDefault="001F47E3" w:rsidP="001F47E3">
      <w:pPr>
        <w:pStyle w:val="a7"/>
      </w:pPr>
    </w:p>
    <w:tbl>
      <w:tblPr>
        <w:tblStyle w:val="aff9"/>
        <w:tblW w:w="8995" w:type="dxa"/>
        <w:tblLayout w:type="fixed"/>
        <w:tblLook w:val="04A0" w:firstRow="1" w:lastRow="0" w:firstColumn="1" w:lastColumn="0" w:noHBand="0" w:noVBand="1"/>
      </w:tblPr>
      <w:tblGrid>
        <w:gridCol w:w="1525"/>
        <w:gridCol w:w="7470"/>
      </w:tblGrid>
      <w:tr w:rsidR="001F47E3" w14:paraId="78D8E3DA" w14:textId="77777777" w:rsidTr="00AE2AA3">
        <w:tc>
          <w:tcPr>
            <w:tcW w:w="1525" w:type="dxa"/>
          </w:tcPr>
          <w:p w14:paraId="3BC90F72" w14:textId="77777777" w:rsidR="001F47E3" w:rsidRDefault="001F47E3" w:rsidP="00AE2AA3">
            <w:pPr>
              <w:pStyle w:val="a7"/>
              <w:spacing w:after="0"/>
              <w:rPr>
                <w:rFonts w:eastAsia="Calibri"/>
                <w:b/>
                <w:sz w:val="20"/>
                <w:szCs w:val="20"/>
              </w:rPr>
            </w:pPr>
            <w:r>
              <w:rPr>
                <w:rFonts w:eastAsia="Calibri"/>
                <w:b/>
                <w:sz w:val="20"/>
                <w:szCs w:val="20"/>
              </w:rPr>
              <w:t>Company</w:t>
            </w:r>
          </w:p>
        </w:tc>
        <w:tc>
          <w:tcPr>
            <w:tcW w:w="7470" w:type="dxa"/>
          </w:tcPr>
          <w:p w14:paraId="2B626567" w14:textId="77777777" w:rsidR="001F47E3" w:rsidRDefault="001F47E3" w:rsidP="00AE2AA3">
            <w:pPr>
              <w:pStyle w:val="a7"/>
              <w:spacing w:after="0"/>
              <w:rPr>
                <w:rFonts w:eastAsia="Calibri"/>
                <w:b/>
                <w:sz w:val="20"/>
                <w:szCs w:val="20"/>
              </w:rPr>
            </w:pPr>
            <w:r>
              <w:rPr>
                <w:rFonts w:eastAsia="Calibri"/>
                <w:b/>
                <w:sz w:val="20"/>
                <w:szCs w:val="20"/>
              </w:rPr>
              <w:t>View/Position</w:t>
            </w:r>
          </w:p>
        </w:tc>
      </w:tr>
      <w:tr w:rsidR="001F47E3" w14:paraId="3834E222" w14:textId="77777777" w:rsidTr="00AE2AA3">
        <w:tc>
          <w:tcPr>
            <w:tcW w:w="1525" w:type="dxa"/>
          </w:tcPr>
          <w:p w14:paraId="33AA0E51" w14:textId="65A2B69E" w:rsidR="001F47E3" w:rsidRPr="00A17AE3" w:rsidRDefault="00A17AE3" w:rsidP="00AE2AA3">
            <w:pPr>
              <w:pStyle w:val="a7"/>
              <w:spacing w:after="0"/>
              <w:rPr>
                <w:rFonts w:eastAsia="游明朝"/>
                <w:sz w:val="20"/>
                <w:szCs w:val="20"/>
                <w:lang w:val="en-US" w:eastAsia="ja-JP"/>
              </w:rPr>
            </w:pPr>
            <w:r>
              <w:rPr>
                <w:rFonts w:eastAsia="游明朝" w:hint="eastAsia"/>
                <w:sz w:val="20"/>
                <w:szCs w:val="20"/>
                <w:lang w:val="en-US" w:eastAsia="ja-JP"/>
              </w:rPr>
              <w:t>S</w:t>
            </w:r>
            <w:r>
              <w:rPr>
                <w:rFonts w:eastAsia="游明朝"/>
                <w:sz w:val="20"/>
                <w:szCs w:val="20"/>
                <w:lang w:val="en-US" w:eastAsia="ja-JP"/>
              </w:rPr>
              <w:t>harp</w:t>
            </w:r>
          </w:p>
        </w:tc>
        <w:tc>
          <w:tcPr>
            <w:tcW w:w="7470" w:type="dxa"/>
          </w:tcPr>
          <w:p w14:paraId="0CF2D6B5" w14:textId="77777777" w:rsidR="00A17AE3" w:rsidRDefault="00C0336E" w:rsidP="00AE2AA3">
            <w:pPr>
              <w:pStyle w:val="a7"/>
              <w:spacing w:after="0"/>
              <w:rPr>
                <w:rFonts w:eastAsia="游明朝"/>
                <w:sz w:val="20"/>
                <w:szCs w:val="20"/>
                <w:lang w:val="en-US" w:eastAsia="ja-JP"/>
              </w:rPr>
            </w:pPr>
            <w:r>
              <w:rPr>
                <w:rFonts w:eastAsia="游明朝"/>
                <w:sz w:val="20"/>
                <w:szCs w:val="20"/>
                <w:lang w:val="en-US" w:eastAsia="ja-JP"/>
              </w:rPr>
              <w:t xml:space="preserve">We </w:t>
            </w:r>
            <w:r w:rsidR="004D40EB">
              <w:rPr>
                <w:rFonts w:eastAsia="游明朝"/>
                <w:sz w:val="20"/>
                <w:szCs w:val="20"/>
                <w:lang w:val="en-US" w:eastAsia="ja-JP"/>
              </w:rPr>
              <w:t>support TP#1.</w:t>
            </w:r>
          </w:p>
          <w:p w14:paraId="7F8202C4" w14:textId="712CEA0D" w:rsidR="004D40EB" w:rsidRDefault="004D40EB" w:rsidP="00AE2AA3">
            <w:pPr>
              <w:pStyle w:val="a7"/>
              <w:spacing w:after="0"/>
              <w:rPr>
                <w:rFonts w:eastAsia="游明朝"/>
                <w:sz w:val="20"/>
                <w:szCs w:val="20"/>
                <w:lang w:val="en-US" w:eastAsia="ja-JP"/>
              </w:rPr>
            </w:pPr>
            <w:r>
              <w:rPr>
                <w:rFonts w:eastAsia="游明朝" w:hint="eastAsia"/>
                <w:sz w:val="20"/>
                <w:szCs w:val="20"/>
                <w:lang w:val="en-US" w:eastAsia="ja-JP"/>
              </w:rPr>
              <w:t>W</w:t>
            </w:r>
            <w:r>
              <w:rPr>
                <w:rFonts w:eastAsia="游明朝"/>
                <w:sz w:val="20"/>
                <w:szCs w:val="20"/>
                <w:lang w:val="en-US" w:eastAsia="ja-JP"/>
              </w:rPr>
              <w:t xml:space="preserve">e agree to the FL’s understanding that </w:t>
            </w:r>
            <w:r w:rsidR="008A2BEC" w:rsidRPr="008A2BEC">
              <w:rPr>
                <w:rFonts w:eastAsia="游明朝"/>
                <w:sz w:val="20"/>
                <w:szCs w:val="20"/>
                <w:lang w:val="en-US" w:eastAsia="ja-JP"/>
              </w:rPr>
              <w:t>the question is not whether or not a carrier with no guard bands should be supported</w:t>
            </w:r>
            <w:r w:rsidRPr="004D40EB">
              <w:rPr>
                <w:rFonts w:eastAsia="游明朝"/>
                <w:sz w:val="20"/>
                <w:szCs w:val="20"/>
                <w:lang w:val="en-US" w:eastAsia="ja-JP"/>
              </w:rPr>
              <w:t>.</w:t>
            </w:r>
            <w:r>
              <w:rPr>
                <w:rFonts w:eastAsia="游明朝"/>
                <w:sz w:val="20"/>
                <w:szCs w:val="20"/>
                <w:lang w:val="en-US" w:eastAsia="ja-JP"/>
              </w:rPr>
              <w:t xml:space="preserve"> TP#1 provides a simple solution for resource allocation of a PUCCH in a case where no intra-cell guard bands are configured. The proposed m</w:t>
            </w:r>
            <w:bookmarkStart w:id="27" w:name="_GoBack"/>
            <w:bookmarkEnd w:id="27"/>
            <w:r>
              <w:rPr>
                <w:rFonts w:eastAsia="游明朝"/>
                <w:sz w:val="20"/>
                <w:szCs w:val="20"/>
                <w:lang w:val="en-US" w:eastAsia="ja-JP"/>
              </w:rPr>
              <w:t>ethod is already implemented for a PUCCH format 3 as in TS38.213V16.1.0.</w:t>
            </w:r>
          </w:p>
          <w:p w14:paraId="5CB54F21" w14:textId="32A98F9D" w:rsidR="004D40EB" w:rsidRDefault="004D40EB" w:rsidP="00AE2AA3">
            <w:pPr>
              <w:pStyle w:val="a7"/>
              <w:spacing w:after="0"/>
              <w:rPr>
                <w:rFonts w:eastAsia="游明朝"/>
                <w:sz w:val="20"/>
                <w:szCs w:val="20"/>
                <w:lang w:val="en-US" w:eastAsia="ja-JP"/>
              </w:rPr>
            </w:pPr>
          </w:p>
          <w:p w14:paraId="2DF73FB8" w14:textId="5B290583" w:rsidR="004D40EB" w:rsidRDefault="004D40EB" w:rsidP="00AE2AA3">
            <w:pPr>
              <w:pStyle w:val="a7"/>
              <w:spacing w:after="0"/>
              <w:rPr>
                <w:rFonts w:eastAsia="游明朝"/>
                <w:sz w:val="20"/>
                <w:szCs w:val="20"/>
                <w:lang w:val="en-US" w:eastAsia="ja-JP"/>
              </w:rPr>
            </w:pPr>
            <w:r>
              <w:rPr>
                <w:rFonts w:eastAsia="游明朝" w:hint="eastAsia"/>
                <w:sz w:val="20"/>
                <w:szCs w:val="20"/>
                <w:lang w:val="en-US" w:eastAsia="ja-JP"/>
              </w:rPr>
              <w:t>T</w:t>
            </w:r>
            <w:r>
              <w:rPr>
                <w:rFonts w:eastAsia="游明朝"/>
                <w:sz w:val="20"/>
                <w:szCs w:val="20"/>
                <w:lang w:val="en-US" w:eastAsia="ja-JP"/>
              </w:rPr>
              <w:t>S38.213V16.1.0 (2020</w:t>
            </w:r>
            <w:r w:rsidR="00FA005D">
              <w:rPr>
                <w:rFonts w:eastAsia="游明朝"/>
                <w:sz w:val="20"/>
                <w:szCs w:val="20"/>
                <w:lang w:val="en-US" w:eastAsia="ja-JP"/>
              </w:rPr>
              <w:t>-03</w:t>
            </w:r>
            <w:r>
              <w:rPr>
                <w:rFonts w:eastAsia="游明朝"/>
                <w:sz w:val="20"/>
                <w:szCs w:val="20"/>
                <w:lang w:val="en-US" w:eastAsia="ja-JP"/>
              </w:rPr>
              <w:t>)</w:t>
            </w:r>
          </w:p>
          <w:p w14:paraId="4AF6FFB7" w14:textId="77777777" w:rsidR="00FA005D" w:rsidRPr="00B916EC" w:rsidRDefault="00FA005D" w:rsidP="00FA005D">
            <w:pPr>
              <w:pStyle w:val="31"/>
              <w:outlineLvl w:val="2"/>
            </w:pPr>
            <w:r w:rsidRPr="00B916EC">
              <w:t>9.2.1</w:t>
            </w:r>
            <w:r w:rsidRPr="00B916EC">
              <w:tab/>
              <w:t>PUCCH Resource Sets</w:t>
            </w:r>
          </w:p>
          <w:p w14:paraId="7626636F" w14:textId="43A04DAE" w:rsidR="00FA005D" w:rsidRDefault="00FA005D" w:rsidP="00AE2AA3">
            <w:pPr>
              <w:pStyle w:val="a7"/>
              <w:spacing w:after="0"/>
              <w:rPr>
                <w:rFonts w:eastAsia="游明朝"/>
                <w:sz w:val="20"/>
                <w:szCs w:val="20"/>
                <w:lang w:val="en-US" w:eastAsia="ja-JP"/>
              </w:rPr>
            </w:pPr>
            <w:r>
              <w:rPr>
                <w:rFonts w:eastAsia="游明朝"/>
                <w:sz w:val="20"/>
                <w:szCs w:val="20"/>
                <w:lang w:val="en-US" w:eastAsia="ja-JP"/>
              </w:rPr>
              <w:t>…</w:t>
            </w:r>
          </w:p>
          <w:p w14:paraId="532E8196" w14:textId="3A2E2CC3" w:rsidR="00FA005D" w:rsidRDefault="00FA005D" w:rsidP="00AE2AA3">
            <w:pPr>
              <w:pStyle w:val="a7"/>
              <w:spacing w:after="0"/>
              <w:rPr>
                <w:rFonts w:eastAsia="游明朝"/>
                <w:sz w:val="20"/>
                <w:szCs w:val="20"/>
                <w:lang w:val="en-US" w:eastAsia="ja-JP"/>
              </w:rPr>
            </w:pPr>
            <w:r w:rsidRPr="00590010">
              <w:t xml:space="preserve">If the </w:t>
            </w:r>
            <w:r w:rsidRPr="00590010">
              <w:rPr>
                <w:i/>
              </w:rPr>
              <w:t>format</w:t>
            </w:r>
            <w:r w:rsidRPr="00590010">
              <w:t xml:space="preserve"> indicates </w:t>
            </w:r>
            <w:r w:rsidRPr="00590010">
              <w:rPr>
                <w:i/>
              </w:rPr>
              <w:t>PUCCH-format3-r16</w:t>
            </w:r>
            <w:r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Pr>
                <w:iCs/>
              </w:rPr>
              <w:t xml:space="preserve"> [4, TS38.211</w:t>
            </w:r>
            <w:r w:rsidRPr="00590010">
              <w:rPr>
                <w:iCs/>
              </w:rPr>
              <w:t xml:space="preserve">] </w:t>
            </w:r>
            <w:r>
              <w:rPr>
                <w:iCs/>
              </w:rPr>
              <w:t>PRBs with the lowest indexe</w:t>
            </w:r>
            <w:r w:rsidRPr="00590010">
              <w:rPr>
                <w:iCs/>
              </w:rPr>
              <w:t xml:space="preserve">s within the first, and if configured, second </w:t>
            </w:r>
            <w:r>
              <w:rPr>
                <w:iCs/>
              </w:rPr>
              <w:t xml:space="preserve">interlace </w:t>
            </w:r>
            <w:r w:rsidRPr="00590010">
              <w:rPr>
                <w:iCs/>
              </w:rPr>
              <w:t>are used for PUCCH transmission</w:t>
            </w:r>
            <w:r>
              <w:rPr>
                <w:iCs/>
              </w:rPr>
              <w:t>.</w:t>
            </w:r>
          </w:p>
          <w:p w14:paraId="1DF41777" w14:textId="1154DBD4" w:rsidR="004D40EB" w:rsidRPr="00A17AE3" w:rsidRDefault="004D40EB" w:rsidP="00AE2AA3">
            <w:pPr>
              <w:pStyle w:val="a7"/>
              <w:spacing w:after="0"/>
              <w:rPr>
                <w:rFonts w:eastAsia="游明朝"/>
                <w:sz w:val="20"/>
                <w:szCs w:val="20"/>
                <w:lang w:val="en-US" w:eastAsia="ja-JP"/>
              </w:rPr>
            </w:pPr>
          </w:p>
        </w:tc>
      </w:tr>
      <w:tr w:rsidR="001F47E3" w14:paraId="260781E1" w14:textId="77777777" w:rsidTr="00AE2AA3">
        <w:tc>
          <w:tcPr>
            <w:tcW w:w="1525" w:type="dxa"/>
          </w:tcPr>
          <w:p w14:paraId="5FD40B24" w14:textId="3BBD0068" w:rsidR="001F47E3" w:rsidRPr="00E97237" w:rsidRDefault="001F47E3" w:rsidP="00AE2AA3">
            <w:pPr>
              <w:pStyle w:val="a7"/>
              <w:spacing w:after="0"/>
              <w:rPr>
                <w:rFonts w:eastAsia="游明朝"/>
                <w:sz w:val="20"/>
                <w:szCs w:val="20"/>
                <w:lang w:eastAsia="ja-JP"/>
              </w:rPr>
            </w:pPr>
          </w:p>
        </w:tc>
        <w:tc>
          <w:tcPr>
            <w:tcW w:w="7470" w:type="dxa"/>
          </w:tcPr>
          <w:p w14:paraId="64BC4748" w14:textId="34084147" w:rsidR="001F47E3" w:rsidRPr="00E97237" w:rsidRDefault="001F47E3" w:rsidP="00AE2AA3">
            <w:pPr>
              <w:pStyle w:val="a7"/>
              <w:spacing w:after="0"/>
              <w:rPr>
                <w:rFonts w:eastAsia="游明朝"/>
                <w:sz w:val="20"/>
                <w:szCs w:val="20"/>
                <w:lang w:eastAsia="ja-JP"/>
              </w:rPr>
            </w:pPr>
          </w:p>
        </w:tc>
      </w:tr>
      <w:tr w:rsidR="001F47E3" w14:paraId="125591AE" w14:textId="77777777" w:rsidTr="00AE2AA3">
        <w:tc>
          <w:tcPr>
            <w:tcW w:w="1525" w:type="dxa"/>
          </w:tcPr>
          <w:p w14:paraId="090E5DB9" w14:textId="1E914A57" w:rsidR="001F47E3" w:rsidRDefault="001F47E3" w:rsidP="00AE2AA3">
            <w:pPr>
              <w:pStyle w:val="a7"/>
              <w:spacing w:after="0"/>
              <w:rPr>
                <w:rFonts w:eastAsia="Calibri"/>
                <w:sz w:val="20"/>
                <w:szCs w:val="20"/>
              </w:rPr>
            </w:pPr>
          </w:p>
        </w:tc>
        <w:tc>
          <w:tcPr>
            <w:tcW w:w="7470" w:type="dxa"/>
          </w:tcPr>
          <w:p w14:paraId="072E328A" w14:textId="5CC577C9" w:rsidR="001F47E3" w:rsidRDefault="001F47E3" w:rsidP="00AE2AA3">
            <w:pPr>
              <w:pStyle w:val="a7"/>
              <w:spacing w:after="0"/>
              <w:rPr>
                <w:rFonts w:eastAsia="Calibri"/>
                <w:sz w:val="20"/>
                <w:szCs w:val="20"/>
              </w:rPr>
            </w:pPr>
          </w:p>
        </w:tc>
      </w:tr>
      <w:tr w:rsidR="001F47E3" w14:paraId="73A43638" w14:textId="77777777" w:rsidTr="00AE2AA3">
        <w:tc>
          <w:tcPr>
            <w:tcW w:w="1525" w:type="dxa"/>
          </w:tcPr>
          <w:p w14:paraId="77C286DE" w14:textId="40C7C7CF" w:rsidR="001F47E3" w:rsidRDefault="001F47E3" w:rsidP="00AE2AA3">
            <w:pPr>
              <w:pStyle w:val="a7"/>
              <w:spacing w:after="0"/>
              <w:rPr>
                <w:rFonts w:eastAsia="Calibri"/>
                <w:sz w:val="20"/>
                <w:szCs w:val="20"/>
              </w:rPr>
            </w:pPr>
          </w:p>
        </w:tc>
        <w:tc>
          <w:tcPr>
            <w:tcW w:w="7470" w:type="dxa"/>
          </w:tcPr>
          <w:p w14:paraId="7CBCD780" w14:textId="46DDA9CC" w:rsidR="001F47E3" w:rsidRDefault="001F47E3" w:rsidP="00AE2AA3">
            <w:pPr>
              <w:pStyle w:val="a7"/>
              <w:spacing w:after="0"/>
              <w:rPr>
                <w:rFonts w:eastAsia="Calibri"/>
                <w:sz w:val="20"/>
                <w:szCs w:val="20"/>
              </w:rPr>
            </w:pPr>
          </w:p>
        </w:tc>
      </w:tr>
    </w:tbl>
    <w:p w14:paraId="00A1878D" w14:textId="77777777" w:rsidR="00F84335" w:rsidRDefault="00F84335" w:rsidP="00F84335">
      <w:pPr>
        <w:pStyle w:val="a7"/>
      </w:pPr>
    </w:p>
    <w:p w14:paraId="07B975F4" w14:textId="77777777" w:rsidR="00B346B5" w:rsidRDefault="00950F41">
      <w:pPr>
        <w:pStyle w:val="21"/>
      </w:pPr>
      <w:bookmarkStart w:id="28" w:name="_Hlk32740917"/>
      <w:bookmarkStart w:id="29" w:name="_Hlk32741833"/>
      <w:r>
        <w:lastRenderedPageBreak/>
        <w:t>2.2</w:t>
      </w:r>
      <w:r>
        <w:tab/>
        <w:t>Issue #6: Multiplexing of Coded UCI Bits to Interlaced PUCCH Format 3</w:t>
      </w:r>
    </w:p>
    <w:p w14:paraId="70EEBCDF" w14:textId="77777777" w:rsidR="00B346B5" w:rsidRDefault="00950F41">
      <w:pPr>
        <w:pStyle w:val="a7"/>
      </w:pPr>
      <w:bookmarkStart w:id="30"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f9"/>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34F817D" w14:textId="77777777" w:rsidR="00B346B5" w:rsidRPr="00E97237" w:rsidRDefault="00E97237">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游明朝"/>
                <w:lang w:eastAsia="ja-JP"/>
              </w:rPr>
            </w:pPr>
            <w:r>
              <w:rPr>
                <w:rFonts w:eastAsia="游明朝" w:hint="eastAsia"/>
                <w:lang w:eastAsia="ja-JP"/>
              </w:rPr>
              <w:t>S</w:t>
            </w:r>
            <w:r>
              <w:rPr>
                <w:rFonts w:eastAsia="游明朝"/>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游明朝"/>
                <w:lang w:eastAsia="ja-JP"/>
              </w:rPr>
            </w:pPr>
            <w:r w:rsidRPr="0033459D">
              <w:rPr>
                <w:rFonts w:eastAsia="游明朝"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游明朝"/>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游明朝"/>
                <w:lang w:eastAsia="ja-JP"/>
              </w:rPr>
            </w:pPr>
            <w:r w:rsidRPr="00A53164">
              <w:rPr>
                <w:rFonts w:eastAsia="游明朝"/>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游明朝"/>
                <w:lang w:eastAsia="ja-JP"/>
              </w:rPr>
            </w:pPr>
            <w:r w:rsidRPr="00A53164">
              <w:rPr>
                <w:rFonts w:eastAsia="游明朝"/>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游明朝"/>
                <w:lang w:eastAsia="ja-JP"/>
              </w:rPr>
            </w:pPr>
            <w:r w:rsidRPr="00247B53">
              <w:rPr>
                <w:rFonts w:eastAsia="游明朝"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游明朝"/>
                <w:lang w:eastAsia="ja-JP"/>
              </w:rPr>
            </w:pPr>
            <w:r w:rsidRPr="00247B53">
              <w:rPr>
                <w:rFonts w:eastAsia="游明朝"/>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游明朝"/>
                <w:lang w:eastAsia="ja-JP"/>
              </w:rPr>
            </w:pPr>
            <w:r w:rsidRPr="00247B53">
              <w:rPr>
                <w:rFonts w:eastAsia="游明朝"/>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游明朝"/>
                <w:lang w:eastAsia="ja-JP"/>
              </w:rPr>
            </w:pPr>
            <w:r>
              <w:rPr>
                <w:rFonts w:eastAsia="游明朝"/>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游明朝"/>
                <w:lang w:eastAsia="ja-JP"/>
              </w:rPr>
            </w:pPr>
            <w:r>
              <w:rPr>
                <w:rFonts w:eastAsia="游明朝"/>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游明朝"/>
                <w:lang w:eastAsia="ja-JP"/>
              </w:rPr>
            </w:pPr>
            <w:r>
              <w:rPr>
                <w:rFonts w:eastAsia="游明朝"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pPr>
            <w:r>
              <w:rPr>
                <w:rFonts w:hint="eastAsia"/>
              </w:rPr>
              <w:t>v</w:t>
            </w:r>
            <w:r>
              <w:t>ivo</w:t>
            </w:r>
          </w:p>
        </w:tc>
        <w:tc>
          <w:tcPr>
            <w:tcW w:w="7470" w:type="dxa"/>
          </w:tcPr>
          <w:p w14:paraId="61F6C4A9" w14:textId="365050B5" w:rsidR="00E62875" w:rsidRDefault="00E62875" w:rsidP="00303BE5">
            <w:pPr>
              <w:pStyle w:val="a7"/>
              <w:spacing w:after="0"/>
              <w:rPr>
                <w:rFonts w:eastAsia="游明朝"/>
                <w:lang w:eastAsia="ja-JP"/>
              </w:rPr>
            </w:pPr>
            <w:r w:rsidRPr="00910D3B">
              <w:rPr>
                <w:rFonts w:eastAsia="游明朝"/>
                <w:sz w:val="20"/>
                <w:szCs w:val="20"/>
                <w:lang w:eastAsia="ja-JP"/>
              </w:rPr>
              <w:t>Agree with TP</w:t>
            </w:r>
            <w:r>
              <w:rPr>
                <w:rFonts w:eastAsia="Malgun Gothic" w:hint="eastAsia"/>
                <w:sz w:val="20"/>
                <w:szCs w:val="20"/>
                <w:lang w:eastAsia="ko-KR"/>
              </w:rPr>
              <w:t>#</w:t>
            </w:r>
            <w:r>
              <w:rPr>
                <w:rFonts w:eastAsia="Malgun Gothic"/>
                <w:sz w:val="20"/>
                <w:szCs w:val="20"/>
                <w:lang w:eastAsia="ko-KR"/>
              </w:rPr>
              <w:t>2</w:t>
            </w:r>
          </w:p>
        </w:tc>
      </w:tr>
      <w:tr w:rsidR="00E07B69" w14:paraId="4E3ED419" w14:textId="77777777">
        <w:tc>
          <w:tcPr>
            <w:tcW w:w="1525" w:type="dxa"/>
          </w:tcPr>
          <w:p w14:paraId="4C2D6F7C" w14:textId="5B5BA4DD" w:rsidR="00E07B69" w:rsidRDefault="00E07B69" w:rsidP="00303BE5">
            <w:pPr>
              <w:pStyle w:val="a7"/>
              <w:spacing w:after="0"/>
            </w:pPr>
            <w:proofErr w:type="spellStart"/>
            <w:r>
              <w:rPr>
                <w:rFonts w:hint="eastAsia"/>
              </w:rPr>
              <w:t>Spreadtrum</w:t>
            </w:r>
            <w:proofErr w:type="spellEnd"/>
          </w:p>
        </w:tc>
        <w:tc>
          <w:tcPr>
            <w:tcW w:w="7470" w:type="dxa"/>
          </w:tcPr>
          <w:p w14:paraId="061AD3DF" w14:textId="045B8C7D" w:rsidR="00E07B69" w:rsidRPr="00E07B69" w:rsidRDefault="00E07B69" w:rsidP="00303BE5">
            <w:pPr>
              <w:pStyle w:val="a7"/>
              <w:spacing w:after="0"/>
            </w:pPr>
            <w:r>
              <w:t>A</w:t>
            </w:r>
            <w:r>
              <w:rPr>
                <w:rFonts w:hint="eastAsia"/>
              </w:rPr>
              <w:t xml:space="preserve">gree </w:t>
            </w:r>
            <w:r>
              <w:t>with the TP</w:t>
            </w:r>
          </w:p>
        </w:tc>
      </w:tr>
    </w:tbl>
    <w:p w14:paraId="136352CE" w14:textId="77777777" w:rsidR="00B346B5" w:rsidRDefault="00B346B5">
      <w:pPr>
        <w:pStyle w:val="a7"/>
      </w:pPr>
    </w:p>
    <w:p w14:paraId="646C6FA4" w14:textId="77777777" w:rsidR="00B346B5" w:rsidRDefault="00950F41">
      <w:pPr>
        <w:pStyle w:val="a7"/>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7.4pt" o:ole="">
            <v:imagedata r:id="rId16" o:title=""/>
          </v:shape>
          <o:OLEObject Type="Embed" ProgID="Equation.3" ShapeID="_x0000_i1025" DrawAspect="Content" ObjectID="_1649141139"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9pt;height:17.4pt" o:ole="">
            <v:imagedata r:id="rId18" o:title=""/>
          </v:shape>
          <o:OLEObject Type="Embed" ProgID="Equation.3" ShapeID="_x0000_i1026" DrawAspect="Content" ObjectID="_1649141140"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0.95pt;height:17.4pt" o:ole="">
            <v:imagedata r:id="rId20" o:title=""/>
          </v:shape>
          <o:OLEObject Type="Embed" ProgID="Equation.3" ShapeID="_x0000_i1027" DrawAspect="Content" ObjectID="_1649141141"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4pt;height:17.4pt" o:ole="">
            <v:imagedata r:id="rId22" o:title=""/>
          </v:shape>
          <o:OLEObject Type="Embed" ProgID="Equation.3" ShapeID="_x0000_i1028" DrawAspect="Content" ObjectID="_1649141142"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0.95pt;height:17.4pt" o:ole="">
            <v:imagedata r:id="rId20" o:title=""/>
          </v:shape>
          <o:OLEObject Type="Embed" ProgID="Equation.3" ShapeID="_x0000_i1029" DrawAspect="Content" ObjectID="_1649141143"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9pt;height:17.4pt" o:ole="">
            <v:imagedata r:id="rId25" o:title=""/>
          </v:shape>
          <o:OLEObject Type="Embed" ProgID="Equation.3" ShapeID="_x0000_i1030" DrawAspect="Content" ObjectID="_1649141144" r:id="rId26"/>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1pt;height:32.85pt" o:ole="">
            <v:imagedata r:id="rId27" o:title=""/>
          </v:shape>
          <o:OLEObject Type="Embed" ProgID="Equation.3" ShapeID="_x0000_i1031" DrawAspect="Content" ObjectID="_1649141145"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4pt;height:18.6pt" o:ole="">
            <v:imagedata r:id="rId29" o:title=""/>
          </v:shape>
          <o:OLEObject Type="Embed" ProgID="Equation.3" ShapeID="_x0000_i1032" DrawAspect="Content" ObjectID="_1649141146"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6pt;height:17.8pt" o:ole="">
            <v:imagedata r:id="rId31" o:title=""/>
          </v:shape>
          <o:OLEObject Type="Embed" ProgID="Equation.3" ShapeID="_x0000_i1033" DrawAspect="Content" ObjectID="_1649141147"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9pt;height:17.8pt" o:ole="">
            <v:imagedata r:id="rId33" o:title=""/>
          </v:shape>
          <o:OLEObject Type="Embed" ProgID="Equation.3" ShapeID="_x0000_i1034" DrawAspect="Content" ObjectID="_1649141148"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35pt;height:15.8pt" o:ole="">
            <v:imagedata r:id="rId35" o:title=""/>
          </v:shape>
          <o:OLEObject Type="Embed" ProgID="Equation.3" ShapeID="_x0000_i1035" DrawAspect="Content" ObjectID="_1649141149" r:id="rId36"/>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251CB635" w14:textId="50644714" w:rsidR="00B346B5" w:rsidRDefault="00950F41" w:rsidP="00821351">
      <w:pPr>
        <w:pStyle w:val="a7"/>
      </w:pPr>
      <w:bookmarkStart w:id="34" w:name="_Hlk32743972"/>
      <w:r>
        <w:rPr>
          <w:highlight w:val="yellow"/>
        </w:rPr>
        <w:t>------------------------------------------------------ End Text Proposal -------------------------------------------------------</w:t>
      </w:r>
      <w:bookmarkEnd w:id="29"/>
      <w:bookmarkEnd w:id="30"/>
      <w:bookmarkEnd w:id="32"/>
      <w:bookmarkEnd w:id="33"/>
      <w:bookmarkEnd w:id="34"/>
    </w:p>
    <w:p w14:paraId="367E87B8" w14:textId="5129DF0A" w:rsidR="00821351" w:rsidRDefault="00821351"/>
    <w:p w14:paraId="4E5E6CA8" w14:textId="3CD6337D" w:rsidR="00821351" w:rsidRDefault="00821351" w:rsidP="00821351">
      <w:pPr>
        <w:pStyle w:val="31"/>
      </w:pPr>
      <w:r>
        <w:t>2.2.1</w:t>
      </w:r>
      <w:r>
        <w:tab/>
        <w:t>Summary of Discussion</w:t>
      </w:r>
    </w:p>
    <w:p w14:paraId="165D02EE" w14:textId="54B8E263" w:rsidR="00821351" w:rsidRDefault="00821351" w:rsidP="00821351">
      <w:pPr>
        <w:pStyle w:val="a7"/>
      </w:pPr>
      <w:r>
        <w:t>There is consensus to support TP#2. The FL recommendation is as follows:</w:t>
      </w:r>
    </w:p>
    <w:p w14:paraId="01C37FF1" w14:textId="718C950B" w:rsidR="00821351" w:rsidRPr="00821351" w:rsidRDefault="00821351" w:rsidP="00821351">
      <w:pPr>
        <w:pStyle w:val="Proposal"/>
        <w:rPr>
          <w:highlight w:val="cyan"/>
        </w:rPr>
      </w:pPr>
      <w:r w:rsidRPr="00821351">
        <w:rPr>
          <w:highlight w:val="cyan"/>
        </w:rPr>
        <w:t>Support TP#2 for 38.212 Section 6.3.1.6</w:t>
      </w:r>
    </w:p>
    <w:p w14:paraId="1654E034" w14:textId="77777777" w:rsidR="00821351" w:rsidRDefault="00821351" w:rsidP="00821351">
      <w:pPr>
        <w:pStyle w:val="a7"/>
      </w:pPr>
    </w:p>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w:t>
      </w:r>
      <w:proofErr w:type="spellStart"/>
      <w:r>
        <w:rPr>
          <w:rFonts w:cs="Arial"/>
        </w:rPr>
        <w:t>onfigured</w:t>
      </w:r>
      <w:proofErr w:type="spellEnd"/>
      <w:r>
        <w:rPr>
          <w:rFonts w:cs="Arial"/>
        </w:rPr>
        <w:t>.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f9"/>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32658F8" w14:textId="24AF42C7" w:rsidR="00B346B5" w:rsidRPr="00BE4818" w:rsidRDefault="00BE4818">
            <w:pPr>
              <w:pStyle w:val="a7"/>
              <w:spacing w:after="0"/>
              <w:rPr>
                <w:rFonts w:eastAsia="游明朝"/>
                <w:sz w:val="20"/>
                <w:szCs w:val="20"/>
                <w:lang w:eastAsia="ja-JP"/>
              </w:rPr>
            </w:pPr>
            <w:r>
              <w:rPr>
                <w:rFonts w:eastAsia="游明朝"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 xml:space="preserve">The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游明朝"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游明朝"/>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游明朝"/>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游明朝"/>
                <w:sz w:val="20"/>
                <w:szCs w:val="20"/>
                <w:lang w:eastAsia="ja-JP"/>
              </w:rPr>
            </w:pPr>
            <w:r w:rsidRPr="00A53164">
              <w:rPr>
                <w:rFonts w:eastAsia="游明朝"/>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游明朝"/>
                <w:sz w:val="20"/>
                <w:szCs w:val="20"/>
                <w:lang w:eastAsia="ja-JP"/>
              </w:rPr>
            </w:pPr>
            <w:r>
              <w:rPr>
                <w:rFonts w:eastAsia="游明朝"/>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游明朝"/>
                <w:lang w:eastAsia="ja-JP"/>
              </w:rPr>
            </w:pPr>
            <w:r w:rsidRPr="00247B53">
              <w:rPr>
                <w:rFonts w:eastAsia="游明朝" w:hint="eastAsia"/>
                <w:sz w:val="20"/>
                <w:szCs w:val="20"/>
                <w:lang w:eastAsia="ja-JP"/>
              </w:rPr>
              <w:t>MediaTek</w:t>
            </w:r>
          </w:p>
        </w:tc>
        <w:tc>
          <w:tcPr>
            <w:tcW w:w="7470" w:type="dxa"/>
          </w:tcPr>
          <w:p w14:paraId="0953D28C" w14:textId="17B8C48D" w:rsidR="00EC6887" w:rsidRDefault="00EC6887" w:rsidP="00EC6887">
            <w:pPr>
              <w:pStyle w:val="a7"/>
              <w:spacing w:after="0"/>
              <w:rPr>
                <w:rFonts w:eastAsia="游明朝"/>
                <w:lang w:eastAsia="ja-JP"/>
              </w:rPr>
            </w:pPr>
            <w:r w:rsidRPr="00247B53">
              <w:rPr>
                <w:rFonts w:eastAsia="游明朝"/>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游明朝"/>
                <w:lang w:eastAsia="ja-JP"/>
              </w:rPr>
            </w:pPr>
            <w:r w:rsidRPr="00247B53">
              <w:rPr>
                <w:rFonts w:eastAsia="游明朝"/>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游明朝"/>
                <w:lang w:eastAsia="ja-JP"/>
              </w:rPr>
            </w:pPr>
            <w:r>
              <w:rPr>
                <w:rFonts w:eastAsia="游明朝"/>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游明朝"/>
                <w:lang w:eastAsia="ja-JP"/>
              </w:rPr>
            </w:pPr>
            <w:r>
              <w:rPr>
                <w:rFonts w:eastAsia="游明朝"/>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lastRenderedPageBreak/>
              <w:t>v</w:t>
            </w:r>
            <w:r>
              <w:t>ivo</w:t>
            </w:r>
          </w:p>
        </w:tc>
        <w:tc>
          <w:tcPr>
            <w:tcW w:w="7470" w:type="dxa"/>
          </w:tcPr>
          <w:p w14:paraId="5DCAC095" w14:textId="39145F6D" w:rsidR="00E62875" w:rsidRDefault="00E62875" w:rsidP="00303BE5">
            <w:pPr>
              <w:pStyle w:val="a7"/>
              <w:spacing w:after="0"/>
              <w:rPr>
                <w:rFonts w:eastAsia="游明朝"/>
                <w:lang w:eastAsia="ja-JP"/>
              </w:rPr>
            </w:pPr>
            <w:r>
              <w:rPr>
                <w:rFonts w:eastAsia="游明朝"/>
                <w:lang w:eastAsia="ja-JP"/>
              </w:rPr>
              <w:t xml:space="preserve">Agree with </w:t>
            </w:r>
            <w:r>
              <w:rPr>
                <w:rFonts w:eastAsia="游明朝"/>
                <w:sz w:val="20"/>
                <w:szCs w:val="20"/>
                <w:lang w:eastAsia="ja-JP"/>
              </w:rPr>
              <w:t>TP#3.</w:t>
            </w:r>
          </w:p>
        </w:tc>
      </w:tr>
      <w:tr w:rsidR="00E07B69" w14:paraId="09CD95AD" w14:textId="77777777" w:rsidTr="008473D3">
        <w:trPr>
          <w:trHeight w:val="349"/>
        </w:trPr>
        <w:tc>
          <w:tcPr>
            <w:tcW w:w="1525" w:type="dxa"/>
          </w:tcPr>
          <w:p w14:paraId="62A4E481" w14:textId="597D111D" w:rsidR="00E07B69" w:rsidRDefault="00E07B69" w:rsidP="00303BE5">
            <w:pPr>
              <w:pStyle w:val="a7"/>
              <w:spacing w:after="0"/>
            </w:pPr>
            <w:proofErr w:type="spellStart"/>
            <w:r>
              <w:rPr>
                <w:rFonts w:hint="eastAsia"/>
              </w:rPr>
              <w:t>S</w:t>
            </w:r>
            <w:r>
              <w:t>preadtrum</w:t>
            </w:r>
            <w:proofErr w:type="spellEnd"/>
          </w:p>
        </w:tc>
        <w:tc>
          <w:tcPr>
            <w:tcW w:w="7470" w:type="dxa"/>
          </w:tcPr>
          <w:p w14:paraId="6ADF0B9E" w14:textId="48FB0FB7" w:rsidR="00E07B69" w:rsidRPr="00E07B69" w:rsidRDefault="00E07B69" w:rsidP="00303BE5">
            <w:pPr>
              <w:pStyle w:val="a7"/>
              <w:spacing w:after="0"/>
            </w:pPr>
            <w:r>
              <w:rPr>
                <w:rFonts w:hint="eastAsia"/>
              </w:rPr>
              <w:t xml:space="preserve">Agree with </w:t>
            </w:r>
            <w:r>
              <w:t xml:space="preserve">the </w:t>
            </w:r>
            <w:r>
              <w:rPr>
                <w:rFonts w:hint="eastAsia"/>
              </w:rPr>
              <w:t>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aff7"/>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5"/>
      <w:r>
        <w:rPr>
          <w:rStyle w:val="aff7"/>
        </w:rPr>
        <w:commentReference w:id="4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End w:id="44"/>
      <w:proofErr w:type="spellEnd"/>
      <w:r>
        <w:rPr>
          <w:rStyle w:val="aff7"/>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6"/>
      <w:r>
        <w:rPr>
          <w:rStyle w:val="aff7"/>
        </w:rPr>
        <w:commentReference w:id="4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47"/>
      <w:commentRangeEnd w:id="47"/>
      <w:proofErr w:type="spellEnd"/>
      <w:r>
        <w:rPr>
          <w:rStyle w:val="aff7"/>
        </w:rPr>
        <w:commentReference w:id="47"/>
      </w:r>
    </w:p>
    <w:p w14:paraId="366DA7F7" w14:textId="77777777" w:rsidR="00B346B5" w:rsidRDefault="00950F41">
      <w:pPr>
        <w:pStyle w:val="a7"/>
        <w:ind w:right="639"/>
        <w:jc w:val="center"/>
        <w:rPr>
          <w:color w:val="FF0000"/>
        </w:rPr>
      </w:pPr>
      <w:r>
        <w:rPr>
          <w:color w:val="FF0000"/>
        </w:rPr>
        <w:t>*** Unchanged text omitted ***</w:t>
      </w:r>
    </w:p>
    <w:p w14:paraId="2912C183" w14:textId="0082276B" w:rsidR="00B346B5" w:rsidRDefault="00950F41" w:rsidP="00821351">
      <w:pPr>
        <w:pStyle w:val="a7"/>
        <w:ind w:right="27"/>
      </w:pPr>
      <w:r>
        <w:rPr>
          <w:highlight w:val="yellow"/>
        </w:rPr>
        <w:t>------------------------------------------------------ End Text Proposal -------------------------------------------------------</w:t>
      </w:r>
    </w:p>
    <w:p w14:paraId="1C2EE1A8" w14:textId="77777777" w:rsidR="00821351" w:rsidRDefault="00821351" w:rsidP="00821351">
      <w:pPr>
        <w:pStyle w:val="a7"/>
        <w:ind w:right="27"/>
      </w:pPr>
    </w:p>
    <w:p w14:paraId="6FCD5E90" w14:textId="006E342E" w:rsidR="00821351" w:rsidRDefault="00821351" w:rsidP="00821351">
      <w:pPr>
        <w:pStyle w:val="31"/>
      </w:pPr>
      <w:r>
        <w:t>2.3.1</w:t>
      </w:r>
      <w:r>
        <w:tab/>
        <w:t xml:space="preserve">Summary of </w:t>
      </w:r>
      <w:proofErr w:type="spellStart"/>
      <w:r>
        <w:t>Discssuion</w:t>
      </w:r>
      <w:proofErr w:type="spellEnd"/>
    </w:p>
    <w:p w14:paraId="1ED4870E" w14:textId="44626359" w:rsidR="00821351" w:rsidRDefault="00821351" w:rsidP="00821351">
      <w:pPr>
        <w:pStyle w:val="a7"/>
      </w:pPr>
      <w:r>
        <w:t>10 companies agree to TP#3 while 2 companies suggest that it may not be needed. Given that it appears there is no strong objection to the TP, the FL recommendation is as follows:</w:t>
      </w:r>
    </w:p>
    <w:p w14:paraId="0D8A315D" w14:textId="7F124DA7" w:rsidR="00821351" w:rsidRPr="00821351" w:rsidRDefault="00821351" w:rsidP="00821351">
      <w:pPr>
        <w:pStyle w:val="Proposal"/>
        <w:rPr>
          <w:highlight w:val="cyan"/>
        </w:rPr>
      </w:pPr>
      <w:r w:rsidRPr="00821351">
        <w:rPr>
          <w:highlight w:val="cyan"/>
        </w:rPr>
        <w:lastRenderedPageBreak/>
        <w:t>Support TP#</w:t>
      </w:r>
      <w:r>
        <w:rPr>
          <w:highlight w:val="cyan"/>
        </w:rPr>
        <w:t>3</w:t>
      </w:r>
      <w:r w:rsidRPr="00821351">
        <w:rPr>
          <w:highlight w:val="cyan"/>
        </w:rPr>
        <w:t xml:space="preserve"> for 38.21</w:t>
      </w:r>
      <w:r>
        <w:rPr>
          <w:highlight w:val="cyan"/>
        </w:rPr>
        <w:t>3</w:t>
      </w:r>
      <w:r w:rsidRPr="00821351">
        <w:rPr>
          <w:highlight w:val="cyan"/>
        </w:rPr>
        <w:t xml:space="preserve"> Section </w:t>
      </w:r>
      <w:r>
        <w:rPr>
          <w:highlight w:val="cyan"/>
        </w:rPr>
        <w:t>9.2.2</w:t>
      </w:r>
    </w:p>
    <w:p w14:paraId="32F48291" w14:textId="77777777" w:rsidR="00821351" w:rsidRDefault="00821351" w:rsidP="00821351">
      <w:pPr>
        <w:pStyle w:val="a7"/>
      </w:pPr>
    </w:p>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 xml:space="preserve">In current RAN1 specs (38.211, 212, 213, 214) there are multiple references to separate parameters for </w:t>
      </w:r>
      <w:proofErr w:type="spellStart"/>
      <w:r>
        <w:t>for</w:t>
      </w:r>
      <w:proofErr w:type="spellEnd"/>
      <w:r>
        <w:t xml:space="preserve">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-Common</w:t>
      </w:r>
    </w:p>
    <w:p w14:paraId="7BE6CA73"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-Dedicated</w:t>
      </w:r>
    </w:p>
    <w:p w14:paraId="1ABD76C0"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proofErr w:type="spellStart"/>
      <w:r>
        <w:rPr>
          <w:i/>
          <w:iCs/>
        </w:rPr>
        <w:t>useInterlacePUCCH</w:t>
      </w:r>
      <w:proofErr w:type="spellEnd"/>
      <w:r>
        <w:rPr>
          <w:i/>
          <w:iCs/>
        </w:rPr>
        <w:t xml:space="preserve">-PUSCH </w:t>
      </w:r>
      <w:r>
        <w:t>within the BWP-</w:t>
      </w:r>
      <w:proofErr w:type="spellStart"/>
      <w:r>
        <w:t>UplinkCommon</w:t>
      </w:r>
      <w:proofErr w:type="spellEnd"/>
      <w:r>
        <w:t xml:space="preserve"> IE</w:t>
      </w:r>
    </w:p>
    <w:p w14:paraId="0BE0EA4D" w14:textId="77777777" w:rsidR="00B346B5" w:rsidRDefault="00950F41">
      <w:pPr>
        <w:pStyle w:val="a7"/>
        <w:numPr>
          <w:ilvl w:val="1"/>
          <w:numId w:val="21"/>
        </w:numPr>
        <w:spacing w:after="0"/>
        <w:ind w:right="634"/>
      </w:pPr>
      <w:r>
        <w:t xml:space="preserve">This parameter is used to configure interlacing for both PUCCH and PUSCH prior to dedicated configuration on a </w:t>
      </w:r>
      <w:proofErr w:type="spellStart"/>
      <w:r>
        <w:t>PCell</w:t>
      </w:r>
      <w:proofErr w:type="spellEnd"/>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proofErr w:type="spellStart"/>
      <w:r>
        <w:rPr>
          <w:i/>
          <w:iCs/>
        </w:rPr>
        <w:t>useInterlacePUCCH</w:t>
      </w:r>
      <w:proofErr w:type="spellEnd"/>
      <w:r>
        <w:rPr>
          <w:i/>
          <w:iCs/>
        </w:rPr>
        <w:t>-PUSCH</w:t>
      </w:r>
      <w:r>
        <w:t xml:space="preserve"> within the BWP-</w:t>
      </w:r>
      <w:proofErr w:type="spellStart"/>
      <w:r>
        <w:t>UplinkDedicated</w:t>
      </w:r>
      <w:proofErr w:type="spellEnd"/>
      <w:r>
        <w:t xml:space="preserve"> IE</w:t>
      </w:r>
    </w:p>
    <w:p w14:paraId="7EA4864B" w14:textId="77777777" w:rsidR="00B346B5" w:rsidRDefault="00950F41">
      <w:pPr>
        <w:pStyle w:val="a7"/>
        <w:numPr>
          <w:ilvl w:val="1"/>
          <w:numId w:val="21"/>
        </w:numPr>
        <w:spacing w:after="0"/>
        <w:ind w:right="634"/>
      </w:pPr>
      <w:r>
        <w:t xml:space="preserve">This parameter is used to configure interlacing for both PUCCH and PUSCH after dedicated configuration for </w:t>
      </w:r>
      <w:proofErr w:type="spellStart"/>
      <w:r>
        <w:t>SCell</w:t>
      </w:r>
      <w:proofErr w:type="spellEnd"/>
      <w:r>
        <w:t xml:space="preserve">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f9"/>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lastRenderedPageBreak/>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游明朝"/>
                <w:sz w:val="20"/>
                <w:szCs w:val="20"/>
                <w:lang w:eastAsia="ja-JP"/>
              </w:rPr>
            </w:pPr>
            <w:r>
              <w:rPr>
                <w:rFonts w:eastAsia="游明朝" w:hint="eastAsia"/>
                <w:sz w:val="20"/>
                <w:szCs w:val="20"/>
                <w:lang w:eastAsia="ja-JP"/>
              </w:rPr>
              <w:t>NTT DOCOMO</w:t>
            </w:r>
          </w:p>
        </w:tc>
        <w:tc>
          <w:tcPr>
            <w:tcW w:w="7470" w:type="dxa"/>
          </w:tcPr>
          <w:p w14:paraId="321CFFF9" w14:textId="77777777" w:rsidR="00B346B5" w:rsidRDefault="00BE4818">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 xml:space="preserve">s </w:t>
            </w:r>
            <w:r>
              <w:rPr>
                <w:rFonts w:eastAsia="游明朝" w:hint="eastAsia"/>
                <w:sz w:val="20"/>
                <w:szCs w:val="20"/>
                <w:lang w:eastAsia="ja-JP"/>
              </w:rPr>
              <w:t>#4</w:t>
            </w:r>
            <w:r>
              <w:rPr>
                <w:rFonts w:eastAsia="游明朝"/>
                <w:sz w:val="20"/>
                <w:szCs w:val="20"/>
                <w:lang w:eastAsia="ja-JP"/>
              </w:rPr>
              <w:t>, #5, #6, #7</w:t>
            </w:r>
          </w:p>
          <w:p w14:paraId="683818EA" w14:textId="130FB332" w:rsidR="00E97707" w:rsidRPr="00BE4818" w:rsidRDefault="00E97707">
            <w:pPr>
              <w:pStyle w:val="a7"/>
              <w:spacing w:after="0"/>
              <w:rPr>
                <w:rFonts w:eastAsia="游明朝"/>
                <w:sz w:val="20"/>
                <w:szCs w:val="20"/>
                <w:lang w:eastAsia="ja-JP"/>
              </w:rPr>
            </w:pPr>
            <w:r>
              <w:rPr>
                <w:rFonts w:eastAsia="游明朝"/>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游明朝"/>
                <w:lang w:eastAsia="ja-JP"/>
              </w:rPr>
            </w:pPr>
            <w:r>
              <w:rPr>
                <w:rFonts w:eastAsia="游明朝" w:hint="eastAsia"/>
                <w:lang w:eastAsia="ja-JP"/>
              </w:rPr>
              <w:t>S</w:t>
            </w:r>
            <w:r>
              <w:rPr>
                <w:rFonts w:eastAsia="游明朝"/>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游明朝"/>
                <w:lang w:eastAsia="ja-JP"/>
              </w:rPr>
            </w:pPr>
            <w:r w:rsidRPr="0033459D">
              <w:rPr>
                <w:rFonts w:eastAsia="游明朝"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游明朝"/>
                <w:sz w:val="20"/>
                <w:szCs w:val="20"/>
                <w:lang w:eastAsia="ja-JP"/>
              </w:rPr>
            </w:pPr>
            <w:r w:rsidRPr="00951DC5">
              <w:rPr>
                <w:rFonts w:eastAsia="游明朝"/>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游明朝"/>
                <w:sz w:val="20"/>
                <w:szCs w:val="20"/>
                <w:lang w:eastAsia="ja-JP"/>
              </w:rPr>
              <w:t xml:space="preserve">Regarding Q1, if the intention of the question is that the configurability of the parameter </w:t>
            </w:r>
            <w:proofErr w:type="spellStart"/>
            <w:r w:rsidRPr="00951DC5">
              <w:rPr>
                <w:rFonts w:eastAsia="游明朝"/>
                <w:i/>
                <w:sz w:val="20"/>
                <w:szCs w:val="20"/>
                <w:lang w:eastAsia="ja-JP"/>
              </w:rPr>
              <w:t>useInterlacePUCCH</w:t>
            </w:r>
            <w:proofErr w:type="spellEnd"/>
            <w:r w:rsidRPr="00951DC5">
              <w:rPr>
                <w:rFonts w:eastAsia="游明朝"/>
                <w:i/>
                <w:sz w:val="20"/>
                <w:szCs w:val="20"/>
                <w:lang w:eastAsia="ja-JP"/>
              </w:rPr>
              <w:t>-PUSCH</w:t>
            </w:r>
            <w:r w:rsidRPr="00951DC5">
              <w:rPr>
                <w:rFonts w:eastAsia="游明朝"/>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游明朝"/>
                <w:lang w:eastAsia="ja-JP"/>
              </w:rPr>
            </w:pPr>
            <w:r w:rsidRPr="00247B53">
              <w:rPr>
                <w:rFonts w:eastAsia="游明朝"/>
                <w:sz w:val="20"/>
                <w:szCs w:val="20"/>
                <w:lang w:eastAsia="ja-JP"/>
              </w:rPr>
              <w:t>MediaTek</w:t>
            </w:r>
          </w:p>
        </w:tc>
        <w:tc>
          <w:tcPr>
            <w:tcW w:w="7470" w:type="dxa"/>
          </w:tcPr>
          <w:p w14:paraId="5F2B7E66" w14:textId="77777777" w:rsidR="00EC6887" w:rsidRPr="00247B53" w:rsidRDefault="00EC6887" w:rsidP="00EC6887">
            <w:pPr>
              <w:pStyle w:val="a7"/>
              <w:spacing w:after="0"/>
              <w:rPr>
                <w:rFonts w:eastAsia="游明朝"/>
                <w:sz w:val="20"/>
                <w:szCs w:val="20"/>
                <w:lang w:eastAsia="ja-JP"/>
              </w:rPr>
            </w:pPr>
            <w:r w:rsidRPr="00247B53">
              <w:rPr>
                <w:rFonts w:eastAsia="游明朝"/>
                <w:sz w:val="20"/>
                <w:szCs w:val="20"/>
                <w:lang w:eastAsia="ja-JP"/>
              </w:rPr>
              <w:t>Agree with the TPs</w:t>
            </w:r>
          </w:p>
          <w:p w14:paraId="13441D12" w14:textId="229CE97F" w:rsidR="00EC6887" w:rsidRPr="00951DC5" w:rsidRDefault="00EC6887" w:rsidP="00EC6887">
            <w:pPr>
              <w:pStyle w:val="a7"/>
              <w:spacing w:after="0"/>
              <w:rPr>
                <w:rFonts w:eastAsia="游明朝"/>
                <w:lang w:eastAsia="ja-JP"/>
              </w:rPr>
            </w:pPr>
            <w:r w:rsidRPr="00247B53">
              <w:rPr>
                <w:rFonts w:eastAsia="游明朝"/>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游明朝" w:hint="eastAsia"/>
                <w:sz w:val="20"/>
                <w:szCs w:val="20"/>
                <w:lang w:eastAsia="ja-JP"/>
              </w:rPr>
              <w:t>S</w:t>
            </w:r>
            <w:r w:rsidRPr="00180307">
              <w:rPr>
                <w:rFonts w:eastAsia="游明朝"/>
                <w:sz w:val="20"/>
                <w:szCs w:val="20"/>
                <w:lang w:eastAsia="ja-JP"/>
              </w:rPr>
              <w:t>amsung</w:t>
            </w:r>
          </w:p>
        </w:tc>
        <w:tc>
          <w:tcPr>
            <w:tcW w:w="7470" w:type="dxa"/>
          </w:tcPr>
          <w:p w14:paraId="1C2CD6DC" w14:textId="77777777" w:rsidR="00180307" w:rsidRPr="00247B53" w:rsidRDefault="00180307" w:rsidP="00180307">
            <w:pPr>
              <w:pStyle w:val="a7"/>
              <w:spacing w:after="0"/>
              <w:rPr>
                <w:rFonts w:eastAsia="游明朝"/>
                <w:sz w:val="20"/>
                <w:szCs w:val="20"/>
                <w:lang w:eastAsia="ja-JP"/>
              </w:rPr>
            </w:pPr>
            <w:r w:rsidRPr="00247B53">
              <w:rPr>
                <w:rFonts w:eastAsia="游明朝"/>
                <w:sz w:val="20"/>
                <w:szCs w:val="20"/>
                <w:lang w:eastAsia="ja-JP"/>
              </w:rPr>
              <w:t>Agree with the TPs</w:t>
            </w:r>
          </w:p>
          <w:p w14:paraId="69834183" w14:textId="7F3B832B" w:rsidR="00180307" w:rsidRPr="00247B53" w:rsidRDefault="00180307" w:rsidP="00180307">
            <w:pPr>
              <w:pStyle w:val="a7"/>
              <w:spacing w:after="0"/>
              <w:rPr>
                <w:rFonts w:eastAsia="游明朝"/>
                <w:lang w:eastAsia="ja-JP"/>
              </w:rPr>
            </w:pPr>
            <w:r w:rsidRPr="00247B53">
              <w:rPr>
                <w:rFonts w:eastAsia="游明朝"/>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游明朝"/>
                <w:lang w:eastAsia="ja-JP"/>
              </w:rPr>
            </w:pPr>
            <w:r>
              <w:rPr>
                <w:rFonts w:eastAsia="游明朝"/>
                <w:lang w:eastAsia="ja-JP"/>
              </w:rPr>
              <w:t>Qualcomm</w:t>
            </w:r>
          </w:p>
        </w:tc>
        <w:tc>
          <w:tcPr>
            <w:tcW w:w="7470" w:type="dxa"/>
          </w:tcPr>
          <w:p w14:paraId="1E6F1F04" w14:textId="77777777" w:rsidR="00F94DA7" w:rsidRPr="00247B53" w:rsidRDefault="00F94DA7" w:rsidP="00F94DA7">
            <w:pPr>
              <w:pStyle w:val="a7"/>
              <w:spacing w:after="0"/>
              <w:rPr>
                <w:rFonts w:eastAsia="游明朝"/>
                <w:sz w:val="20"/>
                <w:szCs w:val="20"/>
                <w:lang w:eastAsia="ja-JP"/>
              </w:rPr>
            </w:pPr>
            <w:r w:rsidRPr="00247B53">
              <w:rPr>
                <w:rFonts w:eastAsia="游明朝"/>
                <w:sz w:val="20"/>
                <w:szCs w:val="20"/>
                <w:lang w:eastAsia="ja-JP"/>
              </w:rPr>
              <w:t>Agree with the TPs</w:t>
            </w:r>
          </w:p>
          <w:p w14:paraId="7E00C732" w14:textId="280598FF" w:rsidR="00F94DA7" w:rsidRPr="00247B53" w:rsidRDefault="00F94DA7" w:rsidP="00F94DA7">
            <w:pPr>
              <w:pStyle w:val="a7"/>
              <w:spacing w:after="0"/>
              <w:rPr>
                <w:rFonts w:eastAsia="游明朝"/>
                <w:lang w:eastAsia="ja-JP"/>
              </w:rPr>
            </w:pPr>
            <w:r w:rsidRPr="00247B53">
              <w:rPr>
                <w:rFonts w:eastAsia="游明朝"/>
                <w:sz w:val="20"/>
                <w:szCs w:val="20"/>
                <w:lang w:eastAsia="ja-JP"/>
              </w:rPr>
              <w:t>Yes to Q1</w:t>
            </w:r>
          </w:p>
        </w:tc>
      </w:tr>
      <w:tr w:rsidR="007A6DD9" w14:paraId="22B04AA4" w14:textId="77777777">
        <w:tc>
          <w:tcPr>
            <w:tcW w:w="1525" w:type="dxa"/>
          </w:tcPr>
          <w:p w14:paraId="2118EF1B" w14:textId="2693A33B" w:rsidR="007A6DD9" w:rsidRDefault="007A6DD9" w:rsidP="007A6DD9">
            <w:pPr>
              <w:pStyle w:val="a7"/>
              <w:spacing w:after="0"/>
              <w:rPr>
                <w:rFonts w:eastAsia="游明朝"/>
                <w:lang w:eastAsia="ja-JP"/>
              </w:rPr>
            </w:pPr>
            <w:r>
              <w:t>Intel</w:t>
            </w:r>
          </w:p>
        </w:tc>
        <w:tc>
          <w:tcPr>
            <w:tcW w:w="7470" w:type="dxa"/>
          </w:tcPr>
          <w:p w14:paraId="4C3C7CE6" w14:textId="77777777" w:rsidR="007A6DD9" w:rsidRDefault="007A6DD9" w:rsidP="007A6DD9">
            <w:pPr>
              <w:pStyle w:val="a7"/>
              <w:spacing w:after="0"/>
              <w:rPr>
                <w:rFonts w:eastAsia="游明朝"/>
                <w:lang w:eastAsia="ja-JP"/>
              </w:rPr>
            </w:pPr>
            <w:r>
              <w:rPr>
                <w:rFonts w:eastAsia="游明朝"/>
                <w:lang w:eastAsia="ja-JP"/>
              </w:rPr>
              <w:t>Agree with the TP</w:t>
            </w:r>
          </w:p>
          <w:p w14:paraId="5499932F" w14:textId="47906F14" w:rsidR="00FB330B" w:rsidRPr="00247B53" w:rsidRDefault="00FB330B" w:rsidP="007A6DD9">
            <w:pPr>
              <w:pStyle w:val="a7"/>
              <w:spacing w:after="0"/>
              <w:rPr>
                <w:rFonts w:eastAsia="游明朝"/>
                <w:lang w:eastAsia="ja-JP"/>
              </w:rPr>
            </w:pPr>
            <w:r>
              <w:rPr>
                <w:rFonts w:eastAsia="Calibri"/>
                <w:sz w:val="20"/>
                <w:szCs w:val="20"/>
              </w:rPr>
              <w:t>Yes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游明朝"/>
                <w:lang w:eastAsia="ja-JP"/>
              </w:rPr>
            </w:pPr>
            <w:r>
              <w:rPr>
                <w:rFonts w:eastAsia="游明朝" w:hint="eastAsia"/>
                <w:lang w:eastAsia="ja-JP"/>
              </w:rPr>
              <w:t>TP OK</w:t>
            </w:r>
          </w:p>
          <w:p w14:paraId="709886CC" w14:textId="02FB2F07" w:rsidR="00BD652B" w:rsidRDefault="00BD652B" w:rsidP="007A6DD9">
            <w:pPr>
              <w:pStyle w:val="a7"/>
              <w:spacing w:after="0"/>
              <w:rPr>
                <w:rFonts w:eastAsia="游明朝"/>
                <w:lang w:eastAsia="ja-JP"/>
              </w:rPr>
            </w:pPr>
            <w:r>
              <w:rPr>
                <w:rFonts w:eastAsia="游明朝"/>
                <w:lang w:eastAsia="ja-JP"/>
              </w:rPr>
              <w:t>Yes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游明朝"/>
                <w:lang w:eastAsia="ja-JP"/>
              </w:rPr>
            </w:pPr>
            <w:r>
              <w:rPr>
                <w:rFonts w:eastAsia="Calibri"/>
                <w:sz w:val="20"/>
                <w:szCs w:val="20"/>
                <w:lang w:val="en-US"/>
              </w:rPr>
              <w:t>Yes to Q1.</w:t>
            </w:r>
          </w:p>
        </w:tc>
      </w:tr>
      <w:tr w:rsidR="00E07B69" w14:paraId="79C78831" w14:textId="77777777">
        <w:tc>
          <w:tcPr>
            <w:tcW w:w="1525" w:type="dxa"/>
          </w:tcPr>
          <w:p w14:paraId="596AE9B9" w14:textId="58AD197A" w:rsidR="00E07B69" w:rsidRDefault="00E07B69" w:rsidP="007A6DD9">
            <w:pPr>
              <w:pStyle w:val="a7"/>
              <w:spacing w:after="0"/>
            </w:pPr>
            <w:proofErr w:type="spellStart"/>
            <w:r>
              <w:rPr>
                <w:rFonts w:hint="eastAsia"/>
              </w:rPr>
              <w:t>S</w:t>
            </w:r>
            <w:r>
              <w:t>preadtrum</w:t>
            </w:r>
            <w:proofErr w:type="spellEnd"/>
          </w:p>
        </w:tc>
        <w:tc>
          <w:tcPr>
            <w:tcW w:w="7470" w:type="dxa"/>
          </w:tcPr>
          <w:p w14:paraId="2F5A2BA4" w14:textId="77777777" w:rsidR="00E07B69" w:rsidRDefault="00E07B69" w:rsidP="00E62875">
            <w:pPr>
              <w:pStyle w:val="a7"/>
              <w:spacing w:after="0"/>
              <w:rPr>
                <w:lang w:val="en-US"/>
              </w:rPr>
            </w:pPr>
            <w:r>
              <w:rPr>
                <w:lang w:val="en-US"/>
              </w:rPr>
              <w:t>A</w:t>
            </w:r>
            <w:r>
              <w:rPr>
                <w:rFonts w:hint="eastAsia"/>
                <w:lang w:val="en-US"/>
              </w:rPr>
              <w:t xml:space="preserve">gree </w:t>
            </w:r>
            <w:r>
              <w:rPr>
                <w:lang w:val="en-US"/>
              </w:rPr>
              <w:t>with the TP</w:t>
            </w:r>
          </w:p>
          <w:p w14:paraId="7595400F" w14:textId="5A34B921" w:rsidR="00E07B69" w:rsidRPr="00E07B69" w:rsidRDefault="00E07B69" w:rsidP="00E62875">
            <w:pPr>
              <w:pStyle w:val="a7"/>
              <w:spacing w:after="0"/>
              <w:rPr>
                <w:lang w:val="en-US"/>
              </w:rPr>
            </w:pPr>
            <w:r>
              <w:rPr>
                <w:lang w:val="en-US"/>
              </w:rPr>
              <w:t>Yes to Q1</w:t>
            </w:r>
          </w:p>
        </w:tc>
      </w:tr>
    </w:tbl>
    <w:p w14:paraId="728E6A10" w14:textId="31490AEB"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CE339A">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05pt;height:15.05pt" o:ole="">
            <v:imagedata r:id="rId37" o:title=""/>
          </v:shape>
          <o:OLEObject Type="Embed" ProgID="Equation.3" ShapeID="_x0000_i1036" DrawAspect="Content" ObjectID="_1649141150"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85pt;height:15.05pt" o:ole="">
            <v:imagedata r:id="rId39" o:title=""/>
          </v:shape>
          <o:OLEObject Type="Embed" ProgID="Equation.3" ShapeID="_x0000_i1037" DrawAspect="Content" ObjectID="_1649141151"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lastRenderedPageBreak/>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9pt;height:18.6pt" o:ole="">
            <v:imagedata r:id="rId41" o:title=""/>
          </v:shape>
          <o:OLEObject Type="Embed" ProgID="Equation.3" ShapeID="_x0000_i1038" DrawAspect="Content" ObjectID="_1649141152"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05pt;height:14.25pt" o:ole="">
            <v:imagedata r:id="rId43" o:title=""/>
          </v:shape>
          <o:OLEObject Type="Embed" ProgID="Equation.3" ShapeID="_x0000_i1039" DrawAspect="Content" ObjectID="_1649141153"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65pt;height:15.8pt" o:ole="">
            <v:imagedata r:id="rId45" o:title=""/>
          </v:shape>
          <o:OLEObject Type="Embed" ProgID="Equation.3" ShapeID="_x0000_i1040" DrawAspect="Content" ObjectID="_1649141154"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1pt;height:15.8pt" o:ole="">
            <v:imagedata r:id="rId47" o:title=""/>
          </v:shape>
          <o:OLEObject Type="Embed" ProgID="Equation.3" ShapeID="_x0000_i1041" DrawAspect="Content" ObjectID="_1649141155" r:id="rId48"/>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1pt;height:15.8pt" o:ole="">
            <v:imagedata r:id="rId49" o:title=""/>
          </v:shape>
          <o:OLEObject Type="Embed" ProgID="Equation.3" ShapeID="_x0000_i1042" DrawAspect="Content" ObjectID="_1649141156" r:id="rId5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70.1pt;height:20.95pt" o:ole="">
            <v:imagedata r:id="rId51" o:title=""/>
          </v:shape>
          <o:OLEObject Type="Embed" ProgID="Equation.3" ShapeID="_x0000_i1043" DrawAspect="Content" ObjectID="_1649141157" r:id="rId52"/>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55pt;height:18.6pt" o:ole="">
            <v:imagedata r:id="rId53" o:title=""/>
          </v:shape>
          <o:OLEObject Type="Embed" ProgID="Equation.3" ShapeID="_x0000_i1044" DrawAspect="Content" ObjectID="_1649141158" r:id="rId54"/>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lastRenderedPageBreak/>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9pt;height:18.6pt" o:ole="">
            <v:imagedata r:id="rId41" o:title=""/>
          </v:shape>
          <o:OLEObject Type="Embed" ProgID="Equation.3" ShapeID="_x0000_i1045" DrawAspect="Content" ObjectID="_1649141159"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05pt;height:14.25pt" o:ole="">
            <v:imagedata r:id="rId43" o:title=""/>
          </v:shape>
          <o:OLEObject Type="Embed" ProgID="Equation.3" ShapeID="_x0000_i1046" DrawAspect="Content" ObjectID="_1649141160"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65pt;height:15.8pt" o:ole="">
            <v:imagedata r:id="rId45" o:title=""/>
          </v:shape>
          <o:OLEObject Type="Embed" ProgID="Equation.3" ShapeID="_x0000_i1047" DrawAspect="Content" ObjectID="_1649141161"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1pt;height:15.8pt" o:ole="">
            <v:imagedata r:id="rId47" o:title=""/>
          </v:shape>
          <o:OLEObject Type="Embed" ProgID="Equation.3" ShapeID="_x0000_i1048" DrawAspect="Content" ObjectID="_1649141162" r:id="rId58"/>
        </w:object>
      </w:r>
      <w:r>
        <w:rPr>
          <w:rFonts w:eastAsia="SimSun" w:hint="eastAsia"/>
          <w:lang w:eastAsia="zh-CN"/>
        </w:rPr>
        <w:t xml:space="preserve"> if </w:t>
      </w:r>
      <w:r>
        <w:rPr>
          <w:rFonts w:eastAsia="SimSun"/>
          <w:position w:val="-10"/>
        </w:rPr>
        <w:object w:dxaOrig="1102" w:dyaOrig="301" w14:anchorId="5B91667C">
          <v:shape id="_x0000_i1049" type="#_x0000_t75" style="width:55.4pt;height:15.05pt" o:ole="">
            <v:imagedata r:id="rId59" o:title=""/>
          </v:shape>
          <o:OLEObject Type="Embed" ProgID="Equation.3" ShapeID="_x0000_i1049" DrawAspect="Content" ObjectID="_1649141163" r:id="rId60"/>
        </w:object>
      </w:r>
      <w:r>
        <w:rPr>
          <w:rFonts w:eastAsia="SimSun" w:hint="eastAsia"/>
          <w:lang w:eastAsia="zh-CN"/>
        </w:rPr>
        <w:t xml:space="preserve"> and </w:t>
      </w:r>
      <w:r>
        <w:rPr>
          <w:rFonts w:eastAsia="SimSun"/>
          <w:position w:val="-10"/>
        </w:rPr>
        <w:object w:dxaOrig="952" w:dyaOrig="313" w14:anchorId="7415844D">
          <v:shape id="_x0000_i1050" type="#_x0000_t75" style="width:47.1pt;height:15.8pt" o:ole="">
            <v:imagedata r:id="rId61" o:title=""/>
          </v:shape>
          <o:OLEObject Type="Embed" ProgID="Equation.3" ShapeID="_x0000_i1050" DrawAspect="Content" ObjectID="_1649141164"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70.1pt;height:20.95pt" o:ole="">
            <v:imagedata r:id="rId51" o:title=""/>
          </v:shape>
          <o:OLEObject Type="Embed" ProgID="Equation.3" ShapeID="_x0000_i1051" DrawAspect="Content" ObjectID="_1649141165" r:id="rId6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55pt;height:18.6pt" o:ole="">
            <v:imagedata r:id="rId53" o:title=""/>
          </v:shape>
          <o:OLEObject Type="Embed" ProgID="Equation.3" ShapeID="_x0000_i1052" DrawAspect="Content" ObjectID="_1649141166" r:id="rId64"/>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05pt;height:14.25pt" o:ole="">
            <v:imagedata r:id="rId43" o:title=""/>
          </v:shape>
          <o:OLEObject Type="Embed" ProgID="Equation.3" ShapeID="_x0000_i1053" DrawAspect="Content" ObjectID="_1649141167" r:id="rId65"/>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9pt;height:15.05pt" o:ole="">
            <v:imagedata r:id="rId66" o:title=""/>
          </v:shape>
          <o:OLEObject Type="Embed" ProgID="Equation.3" ShapeID="_x0000_i1054" DrawAspect="Content" ObjectID="_1649141168"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9pt;height:15.05pt" o:ole="">
            <v:imagedata r:id="rId66" o:title=""/>
          </v:shape>
          <o:OLEObject Type="Embed" ProgID="Equation.3" ShapeID="_x0000_i1055" DrawAspect="Content" ObjectID="_1649141169"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9pt;height:18.6pt" o:ole="">
            <v:imagedata r:id="rId41" o:title=""/>
          </v:shape>
          <o:OLEObject Type="Embed" ProgID="Equation.3" ShapeID="_x0000_i1056" DrawAspect="Content" ObjectID="_1649141170" r:id="rId69"/>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65pt;height:17.8pt" o:ole="">
            <v:imagedata r:id="rId70" o:title=""/>
            <o:lock v:ext="edit" aspectratio="f"/>
          </v:shape>
          <o:OLEObject Type="Embed" ProgID="Equation.3" ShapeID="_x0000_i1057" DrawAspect="Content" ObjectID="_1649141171"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9pt;height:15.05pt" o:ole="">
            <v:imagedata r:id="rId66" o:title=""/>
          </v:shape>
          <o:OLEObject Type="Embed" ProgID="Equation.3" ShapeID="_x0000_i1058" DrawAspect="Content" ObjectID="_1649141172"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lastRenderedPageBreak/>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9pt;height:18.6pt" o:ole="">
            <v:imagedata r:id="rId41" o:title=""/>
          </v:shape>
          <o:OLEObject Type="Embed" ProgID="Equation.3" ShapeID="_x0000_i1059" DrawAspect="Content" ObjectID="_1649141173"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1.65pt;height:15.8pt" o:ole="">
            <v:imagedata r:id="rId45" o:title=""/>
          </v:shape>
          <o:OLEObject Type="Embed" ProgID="Equation.3" ShapeID="_x0000_i1060" DrawAspect="Content" ObjectID="_1649141174"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1pt;height:15.8pt" o:ole="">
            <v:imagedata r:id="rId47" o:title=""/>
          </v:shape>
          <o:OLEObject Type="Embed" ProgID="Equation.3" ShapeID="_x0000_i1061" DrawAspect="Content" ObjectID="_1649141175" r:id="rId75"/>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1pt;height:15.8pt" o:ole="">
            <v:imagedata r:id="rId76" o:title=""/>
          </v:shape>
          <o:OLEObject Type="Embed" ProgID="Equation.3" ShapeID="_x0000_i1062" DrawAspect="Content" ObjectID="_1649141176" r:id="rId77"/>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70.1pt;height:20.95pt" o:ole="">
            <v:imagedata r:id="rId51" o:title=""/>
          </v:shape>
          <o:OLEObject Type="Embed" ProgID="Equation.3" ShapeID="_x0000_i1063" DrawAspect="Content" ObjectID="_1649141177" r:id="rId78"/>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55pt;height:18.6pt" o:ole="">
            <v:imagedata r:id="rId79" o:title=""/>
          </v:shape>
          <o:OLEObject Type="Embed" ProgID="Equation.3" ShapeID="_x0000_i1064" DrawAspect="Content" ObjectID="_1649141178" r:id="rId80"/>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proofErr w:type="spellStart"/>
      <w:r>
        <w:rPr>
          <w:rFonts w:eastAsia="Times New Roman"/>
          <w:i/>
          <w:iCs/>
        </w:rPr>
        <w:t>msgA-intraSlotFrequencyHopping</w:t>
      </w:r>
      <w:proofErr w:type="spellEnd"/>
      <w:r>
        <w:rPr>
          <w:rFonts w:eastAsia="Times New Roman"/>
          <w:iCs/>
        </w:rPr>
        <w:t xml:space="preserve"> for the active UL BWP</w:t>
      </w:r>
      <w:r>
        <w:rPr>
          <w:rFonts w:eastAsia="Times New Roman"/>
        </w:rPr>
        <w:t xml:space="preserve">, the frequency offset for the second hop [6, TS 38.214] is determined as described in Clause 8.3, Table 8.3-1 using </w:t>
      </w:r>
      <w:proofErr w:type="spellStart"/>
      <w:r>
        <w:rPr>
          <w:rFonts w:eastAsia="Times New Roman"/>
          <w:i/>
          <w:iCs/>
        </w:rPr>
        <w:t>msgA-HoppingBits</w:t>
      </w:r>
      <w:proofErr w:type="spellEnd"/>
      <w:r>
        <w:rPr>
          <w:rFonts w:eastAsia="Times New Roman"/>
          <w:i/>
          <w:iCs/>
        </w:rPr>
        <w:t xml:space="preserve">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is provided, </w:t>
      </w:r>
      <w:r>
        <w:rPr>
          <w:rFonts w:eastAsia="Times New Roman"/>
          <w:color w:val="000000"/>
        </w:rPr>
        <w:t xml:space="preserve">a first symbol of the PUSCH transmission after frequency hopping is separated by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symbols from a last symbol of the PUSCH transmission before </w:t>
      </w:r>
      <w:r>
        <w:rPr>
          <w:rFonts w:eastAsia="Times New Roman"/>
          <w:iCs/>
        </w:rPr>
        <w:lastRenderedPageBreak/>
        <w:t>frequency hopping; otherwise, there is no time separation of the PUSCH transmission before and after frequency hopping.</w:t>
      </w:r>
      <w:r>
        <w:rPr>
          <w:rFonts w:eastAsia="Times New Roman"/>
        </w:rPr>
        <w:t xml:space="preserve"> If the UE is provided with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and by uplink resource allocation type 2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provided [6, TS 38.214]. For an </w:t>
      </w:r>
      <w:r>
        <w:rPr>
          <w:rFonts w:eastAsia="ＭＳ 明朝"/>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 UE processes</w:t>
      </w:r>
      <w:r>
        <w:rPr>
          <w:rFonts w:eastAsia="ＭＳ 明朝"/>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w:t>
      </w:r>
      <w:proofErr w:type="spellStart"/>
      <w:r>
        <w:rPr>
          <w:rFonts w:eastAsia="Times New Roman"/>
          <w:i/>
        </w:rPr>
        <w:t>ResourceSet</w:t>
      </w:r>
      <w:proofErr w:type="spellEnd"/>
      <w:r>
        <w:rPr>
          <w:rFonts w:eastAsia="Times New Roman"/>
        </w:rPr>
        <w:t xml:space="preserve"> in </w:t>
      </w:r>
      <w:r>
        <w:rPr>
          <w:rFonts w:eastAsia="Times New Roman"/>
          <w:i/>
        </w:rPr>
        <w:t>PUCCH-Config</w:t>
      </w:r>
      <w:r>
        <w:rPr>
          <w:rFonts w:eastAsia="Times New Roman"/>
        </w:rPr>
        <w:t xml:space="preserve">, a PUCCH resource set is provided by </w:t>
      </w:r>
      <w:proofErr w:type="spellStart"/>
      <w:r>
        <w:rPr>
          <w:rFonts w:eastAsia="Times New Roman"/>
          <w:i/>
        </w:rPr>
        <w:t>pucch-ResourceCommon</w:t>
      </w:r>
      <w:proofErr w:type="spellEnd"/>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proofErr w:type="spellStart"/>
      <w:r>
        <w:rPr>
          <w:rFonts w:eastAsia="Times New Roman"/>
          <w:i/>
        </w:rPr>
        <w:t>pucch-ResourceCommon</w:t>
      </w:r>
      <w:proofErr w:type="spellEnd"/>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proofErr w:type="spellStart"/>
      <w:r>
        <w:rPr>
          <w:rFonts w:eastAsia="Times New Roman"/>
          <w:i/>
        </w:rPr>
        <w:t>pucch-ResourceCommon</w:t>
      </w:r>
      <w:proofErr w:type="spellEnd"/>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lastRenderedPageBreak/>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and an index for an orthogonal cover code by </w:t>
      </w:r>
      <w:proofErr w:type="spellStart"/>
      <w:r>
        <w:rPr>
          <w:rFonts w:eastAsia="Times New Roman"/>
          <w:i/>
        </w:rPr>
        <w:t>timeDomainOCC</w:t>
      </w:r>
      <w:proofErr w:type="spellEnd"/>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proofErr w:type="spellStart"/>
      <w:r>
        <w:rPr>
          <w:rFonts w:eastAsia="Times New Roman"/>
          <w:i/>
        </w:rPr>
        <w:t>nrofPRBs</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and a first symbol for the PUCCH transmission provided by </w:t>
      </w:r>
      <w:proofErr w:type="spellStart"/>
      <w:r>
        <w:rPr>
          <w:rFonts w:eastAsia="Times New Roman"/>
          <w:i/>
        </w:rPr>
        <w:t>startingSymbolIndex</w:t>
      </w:r>
      <w:proofErr w:type="spellEnd"/>
      <w:r>
        <w:rPr>
          <w:rFonts w:eastAsia="Times New Roman"/>
        </w:rPr>
        <w:t xml:space="preserve">. If a UE is provided by </w:t>
      </w:r>
      <w:proofErr w:type="spellStart"/>
      <w:r>
        <w:rPr>
          <w:rFonts w:eastAsia="Times New Roman"/>
          <w:i/>
          <w:iCs/>
          <w:strike/>
          <w:color w:val="FF0000"/>
        </w:rPr>
        <w:t>useInterlacePUCCH</w:t>
      </w:r>
      <w:proofErr w:type="spellEnd"/>
      <w:r>
        <w:rPr>
          <w:rFonts w:eastAsia="Times New Roman"/>
          <w:i/>
          <w:iCs/>
          <w:strike/>
          <w:color w:val="FF0000"/>
        </w:rPr>
        <w:t>-Dedicated -r16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w:t>
      </w:r>
      <w:r>
        <w:rPr>
          <w:rFonts w:eastAsia="Times New Roman"/>
          <w:i/>
        </w:rPr>
        <w:lastRenderedPageBreak/>
        <w:t>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w:t>
      </w:r>
      <w:proofErr w:type="spellStart"/>
      <w:r>
        <w:rPr>
          <w:rFonts w:eastAsia="Times New Roman"/>
        </w:rPr>
        <w:t>fallbackRAR</w:t>
      </w:r>
      <w:proofErr w:type="spellEnd"/>
      <w:r>
        <w:rPr>
          <w:rFonts w:eastAsia="Times New Roman"/>
        </w:rPr>
        <w:t xml:space="preserve">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w:t>
      </w:r>
      <w:proofErr w:type="spellStart"/>
      <w:r>
        <w:rPr>
          <w:rFonts w:eastAsia="Times New Roman"/>
          <w:color w:val="000000"/>
        </w:rPr>
        <w:t>r</w:t>
      </w:r>
      <w:r>
        <w:rPr>
          <w:rFonts w:eastAsia="Times New Roman"/>
          <w:i/>
          <w:color w:val="000000"/>
        </w:rPr>
        <w:t>esourceAllocation</w:t>
      </w:r>
      <w:proofErr w:type="spellEnd"/>
      <w:r>
        <w:rPr>
          <w:rFonts w:eastAsia="Times New Roman"/>
          <w:color w:val="000000"/>
        </w:rPr>
        <w:t xml:space="preserve"> in </w:t>
      </w:r>
      <w:proofErr w:type="spellStart"/>
      <w:r>
        <w:rPr>
          <w:rFonts w:eastAsia="Times New Roman"/>
          <w:i/>
          <w:color w:val="000000"/>
        </w:rPr>
        <w:t>pusch</w:t>
      </w:r>
      <w:proofErr w:type="spellEnd"/>
      <w:r>
        <w:rPr>
          <w:rFonts w:eastAsia="Times New Roman"/>
          <w:i/>
          <w:color w:val="000000"/>
        </w:rPr>
        <w:t>-Config</w:t>
      </w:r>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xml:space="preserve">',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proofErr w:type="spellStart"/>
      <w:r>
        <w:rPr>
          <w:rFonts w:eastAsia="Times New Roman"/>
          <w:i/>
          <w:color w:val="000000"/>
        </w:rPr>
        <w:t>pusch</w:t>
      </w:r>
      <w:proofErr w:type="spellEnd"/>
      <w:r>
        <w:rPr>
          <w:rFonts w:eastAsia="Times New Roman"/>
          <w:i/>
          <w:color w:val="000000"/>
        </w:rPr>
        <w:t>-Config</w:t>
      </w:r>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proofErr w:type="spellStart"/>
      <w:r>
        <w:rPr>
          <w:rFonts w:eastAsia="Times New Roman"/>
          <w:i/>
          <w:color w:val="000000"/>
        </w:rPr>
        <w:t>resourceAllocation</w:t>
      </w:r>
      <w:proofErr w:type="spellEnd"/>
      <w:r>
        <w:rPr>
          <w:rFonts w:eastAsia="Times New Roman"/>
          <w:i/>
          <w:color w:val="000000"/>
        </w:rPr>
        <w:t xml:space="preserve">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or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proofErr w:type="spellStart"/>
      <w:r>
        <w:rPr>
          <w:rFonts w:ascii="Times New Roman" w:eastAsia="Times New Roman" w:hAnsi="Times New Roman"/>
          <w:i/>
          <w:strike/>
          <w:color w:val="FF0000"/>
          <w:lang w:eastAsia="en-US"/>
        </w:rPr>
        <w:t>useInterlacePUSCH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and </w:t>
      </w:r>
      <w:proofErr w:type="spellStart"/>
      <w:r>
        <w:rPr>
          <w:rFonts w:ascii="Times New Roman" w:eastAsia="Times New Roman" w:hAnsi="Times New Roman"/>
          <w:i/>
          <w:strike/>
          <w:color w:val="FF0000"/>
          <w:lang w:eastAsia="en-US"/>
        </w:rPr>
        <w:t>useInterlacePUCCH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ＭＳ 明朝"/>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proofErr w:type="spellStart"/>
      <w:r w:rsidRPr="00E67976">
        <w:rPr>
          <w:rFonts w:eastAsia="SimSun"/>
          <w:i/>
          <w:lang w:val="en-US"/>
        </w:rPr>
        <w:t>frequencyDomainAllocation</w:t>
      </w:r>
      <w:proofErr w:type="spellEnd"/>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ＭＳ 明朝"/>
          <w:lang w:val="en-US"/>
        </w:rPr>
        <w:t xml:space="preserve">for a given </w:t>
      </w:r>
      <w:r w:rsidRPr="00E67976">
        <w:rPr>
          <w:rFonts w:eastAsia="SimSun" w:hint="eastAsia"/>
          <w:lang w:val="en-US" w:eastAsia="zh-CN"/>
        </w:rPr>
        <w:t xml:space="preserve">resource allocation type indicated by </w:t>
      </w:r>
      <w:proofErr w:type="spellStart"/>
      <w:r>
        <w:rPr>
          <w:rFonts w:eastAsia="SimSun"/>
          <w:i/>
          <w:lang w:eastAsia="zh-CN"/>
        </w:rPr>
        <w:t>resourceAllocation</w:t>
      </w:r>
      <w:proofErr w:type="spellEnd"/>
      <w:r>
        <w:rPr>
          <w:rFonts w:eastAsia="SimSun"/>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proofErr w:type="spellStart"/>
      <w:r w:rsidRPr="00E67976">
        <w:rPr>
          <w:rFonts w:eastAsia="SimSun"/>
          <w:i/>
          <w:color w:val="000000"/>
          <w:lang w:val="en-US"/>
        </w:rPr>
        <w:lastRenderedPageBreak/>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C39FB5F" w:rsidR="00B346B5" w:rsidRDefault="00B346B5"/>
    <w:p w14:paraId="576D6784" w14:textId="7540D5E7" w:rsidR="00821351" w:rsidRDefault="00821351" w:rsidP="00821351">
      <w:pPr>
        <w:pStyle w:val="31"/>
      </w:pPr>
      <w:r>
        <w:t>2.4.1</w:t>
      </w:r>
      <w:r>
        <w:tab/>
        <w:t xml:space="preserve">Summary of </w:t>
      </w:r>
      <w:proofErr w:type="spellStart"/>
      <w:r>
        <w:t>Dicussion</w:t>
      </w:r>
      <w:proofErr w:type="spellEnd"/>
    </w:p>
    <w:p w14:paraId="535AFF58" w14:textId="0B4762C6" w:rsidR="00821351" w:rsidRDefault="00821351" w:rsidP="00821351">
      <w:pPr>
        <w:pStyle w:val="a7"/>
      </w:pPr>
      <w:r>
        <w:t xml:space="preserve">There is consensus to support TP#4,5,6,7. There is also consensus that the answer to Q1 is “Yes.” </w:t>
      </w:r>
    </w:p>
    <w:p w14:paraId="6E589EB1" w14:textId="77777777" w:rsidR="00821351" w:rsidRDefault="00821351" w:rsidP="0082135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AFBA2DB" w14:textId="30D37249" w:rsidR="00821351" w:rsidRDefault="00821351" w:rsidP="00821351">
      <w:pPr>
        <w:pStyle w:val="a7"/>
      </w:pPr>
      <w:r>
        <w:t>Based on this, the FL recommendation is as follows:</w:t>
      </w:r>
    </w:p>
    <w:p w14:paraId="278F2FE7" w14:textId="0C5781DB" w:rsidR="00821351" w:rsidRDefault="00821351" w:rsidP="00821351">
      <w:pPr>
        <w:pStyle w:val="Proposal"/>
        <w:rPr>
          <w:highlight w:val="cyan"/>
        </w:rPr>
      </w:pPr>
      <w:r w:rsidRPr="00821351">
        <w:rPr>
          <w:highlight w:val="cyan"/>
        </w:rPr>
        <w:t>Support TP#</w:t>
      </w:r>
      <w:r>
        <w:rPr>
          <w:highlight w:val="cyan"/>
        </w:rPr>
        <w:t>4,5,6,7</w:t>
      </w:r>
      <w:r w:rsidRPr="00821351">
        <w:rPr>
          <w:highlight w:val="cyan"/>
        </w:rPr>
        <w:t xml:space="preserve"> for 38.</w:t>
      </w:r>
      <w:r>
        <w:rPr>
          <w:highlight w:val="cyan"/>
        </w:rPr>
        <w:t>211,212,213,214 respectively</w:t>
      </w:r>
    </w:p>
    <w:p w14:paraId="3AD42B98" w14:textId="2A2A2047" w:rsidR="00821351" w:rsidRPr="00F84335" w:rsidRDefault="00821351" w:rsidP="00821351">
      <w:pPr>
        <w:pStyle w:val="Proposal"/>
        <w:rPr>
          <w:highlight w:val="cyan"/>
        </w:rPr>
      </w:pPr>
      <w:r w:rsidRPr="00F84335">
        <w:rPr>
          <w:highlight w:val="cyan"/>
        </w:rPr>
        <w:t xml:space="preserve">FL to draft TP </w:t>
      </w:r>
      <w:r w:rsidR="00F84335" w:rsidRPr="00F84335">
        <w:rPr>
          <w:highlight w:val="cyan"/>
        </w:rPr>
        <w:t xml:space="preserve">to capture the consensus that the UE shall </w:t>
      </w:r>
      <w:r w:rsidR="00F84335">
        <w:rPr>
          <w:highlight w:val="cyan"/>
        </w:rPr>
        <w:t xml:space="preserve">expect </w:t>
      </w:r>
      <w:r w:rsidR="00F84335" w:rsidRPr="00F84335">
        <w:rPr>
          <w:highlight w:val="cyan"/>
        </w:rPr>
        <w:t xml:space="preserve">that </w:t>
      </w:r>
      <w:proofErr w:type="spellStart"/>
      <w:r w:rsidR="00F84335" w:rsidRPr="00F84335">
        <w:rPr>
          <w:i/>
          <w:iCs/>
          <w:highlight w:val="cyan"/>
        </w:rPr>
        <w:t>useInterlacePUCCH</w:t>
      </w:r>
      <w:proofErr w:type="spellEnd"/>
      <w:r w:rsidR="00F84335" w:rsidRPr="00F84335">
        <w:rPr>
          <w:i/>
          <w:iCs/>
          <w:highlight w:val="cyan"/>
        </w:rPr>
        <w:t>-PUSCH</w:t>
      </w:r>
      <w:r w:rsidR="00F84335">
        <w:rPr>
          <w:highlight w:val="cyan"/>
        </w:rPr>
        <w:t xml:space="preserve"> </w:t>
      </w:r>
      <w:r w:rsidR="00F84335" w:rsidRPr="00F84335">
        <w:rPr>
          <w:highlight w:val="cyan"/>
        </w:rPr>
        <w:t xml:space="preserve">is configured the same way for all </w:t>
      </w:r>
      <w:r w:rsidR="00F84335">
        <w:rPr>
          <w:highlight w:val="cyan"/>
        </w:rPr>
        <w:t xml:space="preserve">configured </w:t>
      </w:r>
      <w:r w:rsidR="00F84335" w:rsidRPr="00F84335">
        <w:rPr>
          <w:highlight w:val="cyan"/>
        </w:rPr>
        <w:t>BWPs of a serving cell</w:t>
      </w:r>
      <w:r w:rsidR="00F84335">
        <w:rPr>
          <w:highlight w:val="cyan"/>
        </w:rPr>
        <w:t>. Endorsement of TP by</w:t>
      </w:r>
      <w:r w:rsidRPr="00F84335">
        <w:rPr>
          <w:highlight w:val="cyan"/>
        </w:rPr>
        <w:t xml:space="preserve"> </w:t>
      </w:r>
      <w:r w:rsidR="00F84335" w:rsidRPr="00F84335">
        <w:rPr>
          <w:highlight w:val="cyan"/>
        </w:rPr>
        <w:t>4/28</w:t>
      </w:r>
      <w:r w:rsidR="00F84335">
        <w:rPr>
          <w:highlight w:val="cyan"/>
        </w:rPr>
        <w:t>.</w:t>
      </w:r>
    </w:p>
    <w:p w14:paraId="70D872C0" w14:textId="77777777" w:rsidR="00821351" w:rsidRDefault="00821351" w:rsidP="00821351">
      <w:pPr>
        <w:pStyle w:val="a7"/>
      </w:pPr>
    </w:p>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A17AE3" w:rsidRDefault="00A17AE3" w:rsidP="00E67976">
      <w:pPr>
        <w:pStyle w:val="aa"/>
      </w:pPr>
      <w:r>
        <w:t>New RRC parameter name (see Issue #7 below)</w:t>
      </w:r>
    </w:p>
  </w:comment>
  <w:comment w:id="18" w:author="Stephen Grant" w:date="2020-04-19T18:21:00Z" w:initials="SG">
    <w:p w14:paraId="162AA9ED" w14:textId="77777777" w:rsidR="00A17AE3" w:rsidRDefault="00A17AE3" w:rsidP="00E67976">
      <w:pPr>
        <w:pStyle w:val="aa"/>
      </w:pPr>
      <w:r>
        <w:t>This differentiates between PF3 from PF4. It covers the following 3 out of 4 possible conditions:</w:t>
      </w:r>
    </w:p>
    <w:p w14:paraId="7DC5B00D" w14:textId="77777777" w:rsidR="00A17AE3" w:rsidRDefault="00A17AE3" w:rsidP="00E67976">
      <w:pPr>
        <w:pStyle w:val="aa"/>
        <w:numPr>
          <w:ilvl w:val="0"/>
          <w:numId w:val="19"/>
        </w:numPr>
      </w:pPr>
      <w:r>
        <w:t xml:space="preserve"> No OCC + no interlacing (Rel-15)</w:t>
      </w:r>
    </w:p>
    <w:p w14:paraId="23FFE374" w14:textId="77777777" w:rsidR="00A17AE3" w:rsidRDefault="00A17AE3" w:rsidP="00E67976">
      <w:pPr>
        <w:pStyle w:val="aa"/>
        <w:numPr>
          <w:ilvl w:val="0"/>
          <w:numId w:val="19"/>
        </w:numPr>
      </w:pPr>
      <w:r>
        <w:t xml:space="preserve"> No OCC + interlacing (Rel-16, SF = 1)</w:t>
      </w:r>
    </w:p>
    <w:p w14:paraId="2AC58F04" w14:textId="77777777" w:rsidR="00A17AE3" w:rsidRDefault="00A17AE3" w:rsidP="00E67976">
      <w:pPr>
        <w:pStyle w:val="aa"/>
        <w:numPr>
          <w:ilvl w:val="0"/>
          <w:numId w:val="19"/>
        </w:numPr>
      </w:pPr>
      <w:r>
        <w:t xml:space="preserve"> OCC + interlacing (Rel-16, SF = 2 or 4)</w:t>
      </w:r>
    </w:p>
  </w:comment>
  <w:comment w:id="25" w:author="Stephen Grant" w:date="2020-04-19T18:59:00Z" w:initials="SG">
    <w:p w14:paraId="178D90CC" w14:textId="77777777" w:rsidR="00A17AE3" w:rsidRDefault="00A17AE3">
      <w:pPr>
        <w:pStyle w:val="aa"/>
      </w:pPr>
      <w:r>
        <w:t>New RRC parameter name (see Issue #7 below)</w:t>
      </w:r>
    </w:p>
  </w:comment>
  <w:comment w:id="26" w:author="Stephen Grant" w:date="2020-04-19T18:21:00Z" w:initials="SG">
    <w:p w14:paraId="2CF8AA91" w14:textId="77777777" w:rsidR="00A17AE3" w:rsidRDefault="00A17AE3">
      <w:pPr>
        <w:pStyle w:val="aa"/>
      </w:pPr>
      <w:r>
        <w:t>This differentiates between PF3 from PF4. It covers the following 3 out of 4 possible conditions:</w:t>
      </w:r>
    </w:p>
    <w:p w14:paraId="5AB448F4" w14:textId="77777777" w:rsidR="00A17AE3" w:rsidRDefault="00A17AE3">
      <w:pPr>
        <w:pStyle w:val="aa"/>
        <w:numPr>
          <w:ilvl w:val="0"/>
          <w:numId w:val="19"/>
        </w:numPr>
      </w:pPr>
      <w:r>
        <w:t xml:space="preserve"> No OCC + no interlacing (Rel-15)</w:t>
      </w:r>
    </w:p>
    <w:p w14:paraId="515F8F08" w14:textId="77777777" w:rsidR="00A17AE3" w:rsidRDefault="00A17AE3">
      <w:pPr>
        <w:pStyle w:val="aa"/>
        <w:numPr>
          <w:ilvl w:val="0"/>
          <w:numId w:val="19"/>
        </w:numPr>
      </w:pPr>
      <w:r>
        <w:t xml:space="preserve"> No OCC + interlacing (Rel-16, SF = 1)</w:t>
      </w:r>
    </w:p>
    <w:p w14:paraId="59FF104E" w14:textId="77777777" w:rsidR="00A17AE3" w:rsidRDefault="00A17AE3">
      <w:pPr>
        <w:pStyle w:val="aa"/>
        <w:numPr>
          <w:ilvl w:val="0"/>
          <w:numId w:val="19"/>
        </w:numPr>
      </w:pPr>
      <w:r>
        <w:t xml:space="preserve"> OCC + interlacing (Rel-16, SF = 2 or 4)</w:t>
      </w:r>
    </w:p>
  </w:comment>
  <w:comment w:id="43" w:author="Stephen Grant" w:date="2020-04-19T18:47:00Z" w:initials="SG">
    <w:p w14:paraId="2921577B" w14:textId="77777777" w:rsidR="00A17AE3" w:rsidRDefault="00A17AE3">
      <w:pPr>
        <w:pStyle w:val="aa"/>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A17AE3" w:rsidRDefault="00A17AE3">
      <w:pPr>
        <w:pStyle w:val="aa"/>
      </w:pPr>
      <w:r>
        <w:t>New RRC parameter name (see Issue #7)</w:t>
      </w:r>
    </w:p>
  </w:comment>
  <w:comment w:id="44" w:author="Stephen Grant" w:date="2020-04-19T18:21:00Z" w:initials="SG">
    <w:p w14:paraId="6743AF24" w14:textId="77777777" w:rsidR="00A17AE3" w:rsidRDefault="00A17AE3">
      <w:pPr>
        <w:pStyle w:val="aa"/>
      </w:pPr>
      <w:r>
        <w:t>This differentiates between PF3 from PF4. It covers the following 3 out of 4 possible conditions:</w:t>
      </w:r>
    </w:p>
    <w:p w14:paraId="2AA2DF42" w14:textId="77777777" w:rsidR="00A17AE3" w:rsidRDefault="00A17AE3">
      <w:pPr>
        <w:pStyle w:val="aa"/>
        <w:numPr>
          <w:ilvl w:val="0"/>
          <w:numId w:val="19"/>
        </w:numPr>
      </w:pPr>
      <w:r>
        <w:t xml:space="preserve"> No OCC + no interlacing (Rel-15)</w:t>
      </w:r>
    </w:p>
    <w:p w14:paraId="455B9F06" w14:textId="77777777" w:rsidR="00A17AE3" w:rsidRDefault="00A17AE3">
      <w:pPr>
        <w:pStyle w:val="aa"/>
        <w:numPr>
          <w:ilvl w:val="0"/>
          <w:numId w:val="19"/>
        </w:numPr>
      </w:pPr>
      <w:r>
        <w:t xml:space="preserve"> No OCC + interlacing (Rel-16, SF = 1)</w:t>
      </w:r>
    </w:p>
    <w:p w14:paraId="66F07DEC" w14:textId="77777777" w:rsidR="00A17AE3" w:rsidRDefault="00A17AE3">
      <w:pPr>
        <w:pStyle w:val="aa"/>
        <w:numPr>
          <w:ilvl w:val="0"/>
          <w:numId w:val="19"/>
        </w:numPr>
      </w:pPr>
      <w:r>
        <w:t xml:space="preserve"> OCC + interlacing (Rel-16, SF = 2 or 4)</w:t>
      </w:r>
    </w:p>
  </w:comment>
  <w:comment w:id="46" w:author="Stephen Grant" w:date="2020-04-19T18:59:00Z" w:initials="SG">
    <w:p w14:paraId="331BB149" w14:textId="77777777" w:rsidR="00A17AE3" w:rsidRDefault="00A17AE3">
      <w:pPr>
        <w:pStyle w:val="aa"/>
      </w:pPr>
      <w:r>
        <w:t>New RRC parameter name (see Issue #7)</w:t>
      </w:r>
    </w:p>
  </w:comment>
  <w:comment w:id="47" w:author="Stephen Grant" w:date="2020-04-19T18:21:00Z" w:initials="SG">
    <w:p w14:paraId="486CFC3C" w14:textId="77777777" w:rsidR="00A17AE3" w:rsidRDefault="00A17AE3">
      <w:pPr>
        <w:pStyle w:val="aa"/>
      </w:pPr>
      <w:r>
        <w:t>This differentiates between PF3 from PF4. It covers the following 3 out of 4 possible conditions:</w:t>
      </w:r>
    </w:p>
    <w:p w14:paraId="181564EA" w14:textId="77777777" w:rsidR="00A17AE3" w:rsidRDefault="00A17AE3">
      <w:pPr>
        <w:pStyle w:val="aa"/>
        <w:numPr>
          <w:ilvl w:val="0"/>
          <w:numId w:val="19"/>
        </w:numPr>
      </w:pPr>
      <w:r>
        <w:t xml:space="preserve"> No OCC + no interlacing (Rel-15)</w:t>
      </w:r>
    </w:p>
    <w:p w14:paraId="07CD13B1" w14:textId="77777777" w:rsidR="00A17AE3" w:rsidRDefault="00A17AE3">
      <w:pPr>
        <w:pStyle w:val="aa"/>
        <w:numPr>
          <w:ilvl w:val="0"/>
          <w:numId w:val="19"/>
        </w:numPr>
      </w:pPr>
      <w:r>
        <w:t xml:space="preserve"> No OCC + interlacing (Rel-16, SF = 1)</w:t>
      </w:r>
    </w:p>
    <w:p w14:paraId="617926FE" w14:textId="77777777" w:rsidR="00A17AE3" w:rsidRDefault="00A17AE3">
      <w:pPr>
        <w:pStyle w:val="aa"/>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E702E" w14:textId="77777777" w:rsidR="00CE339A" w:rsidRDefault="00CE339A">
      <w:pPr>
        <w:spacing w:after="0" w:line="240" w:lineRule="auto"/>
      </w:pPr>
      <w:r>
        <w:separator/>
      </w:r>
    </w:p>
  </w:endnote>
  <w:endnote w:type="continuationSeparator" w:id="0">
    <w:p w14:paraId="708FC5A9" w14:textId="77777777" w:rsidR="00CE339A" w:rsidRDefault="00CE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A17AE3" w:rsidRDefault="00A17AE3">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Pr>
        <w:rStyle w:val="aff3"/>
        <w:noProof/>
      </w:rPr>
      <w:t>8</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Pr>
        <w:rStyle w:val="aff3"/>
        <w:noProof/>
      </w:rPr>
      <w:t>15</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8EF5" w14:textId="77777777" w:rsidR="00CE339A" w:rsidRDefault="00CE339A">
      <w:pPr>
        <w:spacing w:after="0" w:line="240" w:lineRule="auto"/>
      </w:pPr>
      <w:r>
        <w:separator/>
      </w:r>
    </w:p>
  </w:footnote>
  <w:footnote w:type="continuationSeparator" w:id="0">
    <w:p w14:paraId="7E69DE10" w14:textId="77777777" w:rsidR="00CE339A" w:rsidRDefault="00CE3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A17AE3" w:rsidRDefault="00A17A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D82DAD"/>
    <w:multiLevelType w:val="hybridMultilevel"/>
    <w:tmpl w:val="EE9C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3"/>
  </w:num>
  <w:num w:numId="9">
    <w:abstractNumId w:val="6"/>
  </w:num>
  <w:num w:numId="10">
    <w:abstractNumId w:val="12"/>
  </w:num>
  <w:num w:numId="11">
    <w:abstractNumId w:val="9"/>
  </w:num>
  <w:num w:numId="12">
    <w:abstractNumId w:val="13"/>
  </w:num>
  <w:num w:numId="13">
    <w:abstractNumId w:val="14"/>
  </w:num>
  <w:num w:numId="14">
    <w:abstractNumId w:val="26"/>
  </w:num>
  <w:num w:numId="15">
    <w:abstractNumId w:val="11"/>
  </w:num>
  <w:num w:numId="16">
    <w:abstractNumId w:val="25"/>
  </w:num>
  <w:num w:numId="17">
    <w:abstractNumId w:val="24"/>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7"/>
  </w:num>
  <w:num w:numId="25">
    <w:abstractNumId w:val="15"/>
  </w:num>
  <w:num w:numId="26">
    <w:abstractNumId w:val="10"/>
  </w:num>
  <w:num w:numId="27">
    <w:abstractNumId w:val="28"/>
  </w:num>
  <w:num w:numId="28">
    <w:abstractNumId w:val="22"/>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hideSpellingErrors/>
  <w:hideGrammaticalErrors/>
  <w:proofState w:spelling="clean" w:grammar="dirty"/>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08"/>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7E3"/>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47B50"/>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0D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0EB"/>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351"/>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BEC"/>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AE3"/>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2AA3"/>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36E"/>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339A"/>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07B69"/>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35"/>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005D"/>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2"/>
    <w:uiPriority w:val="9"/>
    <w:qFormat/>
    <w:pPr>
      <w:pBdr>
        <w:top w:val="none" w:sz="0" w:space="0" w:color="auto"/>
      </w:pBdr>
      <w:spacing w:before="180"/>
      <w:outlineLvl w:val="1"/>
    </w:pPr>
    <w:rPr>
      <w:sz w:val="32"/>
    </w:rPr>
  </w:style>
  <w:style w:type="paragraph" w:styleId="31">
    <w:name w:val="heading 3"/>
    <w:basedOn w:val="21"/>
    <w:next w:val="a2"/>
    <w:link w:val="32"/>
    <w:uiPriority w:val="9"/>
    <w:qFormat/>
    <w:pPr>
      <w:spacing w:before="120"/>
      <w:outlineLvl w:val="2"/>
    </w:pPr>
    <w:rPr>
      <w:sz w:val="28"/>
    </w:rPr>
  </w:style>
  <w:style w:type="paragraph" w:styleId="41">
    <w:name w:val="heading 4"/>
    <w:basedOn w:val="31"/>
    <w:next w:val="a2"/>
    <w:link w:val="42"/>
    <w:uiPriority w:val="9"/>
    <w:qFormat/>
    <w:pPr>
      <w:ind w:left="1418" w:hanging="1418"/>
      <w:outlineLvl w:val="3"/>
    </w:pPr>
    <w:rPr>
      <w:sz w:val="24"/>
    </w:rPr>
  </w:style>
  <w:style w:type="paragraph" w:styleId="50">
    <w:name w:val="heading 5"/>
    <w:basedOn w:val="41"/>
    <w:next w:val="a2"/>
    <w:link w:val="51"/>
    <w:uiPriority w:val="9"/>
    <w:qFormat/>
    <w:pPr>
      <w:ind w:left="1701" w:hanging="1701"/>
      <w:outlineLvl w:val="4"/>
    </w:pPr>
    <w:rPr>
      <w:sz w:val="22"/>
    </w:rPr>
  </w:style>
  <w:style w:type="paragraph" w:styleId="6">
    <w:name w:val="heading 6"/>
    <w:basedOn w:val="H6"/>
    <w:next w:val="a2"/>
    <w:link w:val="60"/>
    <w:uiPriority w:val="9"/>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3">
    <w:name w:val="List 3"/>
    <w:basedOn w:val="23"/>
    <w:qFormat/>
    <w:pPr>
      <w:ind w:left="1135"/>
    </w:pPr>
  </w:style>
  <w:style w:type="paragraph" w:styleId="23">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a8"/>
    <w:qFormat/>
    <w:pPr>
      <w:spacing w:after="120"/>
      <w:jc w:val="both"/>
    </w:pPr>
    <w:rPr>
      <w:rFonts w:ascii="Arial" w:hAnsi="Arial"/>
      <w:lang w:eastAsia="zh-CN"/>
    </w:rPr>
  </w:style>
  <w:style w:type="paragraph" w:styleId="a9">
    <w:name w:val="annotation subject"/>
    <w:basedOn w:val="aa"/>
    <w:next w:val="aa"/>
    <w:link w:val="ab"/>
    <w:qFormat/>
    <w:rPr>
      <w:b/>
      <w:bCs/>
    </w:rPr>
  </w:style>
  <w:style w:type="paragraph" w:styleId="aa">
    <w:name w:val="annotation text"/>
    <w:basedOn w:val="a2"/>
    <w:link w:val="ac"/>
    <w:uiPriority w:val="99"/>
    <w:qFormat/>
  </w:style>
  <w:style w:type="paragraph" w:styleId="71">
    <w:name w:val="toc 7"/>
    <w:basedOn w:val="61"/>
    <w:next w:val="a2"/>
    <w:uiPriority w:val="39"/>
    <w:qFormat/>
    <w:pPr>
      <w:ind w:left="1000"/>
    </w:pPr>
  </w:style>
  <w:style w:type="paragraph" w:styleId="61">
    <w:name w:val="toc 6"/>
    <w:basedOn w:val="52"/>
    <w:next w:val="a2"/>
    <w:uiPriority w:val="39"/>
    <w:qFormat/>
    <w:pPr>
      <w:ind w:left="800"/>
    </w:pPr>
  </w:style>
  <w:style w:type="paragraph" w:styleId="52">
    <w:name w:val="toc 5"/>
    <w:basedOn w:val="43"/>
    <w:next w:val="a2"/>
    <w:uiPriority w:val="39"/>
    <w:qFormat/>
    <w:pPr>
      <w:ind w:left="600"/>
    </w:pPr>
  </w:style>
  <w:style w:type="paragraph" w:styleId="43">
    <w:name w:val="toc 4"/>
    <w:basedOn w:val="34"/>
    <w:next w:val="a2"/>
    <w:uiPriority w:val="39"/>
    <w:qFormat/>
    <w:pPr>
      <w:ind w:left="400"/>
    </w:pPr>
  </w:style>
  <w:style w:type="paragraph" w:styleId="34">
    <w:name w:val="toc 3"/>
    <w:basedOn w:val="24"/>
    <w:next w:val="a2"/>
    <w:uiPriority w:val="39"/>
    <w:qFormat/>
    <w:pPr>
      <w:spacing w:before="0"/>
      <w:ind w:left="200"/>
    </w:pPr>
    <w:rPr>
      <w:b w:val="0"/>
      <w:bCs w:val="0"/>
    </w:rPr>
  </w:style>
  <w:style w:type="paragraph" w:styleId="24">
    <w:name w:val="toc 2"/>
    <w:basedOn w:val="11"/>
    <w:next w:val="a2"/>
    <w:uiPriority w:val="39"/>
    <w:qFormat/>
    <w:pPr>
      <w:spacing w:before="240"/>
    </w:pPr>
    <w:rPr>
      <w:rFonts w:asciiTheme="minorHAnsi" w:hAnsiTheme="minorHAnsi" w:cstheme="minorHAnsi"/>
      <w:caps w:val="0"/>
      <w:sz w:val="20"/>
      <w:szCs w:val="20"/>
    </w:rPr>
  </w:style>
  <w:style w:type="paragraph" w:styleId="11">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d">
    <w:name w:val="caption"/>
    <w:basedOn w:val="a2"/>
    <w:next w:val="a2"/>
    <w:link w:val="ae"/>
    <w:qFormat/>
    <w:pPr>
      <w:spacing w:before="120" w:after="120"/>
    </w:pPr>
    <w:rPr>
      <w:b/>
      <w:lang w:eastAsia="en-GB"/>
    </w:rPr>
  </w:style>
  <w:style w:type="paragraph" w:styleId="af">
    <w:name w:val="Document Map"/>
    <w:basedOn w:val="a2"/>
    <w:link w:val="af0"/>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1">
    <w:name w:val="List Continue"/>
    <w:basedOn w:val="a2"/>
    <w:qFormat/>
    <w:pPr>
      <w:spacing w:after="120"/>
      <w:ind w:left="283"/>
      <w:contextualSpacing/>
    </w:pPr>
    <w:rPr>
      <w:rFonts w:ascii="Arial" w:hAnsi="Arial"/>
    </w:rPr>
  </w:style>
  <w:style w:type="paragraph" w:styleId="af2">
    <w:name w:val="Plain Text"/>
    <w:basedOn w:val="a2"/>
    <w:link w:val="af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ＭＳ 明朝"/>
      <w:lang w:eastAsia="en-GB"/>
    </w:rPr>
  </w:style>
  <w:style w:type="paragraph" w:styleId="81">
    <w:name w:val="toc 8"/>
    <w:basedOn w:val="11"/>
    <w:next w:val="a2"/>
    <w:uiPriority w:val="39"/>
    <w:qFormat/>
    <w:pPr>
      <w:spacing w:before="0"/>
      <w:ind w:left="1200"/>
    </w:pPr>
    <w:rPr>
      <w:rFonts w:asciiTheme="minorHAnsi" w:hAnsiTheme="minorHAnsi" w:cstheme="minorHAnsi"/>
      <w:b w:val="0"/>
      <w:bCs w:val="0"/>
      <w:caps w:val="0"/>
      <w:sz w:val="20"/>
      <w:szCs w:val="20"/>
    </w:rPr>
  </w:style>
  <w:style w:type="paragraph" w:styleId="af4">
    <w:name w:val="Balloon Text"/>
    <w:basedOn w:val="a2"/>
    <w:link w:val="af5"/>
    <w:uiPriority w:val="99"/>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a">
    <w:name w:val="index heading"/>
    <w:basedOn w:val="a2"/>
    <w:next w:val="a2"/>
    <w:qFormat/>
    <w:pPr>
      <w:pBdr>
        <w:top w:val="single" w:sz="12" w:space="0" w:color="auto"/>
      </w:pBdr>
      <w:spacing w:before="360" w:after="240"/>
    </w:pPr>
    <w:rPr>
      <w:b/>
      <w:i/>
      <w:sz w:val="26"/>
      <w:lang w:eastAsia="en-GB"/>
    </w:rPr>
  </w:style>
  <w:style w:type="paragraph" w:styleId="afb">
    <w:name w:val="Subtitle"/>
    <w:basedOn w:val="a2"/>
    <w:next w:val="a2"/>
    <w:link w:val="afc"/>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d">
    <w:name w:val="footnote text"/>
    <w:basedOn w:val="a2"/>
    <w:link w:val="afe"/>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f">
    <w:name w:val="table of figures"/>
    <w:basedOn w:val="a7"/>
    <w:next w:val="a2"/>
    <w:uiPriority w:val="99"/>
    <w:qFormat/>
    <w:pPr>
      <w:ind w:left="1701" w:hanging="1701"/>
      <w:jc w:val="left"/>
    </w:pPr>
    <w:rPr>
      <w:b/>
    </w:rPr>
  </w:style>
  <w:style w:type="paragraph" w:styleId="91">
    <w:name w:val="toc 9"/>
    <w:basedOn w:val="81"/>
    <w:next w:val="a2"/>
    <w:uiPriority w:val="39"/>
    <w:qFormat/>
    <w:pPr>
      <w:ind w:left="1400"/>
    </w:pPr>
  </w:style>
  <w:style w:type="paragraph" w:styleId="25">
    <w:name w:val="List Continue 2"/>
    <w:basedOn w:val="a2"/>
    <w:qFormat/>
    <w:pPr>
      <w:spacing w:after="120"/>
      <w:ind w:left="566"/>
      <w:contextualSpacing/>
    </w:pPr>
    <w:rPr>
      <w:rFonts w:ascii="Arial" w:hAnsi="Arial"/>
    </w:rPr>
  </w:style>
  <w:style w:type="paragraph" w:styleId="12">
    <w:name w:val="index 1"/>
    <w:basedOn w:val="a2"/>
    <w:next w:val="a2"/>
    <w:qFormat/>
    <w:pPr>
      <w:keepLines/>
      <w:spacing w:after="0"/>
    </w:pPr>
  </w:style>
  <w:style w:type="paragraph" w:styleId="26">
    <w:name w:val="index 2"/>
    <w:basedOn w:val="12"/>
    <w:next w:val="a2"/>
    <w:qFormat/>
    <w:pPr>
      <w:ind w:left="284"/>
    </w:pPr>
  </w:style>
  <w:style w:type="paragraph" w:styleId="aff0">
    <w:name w:val="Title"/>
    <w:basedOn w:val="a2"/>
    <w:next w:val="a2"/>
    <w:link w:val="aff1"/>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f2">
    <w:name w:val="Strong"/>
    <w:uiPriority w:val="22"/>
    <w:qFormat/>
    <w:rPr>
      <w:b/>
      <w:bCs/>
    </w:rPr>
  </w:style>
  <w:style w:type="character" w:styleId="aff3">
    <w:name w:val="page number"/>
    <w:basedOn w:val="a3"/>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qFormat/>
    <w:rPr>
      <w:sz w:val="16"/>
      <w:szCs w:val="16"/>
    </w:rPr>
  </w:style>
  <w:style w:type="character" w:styleId="aff8">
    <w:name w:val="footnote reference"/>
    <w:qFormat/>
    <w:rPr>
      <w:b/>
      <w:position w:val="6"/>
      <w:sz w:val="16"/>
    </w:rPr>
  </w:style>
  <w:style w:type="table" w:styleId="aff9">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qFormat/>
    <w:rPr>
      <w:rFonts w:ascii="Arial" w:hAnsi="Arial"/>
      <w:sz w:val="36"/>
      <w:lang w:eastAsia="ja-JP"/>
    </w:rPr>
  </w:style>
  <w:style w:type="character" w:customStyle="1" w:styleId="22">
    <w:name w:val="見出し 2 (文字)"/>
    <w:link w:val="21"/>
    <w:uiPriority w:val="9"/>
    <w:qFormat/>
    <w:rPr>
      <w:rFonts w:ascii="Arial" w:hAnsi="Arial"/>
      <w:sz w:val="32"/>
      <w:lang w:eastAsia="ja-JP"/>
    </w:rPr>
  </w:style>
  <w:style w:type="character" w:customStyle="1" w:styleId="32">
    <w:name w:val="見出し 3 (文字)"/>
    <w:link w:val="31"/>
    <w:uiPriority w:val="9"/>
    <w:qFormat/>
    <w:rPr>
      <w:rFonts w:ascii="Arial" w:hAnsi="Arial"/>
      <w:sz w:val="28"/>
      <w:lang w:eastAsia="ja-JP"/>
    </w:rPr>
  </w:style>
  <w:style w:type="character" w:customStyle="1" w:styleId="42">
    <w:name w:val="見出し 4 (文字)"/>
    <w:link w:val="41"/>
    <w:uiPriority w:val="9"/>
    <w:qFormat/>
    <w:rPr>
      <w:rFonts w:ascii="Arial" w:hAnsi="Arial"/>
      <w:sz w:val="24"/>
      <w:lang w:eastAsia="ja-JP"/>
    </w:rPr>
  </w:style>
  <w:style w:type="character" w:customStyle="1" w:styleId="51">
    <w:name w:val="見出し 5 (文字)"/>
    <w:link w:val="50"/>
    <w:uiPriority w:val="9"/>
    <w:qFormat/>
    <w:rPr>
      <w:rFonts w:ascii="Arial" w:hAnsi="Arial"/>
      <w:sz w:val="22"/>
      <w:lang w:eastAsia="ja-JP"/>
    </w:rPr>
  </w:style>
  <w:style w:type="character" w:customStyle="1" w:styleId="60">
    <w:name w:val="見出し 6 (文字)"/>
    <w:link w:val="6"/>
    <w:uiPriority w:val="9"/>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character" w:customStyle="1" w:styleId="a8">
    <w:name w:val="本文 (文字)"/>
    <w:link w:val="a7"/>
    <w:qFormat/>
    <w:rPr>
      <w:rFonts w:ascii="Arial" w:hAnsi="Arial"/>
      <w:lang w:eastAsia="zh-CN"/>
    </w:rPr>
  </w:style>
  <w:style w:type="character" w:customStyle="1" w:styleId="ae">
    <w:name w:val="図表番号 (文字)"/>
    <w:link w:val="ad"/>
    <w:uiPriority w:val="35"/>
    <w:qFormat/>
    <w:locked/>
    <w:rPr>
      <w:rFonts w:ascii="Times New Roman" w:hAnsi="Times New Roman"/>
      <w:b/>
      <w:lang w:val="en-GB" w:eastAsia="en-GB"/>
    </w:rPr>
  </w:style>
  <w:style w:type="character" w:customStyle="1" w:styleId="af0">
    <w:name w:val="見出しマップ (文字)"/>
    <w:link w:val="af"/>
    <w:qFormat/>
    <w:rPr>
      <w:rFonts w:ascii="Tahoma" w:hAnsi="Tahoma" w:cs="Tahoma"/>
      <w:shd w:val="clear" w:color="auto" w:fill="000080"/>
      <w:lang w:eastAsia="ja-JP"/>
    </w:rPr>
  </w:style>
  <w:style w:type="character" w:customStyle="1" w:styleId="ac">
    <w:name w:val="コメント文字列 (文字)"/>
    <w:link w:val="aa"/>
    <w:uiPriority w:val="99"/>
    <w:qFormat/>
    <w:rPr>
      <w:rFonts w:ascii="Times New Roman" w:hAnsi="Times New Roman"/>
      <w:lang w:eastAsia="ja-JP"/>
    </w:rPr>
  </w:style>
  <w:style w:type="character" w:customStyle="1" w:styleId="af3">
    <w:name w:val="書式なし (文字)"/>
    <w:link w:val="af2"/>
    <w:qFormat/>
    <w:rPr>
      <w:rFonts w:ascii="Courier New" w:hAnsi="Courier New"/>
      <w:lang w:val="nb-NO" w:eastAsia="ja-JP"/>
    </w:rPr>
  </w:style>
  <w:style w:type="character" w:customStyle="1" w:styleId="af5">
    <w:name w:val="吹き出し (文字)"/>
    <w:link w:val="af4"/>
    <w:uiPriority w:val="99"/>
    <w:qFormat/>
    <w:rPr>
      <w:rFonts w:ascii="Segoe UI" w:hAnsi="Segoe UI" w:cs="Segoe UI"/>
      <w:sz w:val="18"/>
      <w:szCs w:val="18"/>
      <w:lang w:eastAsia="ja-JP"/>
    </w:rPr>
  </w:style>
  <w:style w:type="character" w:customStyle="1" w:styleId="af9">
    <w:name w:val="ヘッダー (文字)"/>
    <w:link w:val="af7"/>
    <w:qFormat/>
    <w:rPr>
      <w:rFonts w:ascii="Arial" w:hAnsi="Arial"/>
      <w:b/>
      <w:sz w:val="18"/>
      <w:lang w:eastAsia="ja-JP"/>
    </w:rPr>
  </w:style>
  <w:style w:type="character" w:customStyle="1" w:styleId="af8">
    <w:name w:val="フッター (文字)"/>
    <w:link w:val="af6"/>
    <w:qFormat/>
    <w:rPr>
      <w:rFonts w:ascii="Arial" w:hAnsi="Arial"/>
      <w:b/>
      <w:i/>
      <w:sz w:val="18"/>
      <w:lang w:eastAsia="ja-JP"/>
    </w:rPr>
  </w:style>
  <w:style w:type="character" w:customStyle="1" w:styleId="afe">
    <w:name w:val="脚注文字列 (文字)"/>
    <w:link w:val="afd"/>
    <w:qFormat/>
    <w:rPr>
      <w:rFonts w:ascii="Times New Roman" w:hAnsi="Times New Roman"/>
      <w:sz w:val="16"/>
      <w:lang w:eastAsia="ja-JP"/>
    </w:rPr>
  </w:style>
  <w:style w:type="character" w:customStyle="1" w:styleId="ab">
    <w:name w:val="コメント内容 (文字)"/>
    <w:link w:val="a9"/>
    <w:qFormat/>
    <w:rPr>
      <w:rFonts w:ascii="Times New Roman" w:hAnsi="Times New Roman"/>
      <w:b/>
      <w:bCs/>
      <w:lang w:eastAsia="ja-JP"/>
    </w:rPr>
  </w:style>
  <w:style w:type="paragraph" w:customStyle="1" w:styleId="Figure">
    <w:name w:val="Figure"/>
    <w:basedOn w:val="a2"/>
    <w:next w:val="ad"/>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3"/>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ＭＳ 明朝"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3">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aff1">
    <w:name w:val="表題 (文字)"/>
    <w:basedOn w:val="a3"/>
    <w:link w:val="aff0"/>
    <w:uiPriority w:val="10"/>
    <w:qFormat/>
    <w:rPr>
      <w:rFonts w:asciiTheme="minorHAnsi" w:eastAsiaTheme="minorHAnsi" w:hAnsiTheme="minorHAnsi" w:cstheme="minorBidi"/>
      <w:b/>
      <w:sz w:val="72"/>
      <w:szCs w:val="72"/>
    </w:rPr>
  </w:style>
  <w:style w:type="character" w:customStyle="1" w:styleId="afc">
    <w:name w:val="副題 (文字)"/>
    <w:basedOn w:val="a3"/>
    <w:link w:val="afb"/>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ＭＳ 明朝"/>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ＭＳ 明朝"/>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oleObject" Target="embeddings/oleObject27.bin"/><Relationship Id="rId68" Type="http://schemas.openxmlformats.org/officeDocument/2006/relationships/oleObject" Target="embeddings/oleObject31.bin"/><Relationship Id="rId76" Type="http://schemas.openxmlformats.org/officeDocument/2006/relationships/image" Target="media/image24.wmf"/><Relationship Id="rId84" Type="http://schemas.openxmlformats.org/officeDocument/2006/relationships/image" Target="media/image29.wmf"/><Relationship Id="rId89"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4.bin"/><Relationship Id="rId66" Type="http://schemas.openxmlformats.org/officeDocument/2006/relationships/image" Target="media/image22.wmf"/><Relationship Id="rId74" Type="http://schemas.openxmlformats.org/officeDocument/2006/relationships/oleObject" Target="embeddings/oleObject36.bin"/><Relationship Id="rId79" Type="http://schemas.openxmlformats.org/officeDocument/2006/relationships/image" Target="media/image25.wmf"/><Relationship Id="rId87" Type="http://schemas.openxmlformats.org/officeDocument/2006/relationships/image" Target="media/image32.wmf"/><Relationship Id="rId5" Type="http://schemas.openxmlformats.org/officeDocument/2006/relationships/customXml" Target="../customXml/item5.xml"/><Relationship Id="rId61" Type="http://schemas.openxmlformats.org/officeDocument/2006/relationships/image" Target="media/image21.wmf"/><Relationship Id="rId82" Type="http://schemas.openxmlformats.org/officeDocument/2006/relationships/image" Target="media/image27.wmf"/><Relationship Id="rId90" Type="http://schemas.openxmlformats.org/officeDocument/2006/relationships/footer" Target="footer1.xml"/><Relationship Id="rId19" Type="http://schemas.openxmlformats.org/officeDocument/2006/relationships/oleObject" Target="embeddings/oleObject2.bin"/><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oleObject" Target="embeddings/oleObject28.bin"/><Relationship Id="rId69" Type="http://schemas.openxmlformats.org/officeDocument/2006/relationships/oleObject" Target="embeddings/oleObject32.bin"/><Relationship Id="rId77" Type="http://schemas.openxmlformats.org/officeDocument/2006/relationships/oleObject" Target="embeddings/oleObject38.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4454CF3-3557-40B7-B65F-2BBB411D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26</TotalTime>
  <Pages>16</Pages>
  <Words>6113</Words>
  <Characters>34846</Characters>
  <Application>Microsoft Office Word</Application>
  <DocSecurity>0</DocSecurity>
  <Lines>290</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4</cp:revision>
  <cp:lastPrinted>2008-01-30T21:09:00Z</cp:lastPrinted>
  <dcterms:created xsi:type="dcterms:W3CDTF">2020-04-22T22:34:00Z</dcterms:created>
  <dcterms:modified xsi:type="dcterms:W3CDTF">2020-04-23T00:55:00Z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