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B41F0" w14:textId="315FB2C5" w:rsidR="00531B7F" w:rsidRPr="000E284C" w:rsidRDefault="00531B7F" w:rsidP="00531B7F">
      <w:pPr>
        <w:pStyle w:val="a5"/>
        <w:tabs>
          <w:tab w:val="center" w:pos="4536"/>
          <w:tab w:val="right" w:pos="9356"/>
          <w:tab w:val="right" w:pos="9781"/>
        </w:tabs>
        <w:ind w:right="-58"/>
        <w:rPr>
          <w:rFonts w:cs="Arial"/>
          <w:bCs/>
          <w:sz w:val="28"/>
          <w:szCs w:val="24"/>
          <w:lang w:eastAsia="zh-TW"/>
        </w:rPr>
      </w:pPr>
      <w:r w:rsidRPr="006517D0">
        <w:rPr>
          <w:rFonts w:eastAsia="MS Mincho" w:cs="Arial"/>
          <w:bCs/>
          <w:sz w:val="28"/>
          <w:szCs w:val="24"/>
          <w:lang w:eastAsia="ko-KR"/>
        </w:rPr>
        <mc:AlternateContent>
          <mc:Choice Requires="wps">
            <w:drawing>
              <wp:anchor distT="0" distB="0" distL="114300" distR="114300" simplePos="0" relativeHeight="251659264" behindDoc="0" locked="1" layoutInCell="0" allowOverlap="1" wp14:anchorId="61E83ED6" wp14:editId="25BF7BF6">
                <wp:simplePos x="0" y="0"/>
                <wp:positionH relativeFrom="page">
                  <wp:posOffset>0</wp:posOffset>
                </wp:positionH>
                <wp:positionV relativeFrom="page">
                  <wp:posOffset>0</wp:posOffset>
                </wp:positionV>
                <wp:extent cx="635" cy="635"/>
                <wp:effectExtent l="0" t="0" r="0" b="0"/>
                <wp:wrapNone/>
                <wp:docPr id="4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 w14:anchorId="0CED6A5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wrap anchorx="page" anchory="page"/>
                <w10:anchorlock/>
              </v:shape>
            </w:pict>
          </mc:Fallback>
        </mc:AlternateContent>
      </w:r>
      <w:r w:rsidRPr="006517D0">
        <w:rPr>
          <w:rFonts w:eastAsia="MS Mincho" w:cs="Arial"/>
          <w:bCs/>
          <w:sz w:val="28"/>
          <w:szCs w:val="24"/>
        </w:rPr>
        <w:t>3GPP TSG RAN WG1</w:t>
      </w:r>
      <w:r>
        <w:rPr>
          <w:rFonts w:cs="Arial"/>
          <w:bCs/>
          <w:sz w:val="28"/>
          <w:szCs w:val="24"/>
          <w:lang w:eastAsia="zh-TW"/>
        </w:rPr>
        <w:t xml:space="preserve"> Meeting </w:t>
      </w:r>
      <w:r>
        <w:rPr>
          <w:rFonts w:cs="Arial" w:hint="eastAsia"/>
          <w:bCs/>
          <w:sz w:val="28"/>
          <w:szCs w:val="24"/>
          <w:lang w:eastAsia="zh-TW"/>
        </w:rPr>
        <w:t>#100</w:t>
      </w:r>
      <w:r>
        <w:rPr>
          <w:rFonts w:cs="Arial"/>
          <w:bCs/>
          <w:sz w:val="28"/>
          <w:szCs w:val="24"/>
          <w:lang w:eastAsia="zh-TW"/>
        </w:rPr>
        <w:t>bis</w:t>
      </w:r>
      <w:r>
        <w:rPr>
          <w:rFonts w:cs="Arial" w:hint="eastAsia"/>
          <w:bCs/>
          <w:sz w:val="28"/>
          <w:szCs w:val="24"/>
          <w:lang w:eastAsia="zh-TW"/>
        </w:rPr>
        <w:t xml:space="preserve"> </w:t>
      </w:r>
      <w:r>
        <w:rPr>
          <w:rFonts w:cs="Arial" w:hint="eastAsia"/>
          <w:bCs/>
          <w:sz w:val="28"/>
          <w:szCs w:val="24"/>
          <w:lang w:eastAsia="zh-TW"/>
        </w:rPr>
        <w:tab/>
      </w:r>
      <w:r w:rsidRPr="006517D0">
        <w:rPr>
          <w:rFonts w:eastAsia="MS Mincho" w:cs="Arial"/>
          <w:bCs/>
          <w:sz w:val="28"/>
          <w:szCs w:val="24"/>
        </w:rPr>
        <w:t>R1-</w:t>
      </w:r>
      <w:r w:rsidRPr="00531B7F">
        <w:rPr>
          <w:rFonts w:eastAsia="MS Mincho" w:cs="Arial"/>
          <w:bCs/>
          <w:sz w:val="28"/>
          <w:szCs w:val="24"/>
        </w:rPr>
        <w:t>200</w:t>
      </w:r>
      <w:r w:rsidR="00DA132A">
        <w:rPr>
          <w:rFonts w:eastAsia="MS Mincho" w:cs="Arial"/>
          <w:bCs/>
          <w:sz w:val="28"/>
          <w:szCs w:val="24"/>
        </w:rPr>
        <w:t>xxxx</w:t>
      </w:r>
    </w:p>
    <w:p w14:paraId="10AD42CC" w14:textId="77777777" w:rsidR="00531B7F" w:rsidRPr="000E284C" w:rsidRDefault="00531B7F" w:rsidP="00531B7F">
      <w:pPr>
        <w:pStyle w:val="a5"/>
        <w:tabs>
          <w:tab w:val="center" w:pos="4536"/>
          <w:tab w:val="right" w:pos="8280"/>
          <w:tab w:val="right" w:pos="9781"/>
        </w:tabs>
        <w:spacing w:after="240"/>
        <w:ind w:right="-58"/>
        <w:rPr>
          <w:rFonts w:cs="Arial"/>
          <w:bCs/>
          <w:sz w:val="28"/>
          <w:szCs w:val="24"/>
          <w:lang w:eastAsia="zh-TW"/>
        </w:rPr>
      </w:pPr>
      <w:r>
        <w:rPr>
          <w:rFonts w:cs="Arial"/>
          <w:bCs/>
          <w:sz w:val="28"/>
          <w:szCs w:val="24"/>
          <w:lang w:eastAsia="zh-TW"/>
        </w:rPr>
        <w:t>e-Meeting</w:t>
      </w:r>
      <w:r>
        <w:rPr>
          <w:rFonts w:eastAsia="MS Mincho" w:cs="Arial"/>
          <w:bCs/>
          <w:sz w:val="28"/>
          <w:szCs w:val="24"/>
        </w:rPr>
        <w:t>, April 20</w:t>
      </w:r>
      <w:r w:rsidRPr="00682557">
        <w:rPr>
          <w:rFonts w:eastAsia="MS Mincho" w:cs="Arial"/>
          <w:bCs/>
          <w:sz w:val="28"/>
          <w:szCs w:val="24"/>
          <w:vertAlign w:val="superscript"/>
        </w:rPr>
        <w:t>th</w:t>
      </w:r>
      <w:r>
        <w:rPr>
          <w:rFonts w:eastAsia="MS Mincho" w:cs="Arial"/>
          <w:bCs/>
          <w:sz w:val="28"/>
          <w:szCs w:val="24"/>
        </w:rPr>
        <w:t xml:space="preserve"> – 30</w:t>
      </w:r>
      <w:r w:rsidRPr="00682557">
        <w:rPr>
          <w:rFonts w:eastAsia="MS Mincho" w:cs="Arial"/>
          <w:bCs/>
          <w:sz w:val="28"/>
          <w:szCs w:val="24"/>
          <w:vertAlign w:val="superscript"/>
        </w:rPr>
        <w:t>th</w:t>
      </w:r>
      <w:r>
        <w:rPr>
          <w:rFonts w:cs="Arial" w:hint="eastAsia"/>
          <w:bCs/>
          <w:sz w:val="28"/>
          <w:szCs w:val="24"/>
          <w:lang w:eastAsia="zh-TW"/>
        </w:rPr>
        <w:t>,</w:t>
      </w:r>
      <w:r>
        <w:rPr>
          <w:rFonts w:eastAsia="MS Mincho" w:cs="Arial"/>
          <w:bCs/>
          <w:sz w:val="28"/>
          <w:szCs w:val="24"/>
        </w:rPr>
        <w:t xml:space="preserve"> 2020</w:t>
      </w:r>
    </w:p>
    <w:p w14:paraId="6F927895" w14:textId="1D1CE223" w:rsidR="008F0F7D" w:rsidRPr="001678ED" w:rsidRDefault="008F0F7D" w:rsidP="00191132">
      <w:pPr>
        <w:tabs>
          <w:tab w:val="left" w:pos="1985"/>
        </w:tabs>
        <w:jc w:val="both"/>
        <w:rPr>
          <w:rFonts w:ascii="Arial" w:hAnsi="Arial" w:cs="Arial"/>
          <w:highlight w:val="yellow"/>
        </w:rPr>
      </w:pPr>
    </w:p>
    <w:p w14:paraId="6128DF71" w14:textId="380793D3" w:rsidR="001E105C" w:rsidRPr="00152053" w:rsidRDefault="001E105C" w:rsidP="00594882">
      <w:pPr>
        <w:tabs>
          <w:tab w:val="left" w:pos="1985"/>
        </w:tabs>
        <w:ind w:left="1939" w:hangingChars="823" w:hanging="1939"/>
        <w:rPr>
          <w:rFonts w:ascii="Arial" w:hAnsi="Arial" w:cs="Arial"/>
          <w:b/>
        </w:rPr>
      </w:pPr>
      <w:r w:rsidRPr="00152053">
        <w:rPr>
          <w:rFonts w:ascii="Arial" w:hAnsi="Arial" w:cs="Arial"/>
          <w:b/>
        </w:rPr>
        <w:t>Agenda item:</w:t>
      </w:r>
      <w:r w:rsidRPr="00152053">
        <w:rPr>
          <w:rFonts w:ascii="Arial" w:hAnsi="Arial" w:cs="Arial"/>
          <w:b/>
        </w:rPr>
        <w:tab/>
      </w:r>
      <w:bookmarkStart w:id="0" w:name="Source"/>
      <w:bookmarkEnd w:id="0"/>
      <w:r w:rsidR="00AB5819">
        <w:rPr>
          <w:rFonts w:ascii="Arial" w:hAnsi="Arial" w:cs="Arial"/>
          <w:b/>
        </w:rPr>
        <w:t>7</w:t>
      </w:r>
      <w:r w:rsidR="00315744">
        <w:rPr>
          <w:rFonts w:ascii="Arial" w:hAnsi="Arial" w:cs="Arial"/>
          <w:b/>
        </w:rPr>
        <w:t>.2.1</w:t>
      </w:r>
      <w:r w:rsidR="0099551F">
        <w:rPr>
          <w:rFonts w:ascii="Arial" w:hAnsi="Arial" w:cs="Arial"/>
          <w:b/>
        </w:rPr>
        <w:t>0</w:t>
      </w:r>
      <w:r w:rsidR="00AB5819">
        <w:rPr>
          <w:rFonts w:ascii="Arial" w:hAnsi="Arial" w:cs="Arial"/>
          <w:b/>
        </w:rPr>
        <w:t>.</w:t>
      </w:r>
      <w:r w:rsidR="00F0080F">
        <w:rPr>
          <w:rFonts w:ascii="Arial" w:hAnsi="Arial" w:cs="Arial"/>
          <w:b/>
        </w:rPr>
        <w:t>2</w:t>
      </w:r>
    </w:p>
    <w:p w14:paraId="7810E0DE" w14:textId="77777777" w:rsidR="001E105C" w:rsidRPr="001D139F" w:rsidRDefault="001E105C" w:rsidP="00594882">
      <w:pPr>
        <w:tabs>
          <w:tab w:val="left" w:pos="1985"/>
        </w:tabs>
        <w:ind w:left="1985" w:hanging="1985"/>
        <w:rPr>
          <w:rFonts w:ascii="Arial" w:hAnsi="Arial" w:cs="Arial"/>
          <w:b/>
        </w:rPr>
      </w:pPr>
      <w:r w:rsidRPr="008F6D5B">
        <w:rPr>
          <w:rFonts w:ascii="Arial" w:hAnsi="Arial" w:cs="Arial"/>
          <w:b/>
        </w:rPr>
        <w:t>Source:</w:t>
      </w:r>
      <w:r w:rsidRPr="008F6D5B">
        <w:rPr>
          <w:rFonts w:ascii="Arial" w:hAnsi="Arial" w:cs="Arial"/>
          <w:b/>
        </w:rPr>
        <w:tab/>
      </w:r>
      <w:r w:rsidR="00181722">
        <w:rPr>
          <w:rFonts w:ascii="Arial" w:hAnsi="Arial" w:cs="Arial"/>
          <w:b/>
        </w:rPr>
        <w:t>Apple</w:t>
      </w:r>
      <w:r w:rsidR="00DC3B0D">
        <w:rPr>
          <w:rFonts w:ascii="Arial" w:hAnsi="Arial" w:cs="Arial"/>
          <w:b/>
        </w:rPr>
        <w:t xml:space="preserve"> Inc</w:t>
      </w:r>
      <w:r w:rsidR="00191132">
        <w:rPr>
          <w:rFonts w:ascii="Arial" w:hAnsi="Arial" w:cs="Arial"/>
          <w:b/>
        </w:rPr>
        <w:t>.</w:t>
      </w:r>
    </w:p>
    <w:p w14:paraId="3A8F974A" w14:textId="5639BE29" w:rsidR="001E105C" w:rsidRPr="00152053" w:rsidRDefault="001E105C" w:rsidP="003B1600">
      <w:pPr>
        <w:tabs>
          <w:tab w:val="left" w:pos="1985"/>
        </w:tabs>
        <w:ind w:left="1939" w:hangingChars="823" w:hanging="1939"/>
        <w:rPr>
          <w:rFonts w:ascii="Arial" w:hAnsi="Arial" w:cs="Arial"/>
          <w:b/>
        </w:rPr>
      </w:pPr>
      <w:r w:rsidRPr="008F6D5B">
        <w:rPr>
          <w:rFonts w:ascii="Arial" w:hAnsi="Arial" w:cs="Arial"/>
          <w:b/>
        </w:rPr>
        <w:t>Title:</w:t>
      </w:r>
      <w:r w:rsidRPr="008F6D5B">
        <w:rPr>
          <w:rFonts w:ascii="Arial" w:hAnsi="Arial" w:cs="Arial"/>
          <w:b/>
        </w:rPr>
        <w:tab/>
      </w:r>
      <w:bookmarkStart w:id="1" w:name="OLE_LINK1"/>
      <w:r w:rsidR="0099551F">
        <w:rPr>
          <w:rFonts w:ascii="Arial" w:hAnsi="Arial" w:cs="Arial"/>
          <w:b/>
        </w:rPr>
        <w:t>FL s</w:t>
      </w:r>
      <w:r w:rsidR="00DA7D8E">
        <w:rPr>
          <w:rFonts w:ascii="Arial" w:hAnsi="Arial" w:cs="Arial"/>
          <w:b/>
        </w:rPr>
        <w:t xml:space="preserve">ummary of </w:t>
      </w:r>
      <w:r w:rsidR="007712B7">
        <w:rPr>
          <w:rFonts w:ascii="Arial" w:hAnsi="Arial" w:cs="Arial"/>
          <w:b/>
        </w:rPr>
        <w:t>r</w:t>
      </w:r>
      <w:r w:rsidR="006F305E">
        <w:rPr>
          <w:rFonts w:ascii="Arial" w:hAnsi="Arial" w:cs="Arial"/>
          <w:b/>
        </w:rPr>
        <w:t xml:space="preserve">emaining issues </w:t>
      </w:r>
      <w:r w:rsidR="007712B7">
        <w:rPr>
          <w:rFonts w:ascii="Arial" w:hAnsi="Arial" w:cs="Arial"/>
          <w:b/>
        </w:rPr>
        <w:t xml:space="preserve">on enhancements </w:t>
      </w:r>
      <w:r w:rsidR="0099551F">
        <w:rPr>
          <w:rFonts w:ascii="Arial" w:hAnsi="Arial" w:cs="Arial"/>
          <w:b/>
        </w:rPr>
        <w:t>for</w:t>
      </w:r>
      <w:r w:rsidR="00A5232D">
        <w:rPr>
          <w:rFonts w:ascii="Arial" w:hAnsi="Arial" w:cs="Arial"/>
          <w:b/>
        </w:rPr>
        <w:t xml:space="preserve"> single Tx </w:t>
      </w:r>
      <w:r w:rsidR="0099551F">
        <w:rPr>
          <w:rFonts w:ascii="Arial" w:hAnsi="Arial" w:cs="Arial"/>
          <w:b/>
        </w:rPr>
        <w:t>transmission in</w:t>
      </w:r>
      <w:r w:rsidR="00A5232D">
        <w:rPr>
          <w:rFonts w:ascii="Arial" w:hAnsi="Arial" w:cs="Arial"/>
          <w:b/>
        </w:rPr>
        <w:t xml:space="preserve"> EN-DC</w:t>
      </w:r>
      <w:bookmarkEnd w:id="1"/>
    </w:p>
    <w:p w14:paraId="31ABC86D" w14:textId="5F7F2FF9" w:rsidR="001E105C" w:rsidRPr="004C132F" w:rsidRDefault="001E105C" w:rsidP="00594882">
      <w:pPr>
        <w:tabs>
          <w:tab w:val="left" w:pos="1985"/>
        </w:tabs>
        <w:ind w:left="1939" w:hangingChars="823" w:hanging="1939"/>
        <w:rPr>
          <w:rFonts w:ascii="Arial" w:hAnsi="Arial" w:cs="Arial"/>
          <w:b/>
        </w:rPr>
      </w:pPr>
      <w:r w:rsidRPr="00152053">
        <w:rPr>
          <w:rFonts w:ascii="Arial" w:hAnsi="Arial" w:cs="Arial"/>
          <w:b/>
        </w:rPr>
        <w:t>Document for:</w:t>
      </w:r>
      <w:r w:rsidRPr="00152053">
        <w:rPr>
          <w:rFonts w:ascii="Arial" w:hAnsi="Arial" w:cs="Arial"/>
          <w:b/>
        </w:rPr>
        <w:tab/>
      </w:r>
      <w:bookmarkStart w:id="2" w:name="DocumentFor"/>
      <w:bookmarkEnd w:id="2"/>
      <w:r w:rsidR="00AB5819">
        <w:rPr>
          <w:rFonts w:ascii="Arial" w:hAnsi="Arial" w:cs="Arial"/>
          <w:b/>
        </w:rPr>
        <w:t>Decision</w:t>
      </w:r>
    </w:p>
    <w:p w14:paraId="798C3643" w14:textId="39002182" w:rsidR="00487A13" w:rsidRPr="00487A13" w:rsidRDefault="006B6A1A" w:rsidP="00487A13">
      <w:pPr>
        <w:pStyle w:val="1"/>
      </w:pPr>
      <w:r>
        <w:t>Introduction</w:t>
      </w:r>
      <w:r w:rsidR="002A4603">
        <w:t xml:space="preserve"> and Proposals</w:t>
      </w:r>
    </w:p>
    <w:p w14:paraId="49ADB559" w14:textId="77777777" w:rsidR="00DA132A" w:rsidRPr="00DA132A" w:rsidRDefault="00DA132A" w:rsidP="00DA132A">
      <w:pPr>
        <w:jc w:val="both"/>
        <w:rPr>
          <w:sz w:val="20"/>
          <w:szCs w:val="20"/>
          <w:lang w:eastAsia="ja-JP" w:bidi="hi-IN"/>
        </w:rPr>
      </w:pPr>
      <w:r w:rsidRPr="00DA132A">
        <w:rPr>
          <w:sz w:val="20"/>
          <w:szCs w:val="20"/>
          <w:lang w:eastAsia="ja-JP" w:bidi="hi-IN"/>
        </w:rPr>
        <w:t>Per chairman’s guidance, I’d like to kick off the email discussion on following issue:</w:t>
      </w:r>
    </w:p>
    <w:p w14:paraId="2812F8E4" w14:textId="77777777" w:rsidR="00DA132A" w:rsidRPr="00DA132A" w:rsidRDefault="00DA132A" w:rsidP="00DA132A">
      <w:pPr>
        <w:jc w:val="both"/>
        <w:rPr>
          <w:sz w:val="20"/>
          <w:szCs w:val="20"/>
          <w:lang w:eastAsia="ja-JP" w:bidi="hi-IN"/>
        </w:rPr>
      </w:pPr>
    </w:p>
    <w:p w14:paraId="7AE30955" w14:textId="77777777" w:rsidR="00DA132A" w:rsidRPr="00DA132A" w:rsidRDefault="00DA132A" w:rsidP="00DA132A">
      <w:pPr>
        <w:jc w:val="both"/>
        <w:rPr>
          <w:sz w:val="20"/>
          <w:szCs w:val="20"/>
          <w:highlight w:val="cyan"/>
          <w:lang w:eastAsia="ja-JP" w:bidi="hi-IN"/>
        </w:rPr>
      </w:pPr>
      <w:r w:rsidRPr="00DA132A">
        <w:rPr>
          <w:sz w:val="20"/>
          <w:szCs w:val="20"/>
          <w:highlight w:val="cyan"/>
          <w:lang w:eastAsia="ja-JP" w:bidi="hi-IN"/>
        </w:rPr>
        <w:t>[100b-e-NR- LTE_NR_DC_CA-SingleTx-01] Email discussion/approval regarding the following issues:</w:t>
      </w:r>
    </w:p>
    <w:p w14:paraId="72E9FF28" w14:textId="77777777" w:rsidR="00DA132A" w:rsidRPr="00DA132A" w:rsidRDefault="00DA132A" w:rsidP="00DA132A">
      <w:pPr>
        <w:pStyle w:val="a"/>
        <w:numPr>
          <w:ilvl w:val="0"/>
          <w:numId w:val="29"/>
        </w:numPr>
        <w:jc w:val="both"/>
        <w:rPr>
          <w:sz w:val="20"/>
          <w:szCs w:val="20"/>
          <w:highlight w:val="cyan"/>
        </w:rPr>
      </w:pPr>
      <w:r w:rsidRPr="00DA132A">
        <w:rPr>
          <w:sz w:val="20"/>
          <w:szCs w:val="20"/>
          <w:highlight w:val="cyan"/>
        </w:rPr>
        <w:t>Issue 1 on type 1 UE hailing of colliding UL in single Tx operation, as described in section 2 of </w:t>
      </w:r>
      <w:hyperlink r:id="rId12" w:history="1">
        <w:r w:rsidRPr="00DA132A">
          <w:rPr>
            <w:sz w:val="20"/>
            <w:szCs w:val="20"/>
            <w:highlight w:val="cyan"/>
          </w:rPr>
          <w:t>R1-2002348</w:t>
        </w:r>
      </w:hyperlink>
    </w:p>
    <w:p w14:paraId="15EE9659" w14:textId="77777777" w:rsidR="00DA132A" w:rsidRPr="00DA132A" w:rsidRDefault="00DA132A" w:rsidP="00DA132A">
      <w:pPr>
        <w:pStyle w:val="a"/>
        <w:numPr>
          <w:ilvl w:val="0"/>
          <w:numId w:val="29"/>
        </w:numPr>
        <w:jc w:val="both"/>
        <w:rPr>
          <w:sz w:val="20"/>
          <w:szCs w:val="20"/>
          <w:highlight w:val="cyan"/>
        </w:rPr>
      </w:pPr>
      <w:r w:rsidRPr="00DA132A">
        <w:rPr>
          <w:sz w:val="20"/>
          <w:szCs w:val="20"/>
          <w:highlight w:val="cyan"/>
        </w:rPr>
        <w:t>Issue 2 on type 1 UE capability with semi-static UL transmission, as described in section 3 of </w:t>
      </w:r>
      <w:hyperlink r:id="rId13" w:history="1">
        <w:r w:rsidRPr="00DA132A">
          <w:rPr>
            <w:sz w:val="20"/>
            <w:szCs w:val="20"/>
            <w:highlight w:val="cyan"/>
          </w:rPr>
          <w:t>R1-2002348</w:t>
        </w:r>
      </w:hyperlink>
    </w:p>
    <w:p w14:paraId="7D0A8EB3" w14:textId="77777777" w:rsidR="00DA132A" w:rsidRPr="00DA132A" w:rsidRDefault="00DA132A" w:rsidP="00DA132A">
      <w:pPr>
        <w:pStyle w:val="a"/>
        <w:numPr>
          <w:ilvl w:val="1"/>
          <w:numId w:val="29"/>
        </w:numPr>
        <w:jc w:val="both"/>
        <w:rPr>
          <w:sz w:val="20"/>
          <w:szCs w:val="20"/>
          <w:highlight w:val="cyan"/>
        </w:rPr>
      </w:pPr>
      <w:r w:rsidRPr="00DA132A">
        <w:rPr>
          <w:sz w:val="20"/>
          <w:szCs w:val="20"/>
          <w:highlight w:val="cyan"/>
        </w:rPr>
        <w:t>Discussion of the TP is delayed until the corresponding UE feature discussions finish.</w:t>
      </w:r>
    </w:p>
    <w:p w14:paraId="191155FA" w14:textId="77777777" w:rsidR="00DA132A" w:rsidRPr="00DA132A" w:rsidRDefault="00DA132A" w:rsidP="00DA132A">
      <w:pPr>
        <w:pStyle w:val="a"/>
        <w:numPr>
          <w:ilvl w:val="0"/>
          <w:numId w:val="30"/>
        </w:numPr>
        <w:jc w:val="both"/>
        <w:rPr>
          <w:sz w:val="20"/>
          <w:szCs w:val="20"/>
          <w:highlight w:val="cyan"/>
        </w:rPr>
      </w:pPr>
      <w:r w:rsidRPr="00DA132A">
        <w:rPr>
          <w:sz w:val="20"/>
          <w:szCs w:val="20"/>
          <w:highlight w:val="cyan"/>
        </w:rPr>
        <w:t>Issue 3a and 3b on clarification of Type 2 UE behavior, as described in sections 4.1 and 4.2 of </w:t>
      </w:r>
      <w:hyperlink r:id="rId14" w:history="1">
        <w:r w:rsidRPr="00DA132A">
          <w:rPr>
            <w:sz w:val="20"/>
            <w:szCs w:val="20"/>
            <w:highlight w:val="cyan"/>
          </w:rPr>
          <w:t>R1-2002348</w:t>
        </w:r>
      </w:hyperlink>
      <w:r w:rsidRPr="00DA132A">
        <w:rPr>
          <w:sz w:val="20"/>
          <w:szCs w:val="20"/>
          <w:highlight w:val="cyan"/>
        </w:rPr>
        <w:t>, respectively.</w:t>
      </w:r>
    </w:p>
    <w:p w14:paraId="491C0F7E" w14:textId="77777777" w:rsidR="00DA132A" w:rsidRPr="00DA132A" w:rsidRDefault="00DA132A" w:rsidP="00DA132A">
      <w:pPr>
        <w:jc w:val="both"/>
        <w:rPr>
          <w:sz w:val="20"/>
          <w:szCs w:val="20"/>
          <w:lang w:eastAsia="ja-JP" w:bidi="hi-IN"/>
        </w:rPr>
      </w:pPr>
      <w:r w:rsidRPr="00DA132A">
        <w:rPr>
          <w:sz w:val="20"/>
          <w:szCs w:val="20"/>
          <w:highlight w:val="cyan"/>
          <w:lang w:eastAsia="ja-JP" w:bidi="hi-IN"/>
        </w:rPr>
        <w:t>till 4/23, with potential TPs for approval till 4/28 – (Apple, Wei)</w:t>
      </w:r>
    </w:p>
    <w:p w14:paraId="0DE89DE6" w14:textId="5F7FB00B" w:rsidR="00650D8D" w:rsidRDefault="00F87160" w:rsidP="005773FD">
      <w:pPr>
        <w:pStyle w:val="1"/>
        <w:numPr>
          <w:ilvl w:val="0"/>
          <w:numId w:val="0"/>
        </w:numPr>
      </w:pPr>
      <w:r>
        <w:t>Type 1 UE handling of colliding</w:t>
      </w:r>
      <w:r w:rsidR="00DD1CA1">
        <w:t xml:space="preserve"> </w:t>
      </w:r>
      <w:r>
        <w:t>UL in</w:t>
      </w:r>
      <w:r w:rsidR="00DD1CA1">
        <w:t xml:space="preserve"> 1Tx operation</w:t>
      </w:r>
    </w:p>
    <w:p w14:paraId="3EA3A2EF" w14:textId="0EE11AB6" w:rsidR="00510185" w:rsidRDefault="00650D8D" w:rsidP="009B492A">
      <w:pPr>
        <w:jc w:val="both"/>
        <w:rPr>
          <w:sz w:val="20"/>
          <w:szCs w:val="20"/>
          <w:lang w:eastAsia="ja-JP" w:bidi="hi-IN"/>
        </w:rPr>
      </w:pPr>
      <w:r w:rsidRPr="002B4208">
        <w:rPr>
          <w:b/>
          <w:bCs/>
          <w:sz w:val="20"/>
          <w:szCs w:val="20"/>
          <w:lang w:eastAsia="ja-JP" w:bidi="hi-IN"/>
        </w:rPr>
        <w:t>Background</w:t>
      </w:r>
      <w:r w:rsidRPr="00BE64B9">
        <w:rPr>
          <w:sz w:val="20"/>
          <w:szCs w:val="20"/>
          <w:lang w:eastAsia="ja-JP" w:bidi="hi-IN"/>
        </w:rPr>
        <w:t xml:space="preserve">: </w:t>
      </w:r>
      <w:r w:rsidR="009B492A">
        <w:rPr>
          <w:sz w:val="20"/>
          <w:szCs w:val="20"/>
          <w:lang w:eastAsia="ja-JP" w:bidi="hi-IN"/>
        </w:rPr>
        <w:t xml:space="preserve">It was discussed in RAN1 #100e </w:t>
      </w:r>
      <w:r w:rsidR="00510185">
        <w:rPr>
          <w:sz w:val="20"/>
          <w:szCs w:val="20"/>
          <w:lang w:eastAsia="ja-JP" w:bidi="hi-IN"/>
        </w:rPr>
        <w:t>that the current</w:t>
      </w:r>
      <w:r w:rsidR="009B492A">
        <w:rPr>
          <w:sz w:val="20"/>
          <w:szCs w:val="20"/>
          <w:lang w:eastAsia="ja-JP" w:bidi="hi-IN"/>
        </w:rPr>
        <w:t xml:space="preserve"> description in</w:t>
      </w:r>
      <w:r w:rsidR="00510185">
        <w:rPr>
          <w:sz w:val="20"/>
          <w:szCs w:val="20"/>
          <w:lang w:eastAsia="ja-JP" w:bidi="hi-IN"/>
        </w:rPr>
        <w:t xml:space="preserve"> 38.213 </w:t>
      </w:r>
      <w:r w:rsidR="00510185" w:rsidRPr="00510185">
        <w:rPr>
          <w:sz w:val="20"/>
          <w:szCs w:val="20"/>
          <w:lang w:eastAsia="ja-JP" w:bidi="hi-IN"/>
        </w:rPr>
        <w:t xml:space="preserve">does not </w:t>
      </w:r>
      <w:r w:rsidR="009B492A">
        <w:rPr>
          <w:sz w:val="20"/>
          <w:szCs w:val="20"/>
          <w:lang w:eastAsia="ja-JP" w:bidi="hi-IN"/>
        </w:rPr>
        <w:t xml:space="preserve">capture type 1 UE behavior </w:t>
      </w:r>
      <w:r w:rsidR="00510185" w:rsidRPr="00510185">
        <w:rPr>
          <w:sz w:val="20"/>
          <w:szCs w:val="20"/>
          <w:lang w:eastAsia="ja-JP" w:bidi="hi-IN"/>
        </w:rPr>
        <w:t>for ‘single-tx’ case</w:t>
      </w:r>
      <w:r w:rsidR="009B492A">
        <w:rPr>
          <w:sz w:val="20"/>
          <w:szCs w:val="20"/>
          <w:lang w:eastAsia="ja-JP" w:bidi="hi-IN"/>
        </w:rPr>
        <w:t>,</w:t>
      </w:r>
      <w:r w:rsidR="00510185" w:rsidRPr="00510185">
        <w:rPr>
          <w:sz w:val="20"/>
          <w:szCs w:val="20"/>
          <w:lang w:eastAsia="ja-JP" w:bidi="hi-IN"/>
        </w:rPr>
        <w:t xml:space="preserve"> as the </w:t>
      </w:r>
      <w:r w:rsidR="009B492A">
        <w:rPr>
          <w:sz w:val="20"/>
          <w:szCs w:val="20"/>
          <w:lang w:eastAsia="ja-JP" w:bidi="hi-IN"/>
        </w:rPr>
        <w:t xml:space="preserve">corresponding </w:t>
      </w:r>
      <w:r w:rsidR="00510185" w:rsidRPr="00510185">
        <w:rPr>
          <w:sz w:val="20"/>
          <w:szCs w:val="20"/>
          <w:lang w:eastAsia="ja-JP" w:bidi="hi-IN"/>
        </w:rPr>
        <w:t>text is under the condition “</w:t>
      </w:r>
      <w:r w:rsidR="00510185" w:rsidRPr="00510185">
        <w:rPr>
          <w:i/>
          <w:iCs/>
          <w:sz w:val="20"/>
          <w:szCs w:val="15"/>
          <w:lang w:val="en-GB" w:eastAsia="ja-JP"/>
        </w:rPr>
        <w:t xml:space="preserve">If a UE is configured with </w:t>
      </w:r>
      <w:r w:rsidR="00510185" w:rsidRPr="00194614">
        <w:rPr>
          <w:i/>
          <w:iCs/>
          <w:noProof/>
          <w:position w:val="-10"/>
          <w:szCs w:val="20"/>
          <w:lang w:eastAsia="ko-KR"/>
        </w:rPr>
        <w:drawing>
          <wp:inline distT="0" distB="0" distL="0" distR="0" wp14:anchorId="0EEB33E7" wp14:editId="7032D94A">
            <wp:extent cx="1009650" cy="1847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Pr>
          <w:i/>
          <w:iCs/>
          <w:szCs w:val="20"/>
          <w:lang w:val="en-GB" w:eastAsia="ja-JP"/>
        </w:rPr>
        <w:t>…</w:t>
      </w:r>
      <w:r w:rsidR="00510185" w:rsidRPr="00510185">
        <w:rPr>
          <w:sz w:val="20"/>
          <w:szCs w:val="20"/>
          <w:lang w:eastAsia="ja-JP" w:bidi="hi-IN"/>
        </w:rPr>
        <w:t xml:space="preserve">”. For single-tx case, the UE cannot transmit simultaneously on LTE and NR regardless of  </w:t>
      </w:r>
      <w:r w:rsidR="00510185" w:rsidRPr="00510185">
        <w:rPr>
          <w:i/>
          <w:noProof/>
          <w:position w:val="-10"/>
          <w:sz w:val="20"/>
          <w:szCs w:val="20"/>
          <w:lang w:eastAsia="ko-KR"/>
        </w:rPr>
        <w:drawing>
          <wp:inline distT="0" distB="0" distL="0" distR="0" wp14:anchorId="20C951BC" wp14:editId="665156F6">
            <wp:extent cx="280035" cy="184785"/>
            <wp:effectExtent l="0" t="0" r="0" b="571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sidRPr="00510185">
        <w:rPr>
          <w:rFonts w:eastAsia="MS Mincho"/>
          <w:i/>
          <w:sz w:val="20"/>
          <w:szCs w:val="20"/>
        </w:rPr>
        <w:t xml:space="preserve">,  </w:t>
      </w:r>
      <w:r w:rsidR="00510185" w:rsidRPr="00510185">
        <w:rPr>
          <w:i/>
          <w:noProof/>
          <w:position w:val="-10"/>
          <w:sz w:val="20"/>
          <w:szCs w:val="20"/>
          <w:lang w:eastAsia="ko-KR"/>
        </w:rPr>
        <w:drawing>
          <wp:inline distT="0" distB="0" distL="0" distR="0" wp14:anchorId="59820803" wp14:editId="6C7A4376">
            <wp:extent cx="280035" cy="184785"/>
            <wp:effectExtent l="0" t="0" r="0" b="571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Pr>
          <w:rFonts w:eastAsia="MS Mincho"/>
          <w:iCs/>
          <w:sz w:val="20"/>
          <w:szCs w:val="20"/>
        </w:rPr>
        <w:t xml:space="preserve"> </w:t>
      </w:r>
      <w:r w:rsidR="00510185" w:rsidRPr="00510185">
        <w:rPr>
          <w:sz w:val="20"/>
          <w:szCs w:val="20"/>
          <w:lang w:eastAsia="ja-JP" w:bidi="hi-IN"/>
        </w:rPr>
        <w:t xml:space="preserve">settings. So, the behavior of dropping NR should be specified outside the  </w:t>
      </w:r>
      <w:r w:rsidR="00510185" w:rsidRPr="00194614">
        <w:rPr>
          <w:i/>
          <w:iCs/>
          <w:noProof/>
          <w:position w:val="-10"/>
          <w:szCs w:val="20"/>
          <w:lang w:eastAsia="ko-KR"/>
        </w:rPr>
        <w:drawing>
          <wp:inline distT="0" distB="0" distL="0" distR="0" wp14:anchorId="3BE495E2" wp14:editId="4B56E5E7">
            <wp:extent cx="1009650" cy="184785"/>
            <wp:effectExtent l="0" t="0" r="0" b="571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sidRPr="00510185">
        <w:rPr>
          <w:sz w:val="20"/>
          <w:szCs w:val="20"/>
          <w:lang w:eastAsia="ja-JP" w:bidi="hi-IN"/>
        </w:rPr>
        <w:t xml:space="preserve">  restriction.</w:t>
      </w:r>
    </w:p>
    <w:p w14:paraId="6CCA818B" w14:textId="2FD8B200" w:rsidR="009B492A" w:rsidRDefault="009B492A" w:rsidP="009B492A">
      <w:pPr>
        <w:jc w:val="both"/>
        <w:rPr>
          <w:sz w:val="20"/>
          <w:szCs w:val="20"/>
          <w:lang w:eastAsia="ja-JP" w:bidi="hi-IN"/>
        </w:rPr>
      </w:pPr>
    </w:p>
    <w:p w14:paraId="27317142" w14:textId="6C3975E8" w:rsidR="009B492A" w:rsidRPr="009B492A" w:rsidRDefault="009B492A" w:rsidP="009B492A">
      <w:pPr>
        <w:jc w:val="both"/>
        <w:rPr>
          <w:sz w:val="20"/>
          <w:szCs w:val="20"/>
          <w:lang w:eastAsia="ja-JP" w:bidi="hi-IN"/>
        </w:rPr>
      </w:pPr>
      <w:r>
        <w:rPr>
          <w:sz w:val="20"/>
          <w:szCs w:val="20"/>
          <w:lang w:eastAsia="ja-JP" w:bidi="hi-IN"/>
        </w:rPr>
        <w:t>This issue was brought up and discussed in RAN1 #100e, and two alternative TP’s were proposed. However no consensus was reached. For this meeting, a 3</w:t>
      </w:r>
      <w:r w:rsidRPr="009B492A">
        <w:rPr>
          <w:sz w:val="20"/>
          <w:szCs w:val="20"/>
          <w:vertAlign w:val="superscript"/>
          <w:lang w:eastAsia="ja-JP" w:bidi="hi-IN"/>
        </w:rPr>
        <w:t>rd</w:t>
      </w:r>
      <w:r>
        <w:rPr>
          <w:sz w:val="20"/>
          <w:szCs w:val="20"/>
          <w:lang w:eastAsia="ja-JP" w:bidi="hi-IN"/>
        </w:rPr>
        <w:t xml:space="preserve"> TP was also proposed by Qualcomm </w:t>
      </w:r>
      <w:r w:rsidR="00E82C7D">
        <w:rPr>
          <w:sz w:val="20"/>
          <w:szCs w:val="20"/>
          <w:lang w:eastAsia="ja-JP" w:bidi="hi-IN"/>
        </w:rPr>
        <w:fldChar w:fldCharType="begin"/>
      </w:r>
      <w:r w:rsidR="00E82C7D">
        <w:rPr>
          <w:sz w:val="20"/>
          <w:szCs w:val="20"/>
          <w:lang w:eastAsia="ja-JP" w:bidi="hi-IN"/>
        </w:rPr>
        <w:instrText xml:space="preserve"> REF _Ref37764295 \r \h </w:instrText>
      </w:r>
      <w:r w:rsidR="00E82C7D">
        <w:rPr>
          <w:sz w:val="20"/>
          <w:szCs w:val="20"/>
          <w:lang w:eastAsia="ja-JP" w:bidi="hi-IN"/>
        </w:rPr>
      </w:r>
      <w:r w:rsidR="00E82C7D">
        <w:rPr>
          <w:sz w:val="20"/>
          <w:szCs w:val="20"/>
          <w:lang w:eastAsia="ja-JP" w:bidi="hi-IN"/>
        </w:rPr>
        <w:fldChar w:fldCharType="separate"/>
      </w:r>
      <w:r w:rsidR="00E82C7D">
        <w:rPr>
          <w:sz w:val="20"/>
          <w:szCs w:val="20"/>
          <w:lang w:eastAsia="ja-JP" w:bidi="hi-IN"/>
        </w:rPr>
        <w:t>[6]</w:t>
      </w:r>
      <w:r w:rsidR="00E82C7D">
        <w:rPr>
          <w:sz w:val="20"/>
          <w:szCs w:val="20"/>
          <w:lang w:eastAsia="ja-JP" w:bidi="hi-IN"/>
        </w:rPr>
        <w:fldChar w:fldCharType="end"/>
      </w:r>
      <w:r w:rsidR="00E82C7D">
        <w:rPr>
          <w:sz w:val="20"/>
          <w:szCs w:val="20"/>
          <w:lang w:eastAsia="ja-JP" w:bidi="hi-IN"/>
        </w:rPr>
        <w:t>. These 3 proposed TP are listed below:</w:t>
      </w:r>
    </w:p>
    <w:p w14:paraId="4971D88E" w14:textId="77777777" w:rsidR="00695ED9" w:rsidRDefault="00695ED9" w:rsidP="00510185">
      <w:pPr>
        <w:rPr>
          <w:b/>
          <w:bCs/>
          <w:sz w:val="20"/>
          <w:szCs w:val="20"/>
          <w:lang w:eastAsia="ja-JP" w:bidi="hi-IN"/>
        </w:rPr>
      </w:pPr>
    </w:p>
    <w:p w14:paraId="05CCE281" w14:textId="77777777" w:rsidR="00510185" w:rsidRPr="00510185" w:rsidRDefault="00510185" w:rsidP="00510185">
      <w:pPr>
        <w:rPr>
          <w:sz w:val="20"/>
          <w:szCs w:val="20"/>
          <w:lang w:eastAsia="ja-JP" w:bidi="hi-IN"/>
        </w:rPr>
      </w:pPr>
    </w:p>
    <w:tbl>
      <w:tblPr>
        <w:tblStyle w:val="ae"/>
        <w:tblW w:w="0" w:type="auto"/>
        <w:tblLook w:val="04A0" w:firstRow="1" w:lastRow="0" w:firstColumn="1" w:lastColumn="0" w:noHBand="0" w:noVBand="1"/>
      </w:tblPr>
      <w:tblGrid>
        <w:gridCol w:w="9629"/>
      </w:tblGrid>
      <w:tr w:rsidR="008138CD" w14:paraId="7D7C1622" w14:textId="77777777" w:rsidTr="006A334D">
        <w:tc>
          <w:tcPr>
            <w:tcW w:w="9629" w:type="dxa"/>
          </w:tcPr>
          <w:p w14:paraId="11AF03F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1</w:t>
            </w:r>
            <w:r>
              <w:rPr>
                <w:rFonts w:ascii="Helvetica" w:hAnsi="Helvetica"/>
                <w:color w:val="000000"/>
                <w:sz w:val="20"/>
                <w:szCs w:val="20"/>
              </w:rPr>
              <w:t> </w:t>
            </w:r>
            <w:r>
              <w:rPr>
                <w:sz w:val="20"/>
                <w:szCs w:val="20"/>
                <w:lang w:eastAsia="ja-JP" w:bidi="hi-IN"/>
              </w:rPr>
              <w:tab/>
            </w:r>
          </w:p>
          <w:p w14:paraId="0237543A" w14:textId="768800F7" w:rsidR="008138CD" w:rsidRPr="00510185" w:rsidRDefault="008138CD" w:rsidP="006A334D">
            <w:pPr>
              <w:rPr>
                <w:sz w:val="20"/>
                <w:szCs w:val="20"/>
              </w:rPr>
            </w:pPr>
            <w:r w:rsidRPr="00510185">
              <w:rPr>
                <w:sz w:val="20"/>
                <w:szCs w:val="20"/>
              </w:rPr>
              <w:t>---------------------------- start TP1 to sub clause 7.6.1 of 38.213v16.</w:t>
            </w:r>
            <w:r w:rsidR="00B260D2">
              <w:rPr>
                <w:sz w:val="20"/>
                <w:szCs w:val="20"/>
              </w:rPr>
              <w:t>1</w:t>
            </w:r>
            <w:r w:rsidRPr="00510185">
              <w:rPr>
                <w:sz w:val="20"/>
                <w:szCs w:val="20"/>
              </w:rPr>
              <w:t>.0 --------------------------------------</w:t>
            </w:r>
          </w:p>
          <w:p w14:paraId="1FA6EB78" w14:textId="77777777" w:rsidR="008138CD" w:rsidRPr="00510185" w:rsidRDefault="008138CD" w:rsidP="006A334D">
            <w:pPr>
              <w:rPr>
                <w:sz w:val="20"/>
                <w:szCs w:val="20"/>
              </w:rPr>
            </w:pPr>
          </w:p>
          <w:p w14:paraId="61A42F7D"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72BEB78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1C6A21A5" wp14:editId="2E998432">
                  <wp:extent cx="280035" cy="184785"/>
                  <wp:effectExtent l="0" t="0" r="0" b="571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271300E" wp14:editId="5B4D6446">
                  <wp:extent cx="280035" cy="184785"/>
                  <wp:effectExtent l="0" t="0" r="0" b="571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1993D68B"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430CAD71" wp14:editId="5866A3FD">
                  <wp:extent cx="280035" cy="184785"/>
                  <wp:effectExtent l="0" t="0" r="0" b="571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74ADF5E0" wp14:editId="50BE91D4">
                  <wp:extent cx="280035" cy="184785"/>
                  <wp:effectExtent l="0" t="0" r="0" b="571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579A48F8"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54EE2DF4" w14:textId="77777777" w:rsidR="008138CD" w:rsidRPr="007F0A97" w:rsidRDefault="008138CD" w:rsidP="006A334D">
            <w:pPr>
              <w:spacing w:after="180"/>
              <w:ind w:left="720"/>
              <w:rPr>
                <w:color w:val="FF0000"/>
                <w:sz w:val="20"/>
                <w:szCs w:val="20"/>
                <w:lang w:eastAsia="ja-JP"/>
              </w:rPr>
            </w:pPr>
            <w:r w:rsidRPr="007F0A97">
              <w:rPr>
                <w:color w:val="FF0000"/>
                <w:sz w:val="20"/>
                <w:szCs w:val="20"/>
                <w:u w:val="single"/>
                <w:lang w:val="en-GB" w:eastAsia="ja-JP"/>
              </w:rPr>
              <w:lastRenderedPageBreak/>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if the UE is configured with </w:t>
            </w:r>
            <w:r w:rsidRPr="007F0A97">
              <w:rPr>
                <w:i/>
                <w:iCs/>
                <w:color w:val="FF0000"/>
                <w:sz w:val="20"/>
                <w:szCs w:val="20"/>
                <w:u w:val="single"/>
                <w:lang w:eastAsia="ja-JP"/>
              </w:rPr>
              <w:t>tdm-PatternConfig-r16</w:t>
            </w:r>
            <w:r w:rsidRPr="007F0A97">
              <w:rPr>
                <w:color w:val="FF0000"/>
                <w:sz w:val="20"/>
                <w:szCs w:val="20"/>
                <w:u w:val="single"/>
                <w:lang w:eastAsia="ja-JP"/>
              </w:rPr>
              <w:t>, then for the band combinations for which the UE indicates using </w:t>
            </w:r>
            <w:r w:rsidRPr="007F0A97">
              <w:rPr>
                <w:i/>
                <w:iCs/>
                <w:color w:val="FF0000"/>
                <w:sz w:val="20"/>
                <w:szCs w:val="20"/>
                <w:u w:val="single"/>
                <w:lang w:eastAsia="ja-JP"/>
              </w:rPr>
              <w:t>singleUL-Transmission</w:t>
            </w:r>
            <w:r w:rsidRPr="007F0A97">
              <w:rPr>
                <w:color w:val="FF0000"/>
                <w:sz w:val="20"/>
                <w:szCs w:val="20"/>
                <w:u w:val="single"/>
                <w:lang w:eastAsia="ja-JP"/>
              </w:rPr>
              <w:t> that it does not support simultaneous  UL transmissions (as defined in TS 38.101-3 [8-3]), the UE does not transmit on the SCG in FR1 when the UE has overlapped transmission on a subframe on the MCG.</w:t>
            </w:r>
          </w:p>
          <w:p w14:paraId="5065DE01"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If a UE is configured with </w:t>
            </w:r>
            <w:r w:rsidRPr="00510185">
              <w:rPr>
                <w:noProof/>
                <w:position w:val="-10"/>
                <w:sz w:val="20"/>
                <w:szCs w:val="20"/>
                <w:lang w:eastAsia="ko-KR"/>
              </w:rPr>
              <w:drawing>
                <wp:inline distT="0" distB="0" distL="0" distR="0" wp14:anchorId="39ED4ACE" wp14:editId="5F5BA40A">
                  <wp:extent cx="1009650" cy="184785"/>
                  <wp:effectExtent l="0" t="0" r="0" b="571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59B1005A" wp14:editId="76676C09">
                  <wp:extent cx="280035" cy="184785"/>
                  <wp:effectExtent l="0" t="0" r="5715" b="571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78A89252" wp14:editId="76025A22">
                  <wp:extent cx="280035" cy="184785"/>
                  <wp:effectExtent l="0" t="0" r="0" b="571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5348BE6A" wp14:editId="28BDD049">
                  <wp:extent cx="184785" cy="184785"/>
                  <wp:effectExtent l="0" t="0" r="5715"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14EC49F4" wp14:editId="47DDC96A">
                  <wp:extent cx="184785" cy="184785"/>
                  <wp:effectExtent l="0" t="0" r="5715" b="571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2284D50E" wp14:editId="5CEE42FD">
                  <wp:extent cx="354330" cy="184785"/>
                  <wp:effectExtent l="0" t="0" r="7620"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6F02A992"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543044BE"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5ACA0CDB"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145C139D"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2B6930A6"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3B8CD9FF" wp14:editId="2593EFAB">
                  <wp:extent cx="95250" cy="184785"/>
                  <wp:effectExtent l="0" t="0" r="0" b="571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375E3968" wp14:editId="34CD0CCB">
                  <wp:extent cx="95250" cy="184785"/>
                  <wp:effectExtent l="0" t="0" r="0" b="571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D051669" w14:textId="26AE71C8" w:rsidR="00650D8D" w:rsidRPr="00BE64B9" w:rsidRDefault="00650D8D" w:rsidP="00650D8D">
      <w:pPr>
        <w:jc w:val="both"/>
        <w:rPr>
          <w:sz w:val="20"/>
          <w:szCs w:val="20"/>
          <w:lang w:eastAsia="ja-JP" w:bidi="hi-IN"/>
        </w:rPr>
      </w:pPr>
    </w:p>
    <w:tbl>
      <w:tblPr>
        <w:tblStyle w:val="ae"/>
        <w:tblW w:w="0" w:type="auto"/>
        <w:tblLook w:val="04A0" w:firstRow="1" w:lastRow="0" w:firstColumn="1" w:lastColumn="0" w:noHBand="0" w:noVBand="1"/>
      </w:tblPr>
      <w:tblGrid>
        <w:gridCol w:w="9629"/>
      </w:tblGrid>
      <w:tr w:rsidR="008138CD" w14:paraId="67902AA0" w14:textId="77777777" w:rsidTr="006A334D">
        <w:tc>
          <w:tcPr>
            <w:tcW w:w="9629" w:type="dxa"/>
          </w:tcPr>
          <w:p w14:paraId="30705BC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2</w:t>
            </w:r>
            <w:r>
              <w:rPr>
                <w:rFonts w:ascii="Helvetica" w:hAnsi="Helvetica"/>
                <w:color w:val="000000"/>
                <w:sz w:val="20"/>
                <w:szCs w:val="20"/>
              </w:rPr>
              <w:t> </w:t>
            </w:r>
            <w:r>
              <w:rPr>
                <w:sz w:val="20"/>
                <w:szCs w:val="20"/>
                <w:lang w:eastAsia="ja-JP" w:bidi="hi-IN"/>
              </w:rPr>
              <w:tab/>
            </w:r>
          </w:p>
          <w:p w14:paraId="617D2A72" w14:textId="1F92D486" w:rsidR="008138CD" w:rsidRPr="00510185" w:rsidRDefault="008138CD" w:rsidP="006A334D">
            <w:pPr>
              <w:rPr>
                <w:sz w:val="20"/>
                <w:szCs w:val="20"/>
              </w:rPr>
            </w:pPr>
            <w:r w:rsidRPr="00510185">
              <w:rPr>
                <w:sz w:val="20"/>
                <w:szCs w:val="20"/>
              </w:rPr>
              <w:t>---------------------------- start TP</w:t>
            </w:r>
            <w:r w:rsidR="00685C19">
              <w:rPr>
                <w:sz w:val="20"/>
                <w:szCs w:val="20"/>
              </w:rPr>
              <w:t>2</w:t>
            </w:r>
            <w:r w:rsidRPr="00510185">
              <w:rPr>
                <w:sz w:val="20"/>
                <w:szCs w:val="20"/>
              </w:rPr>
              <w:t xml:space="preserve"> to sub clause 7.6.1 of 38.213v16.</w:t>
            </w:r>
            <w:r w:rsidR="00B260D2">
              <w:rPr>
                <w:sz w:val="20"/>
                <w:szCs w:val="20"/>
              </w:rPr>
              <w:t>1</w:t>
            </w:r>
            <w:r w:rsidRPr="00510185">
              <w:rPr>
                <w:sz w:val="20"/>
                <w:szCs w:val="20"/>
              </w:rPr>
              <w:t>.0 --------------------------------------</w:t>
            </w:r>
          </w:p>
          <w:p w14:paraId="19D232C1" w14:textId="77777777" w:rsidR="008138CD" w:rsidRPr="00510185" w:rsidRDefault="008138CD" w:rsidP="006A334D">
            <w:pPr>
              <w:rPr>
                <w:sz w:val="20"/>
                <w:szCs w:val="20"/>
              </w:rPr>
            </w:pPr>
          </w:p>
          <w:p w14:paraId="2FF1D9B3"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6C397BB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20C018E3" wp14:editId="0487915D">
                  <wp:extent cx="280035" cy="1847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p-MaxEUTRA</w:t>
            </w:r>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FE0488B" wp14:editId="3A4BD955">
                  <wp:extent cx="280035" cy="1847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744C3DEC"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0ADD6DBF" wp14:editId="6BC7E005">
                  <wp:extent cx="280035" cy="1847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6DEA2363" wp14:editId="4A5C8BAB">
                  <wp:extent cx="280035" cy="1847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2BF07F25"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444A8462" w14:textId="77777777" w:rsidR="008138CD" w:rsidRPr="007F0A97" w:rsidRDefault="008138CD" w:rsidP="006A334D">
            <w:pPr>
              <w:spacing w:after="180"/>
              <w:ind w:left="720"/>
              <w:rPr>
                <w:color w:val="FF0000"/>
                <w:sz w:val="20"/>
                <w:szCs w:val="20"/>
                <w:u w:val="single"/>
                <w:lang w:eastAsia="ja-JP"/>
              </w:rPr>
            </w:pPr>
            <w:r w:rsidRPr="007F0A97">
              <w:rPr>
                <w:color w:val="FF0000"/>
                <w:sz w:val="20"/>
                <w:szCs w:val="20"/>
                <w:u w:val="single"/>
                <w:lang w:val="en-GB" w:eastAsia="ja-JP"/>
              </w:rPr>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does not indicate a capability tdm-Pattern-dualTx in [16, TS 38.306], and is configured with </w:t>
            </w:r>
            <w:r w:rsidRPr="007F0A97">
              <w:rPr>
                <w:i/>
                <w:iCs/>
                <w:color w:val="FF0000"/>
                <w:sz w:val="20"/>
                <w:szCs w:val="20"/>
                <w:u w:val="single"/>
                <w:lang w:eastAsia="ja-JP"/>
              </w:rPr>
              <w:t>tdm-PatternConfig-r16</w:t>
            </w:r>
            <w:r w:rsidRPr="007F0A97">
              <w:rPr>
                <w:color w:val="FF0000"/>
                <w:sz w:val="20"/>
                <w:szCs w:val="20"/>
                <w:u w:val="single"/>
                <w:lang w:eastAsia="ja-JP"/>
              </w:rPr>
              <w:t>, the UE does not transmit on the SCG in FR1 when the UE has overlapped transmission on a subframe on the MCG.</w:t>
            </w:r>
          </w:p>
          <w:p w14:paraId="79C58A8D" w14:textId="77777777" w:rsidR="008138CD" w:rsidRPr="00510185" w:rsidRDefault="008138CD" w:rsidP="006A334D">
            <w:pPr>
              <w:spacing w:after="180"/>
              <w:ind w:left="720"/>
              <w:rPr>
                <w:sz w:val="20"/>
                <w:szCs w:val="20"/>
                <w:lang w:val="en-GB" w:eastAsia="ja-JP"/>
              </w:rPr>
            </w:pPr>
            <w:r w:rsidRPr="00510185">
              <w:rPr>
                <w:sz w:val="20"/>
                <w:szCs w:val="20"/>
                <w:lang w:val="en-GB" w:eastAsia="ja-JP"/>
              </w:rPr>
              <w:lastRenderedPageBreak/>
              <w:t xml:space="preserve">If a UE is configured with </w:t>
            </w:r>
            <w:r w:rsidRPr="00510185">
              <w:rPr>
                <w:noProof/>
                <w:position w:val="-10"/>
                <w:sz w:val="20"/>
                <w:szCs w:val="20"/>
                <w:lang w:eastAsia="ko-KR"/>
              </w:rPr>
              <w:drawing>
                <wp:inline distT="0" distB="0" distL="0" distR="0" wp14:anchorId="5B66FEF4" wp14:editId="194FBCB2">
                  <wp:extent cx="1009650" cy="1847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2306BB47" wp14:editId="544B58A0">
                  <wp:extent cx="280035" cy="184785"/>
                  <wp:effectExtent l="0" t="0" r="5715"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6993D70D" wp14:editId="67AE0143">
                  <wp:extent cx="280035" cy="1847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197344A1" wp14:editId="761C8D6E">
                  <wp:extent cx="184785" cy="184785"/>
                  <wp:effectExtent l="0" t="0" r="5715"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406AB6F6" wp14:editId="58F9DAE6">
                  <wp:extent cx="184785" cy="184785"/>
                  <wp:effectExtent l="0" t="0" r="5715"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044F9A1A" wp14:editId="7CD7842D">
                  <wp:extent cx="354330" cy="184785"/>
                  <wp:effectExtent l="0" t="0" r="762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2A613318"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6DF1DA89"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7259AA29"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r w:rsidRPr="007F0A97">
              <w:rPr>
                <w:rFonts w:eastAsia="Calibri"/>
                <w:i/>
                <w:iCs/>
                <w:strike/>
                <w:color w:val="FF0000"/>
                <w:sz w:val="20"/>
                <w:szCs w:val="20"/>
                <w:lang w:val="x-none"/>
              </w:rPr>
              <w:t>tdm-Pattern-dualTx</w:t>
            </w:r>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74E1D26A"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16521F87"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72F69D0B" wp14:editId="79F3A202">
                  <wp:extent cx="95250" cy="1847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129B200A" wp14:editId="6428D61B">
                  <wp:extent cx="95250" cy="1847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7E2BB90" w14:textId="13FD9CB9" w:rsidR="00F36EC2" w:rsidRDefault="00F36EC2" w:rsidP="00650D8D">
      <w:pPr>
        <w:rPr>
          <w:i/>
          <w:iCs/>
          <w:sz w:val="20"/>
          <w:szCs w:val="20"/>
          <w:lang w:bidi="hi-IN"/>
        </w:rPr>
      </w:pPr>
    </w:p>
    <w:tbl>
      <w:tblPr>
        <w:tblStyle w:val="ae"/>
        <w:tblW w:w="0" w:type="auto"/>
        <w:tblLook w:val="04A0" w:firstRow="1" w:lastRow="0" w:firstColumn="1" w:lastColumn="0" w:noHBand="0" w:noVBand="1"/>
      </w:tblPr>
      <w:tblGrid>
        <w:gridCol w:w="9629"/>
      </w:tblGrid>
      <w:tr w:rsidR="00B260D2" w:rsidRPr="00B260D2" w14:paraId="36DDFAF5" w14:textId="77777777" w:rsidTr="00265161">
        <w:tc>
          <w:tcPr>
            <w:tcW w:w="9629" w:type="dxa"/>
          </w:tcPr>
          <w:p w14:paraId="16672527" w14:textId="70BAA7E8" w:rsidR="00B260D2" w:rsidRPr="007F0A97" w:rsidRDefault="00B260D2" w:rsidP="00B260D2">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3</w:t>
            </w:r>
            <w:r>
              <w:rPr>
                <w:rFonts w:ascii="Helvetica" w:hAnsi="Helvetica"/>
                <w:color w:val="000000"/>
                <w:sz w:val="20"/>
                <w:szCs w:val="20"/>
              </w:rPr>
              <w:t> </w:t>
            </w:r>
            <w:r>
              <w:rPr>
                <w:sz w:val="20"/>
                <w:szCs w:val="20"/>
                <w:lang w:eastAsia="ja-JP" w:bidi="hi-IN"/>
              </w:rPr>
              <w:tab/>
            </w:r>
          </w:p>
          <w:p w14:paraId="0E090471" w14:textId="406728FF" w:rsidR="00B260D2" w:rsidRPr="00510185" w:rsidRDefault="00B260D2" w:rsidP="00B260D2">
            <w:pPr>
              <w:rPr>
                <w:sz w:val="20"/>
                <w:szCs w:val="20"/>
              </w:rPr>
            </w:pPr>
            <w:r w:rsidRPr="00510185">
              <w:rPr>
                <w:sz w:val="20"/>
                <w:szCs w:val="20"/>
              </w:rPr>
              <w:t>---------------------------- start TP</w:t>
            </w:r>
            <w:r w:rsidR="00685C19">
              <w:rPr>
                <w:sz w:val="20"/>
                <w:szCs w:val="20"/>
              </w:rPr>
              <w:t>3</w:t>
            </w:r>
            <w:r w:rsidRPr="00510185">
              <w:rPr>
                <w:sz w:val="20"/>
                <w:szCs w:val="20"/>
              </w:rPr>
              <w:t xml:space="preserve"> to sub clause 7.6.1 of 38.213v16.</w:t>
            </w:r>
            <w:r>
              <w:rPr>
                <w:sz w:val="20"/>
                <w:szCs w:val="20"/>
              </w:rPr>
              <w:t>1</w:t>
            </w:r>
            <w:r w:rsidRPr="00510185">
              <w:rPr>
                <w:sz w:val="20"/>
                <w:szCs w:val="20"/>
              </w:rPr>
              <w:t>.0 --------------------------------------</w:t>
            </w:r>
          </w:p>
          <w:p w14:paraId="269B38A3" w14:textId="77777777" w:rsidR="00265161" w:rsidRPr="00265161" w:rsidRDefault="00265161" w:rsidP="00265161">
            <w:pPr>
              <w:jc w:val="left"/>
              <w:rPr>
                <w:rFonts w:eastAsia="Yu Mincho"/>
                <w:color w:val="FF0000"/>
                <w:sz w:val="20"/>
                <w:szCs w:val="20"/>
                <w:u w:val="single"/>
                <w:lang w:val="en-GB"/>
              </w:rPr>
            </w:pPr>
            <w:r w:rsidRPr="00265161">
              <w:rPr>
                <w:rFonts w:eastAsia="Yu Mincho" w:hint="eastAsia"/>
                <w:color w:val="FF0000"/>
                <w:sz w:val="20"/>
                <w:szCs w:val="20"/>
                <w:u w:val="single"/>
                <w:lang w:val="en-GB"/>
              </w:rPr>
              <w:t>I</w:t>
            </w:r>
            <w:r w:rsidRPr="00265161">
              <w:rPr>
                <w:rFonts w:eastAsia="Yu Mincho"/>
                <w:color w:val="FF0000"/>
                <w:sz w:val="20"/>
                <w:szCs w:val="20"/>
                <w:u w:val="single"/>
                <w:lang w:val="en-GB"/>
              </w:rPr>
              <w:t xml:space="preserve">f the UE indicates a capability for dynamic power sharing between E-UTRA and NR for EN-DC, for the band combinations for which the UE indicates </w:t>
            </w:r>
            <w:r w:rsidRPr="00265161">
              <w:rPr>
                <w:rFonts w:eastAsia="Yu Mincho"/>
                <w:i/>
                <w:iCs/>
                <w:color w:val="FF0000"/>
                <w:sz w:val="20"/>
                <w:szCs w:val="20"/>
                <w:u w:val="single"/>
                <w:lang w:val="en-GB"/>
              </w:rPr>
              <w:t>singleUL-Transmission</w:t>
            </w:r>
            <w:r w:rsidRPr="00265161">
              <w:rPr>
                <w:rFonts w:eastAsia="Yu Mincho"/>
                <w:color w:val="FF0000"/>
                <w:sz w:val="20"/>
                <w:szCs w:val="20"/>
                <w:u w:val="single"/>
                <w:lang w:val="en-GB"/>
              </w:rPr>
              <w:t xml:space="preserve">, if the conditions in TS 38.101-3 [8-3] are fullfilled, </w:t>
            </w:r>
          </w:p>
          <w:p w14:paraId="2BD8850E"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753AA3"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28573CCF" w14:textId="77777777" w:rsidR="00265161" w:rsidRPr="00265161" w:rsidRDefault="00265161" w:rsidP="00265161">
            <w:pPr>
              <w:ind w:left="851" w:hanging="284"/>
              <w:jc w:val="left"/>
              <w:rPr>
                <w:rFonts w:eastAsiaTheme="minorEastAsia"/>
                <w:color w:val="FF0000"/>
                <w:sz w:val="20"/>
                <w:szCs w:val="20"/>
                <w:u w:val="singl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5C49084"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50E8DE16"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109CCC6F" w14:textId="77777777" w:rsidR="00265161" w:rsidRPr="00265161" w:rsidRDefault="00265161" w:rsidP="00265161">
            <w:pPr>
              <w:rPr>
                <w:rFonts w:eastAsia="Yu Mincho"/>
                <w:sz w:val="20"/>
                <w:szCs w:val="20"/>
                <w:lang w:val="en-GB" w:eastAsia="ja-JP"/>
              </w:rPr>
            </w:pPr>
            <w:r w:rsidRPr="00265161">
              <w:rPr>
                <w:rFonts w:eastAsia="Yu Mincho"/>
                <w:sz w:val="20"/>
                <w:szCs w:val="20"/>
                <w:lang w:val="en-GB" w:eastAsia="ja-JP"/>
              </w:rPr>
              <w:t xml:space="preserve">If a UE is configured with </w:t>
            </w:r>
            <w:r w:rsidRPr="00265161">
              <w:rPr>
                <w:rFonts w:eastAsia="Yu Mincho"/>
                <w:noProof/>
                <w:position w:val="-10"/>
                <w:sz w:val="20"/>
                <w:szCs w:val="20"/>
                <w:lang w:eastAsia="ko-KR"/>
              </w:rPr>
              <w:drawing>
                <wp:inline distT="0" distB="0" distL="0" distR="0" wp14:anchorId="1179B790" wp14:editId="0583BC20">
                  <wp:extent cx="1009650" cy="184150"/>
                  <wp:effectExtent l="0" t="0" r="0" b="635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150"/>
                          </a:xfrm>
                          <a:prstGeom prst="rect">
                            <a:avLst/>
                          </a:prstGeom>
                          <a:noFill/>
                          <a:ln>
                            <a:noFill/>
                          </a:ln>
                        </pic:spPr>
                      </pic:pic>
                    </a:graphicData>
                  </a:graphic>
                </wp:inline>
              </w:drawing>
            </w:r>
            <w:r w:rsidRPr="00265161">
              <w:rPr>
                <w:rFonts w:eastAsia="Yu Mincho"/>
                <w:sz w:val="20"/>
                <w:szCs w:val="20"/>
                <w:lang w:val="en-GB"/>
              </w:rPr>
              <w:t xml:space="preserve">, where </w:t>
            </w:r>
            <w:r w:rsidRPr="00265161">
              <w:rPr>
                <w:rFonts w:eastAsia="Yu Mincho"/>
                <w:noProof/>
                <w:position w:val="-10"/>
                <w:sz w:val="20"/>
                <w:szCs w:val="20"/>
                <w:lang w:eastAsia="ko-KR"/>
              </w:rPr>
              <w:drawing>
                <wp:inline distT="0" distB="0" distL="0" distR="0" wp14:anchorId="29D4BC91" wp14:editId="6152CF34">
                  <wp:extent cx="279400" cy="184150"/>
                  <wp:effectExtent l="0" t="0" r="6350" b="635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40E3F780" wp14:editId="049ABBC6">
                  <wp:extent cx="279400" cy="184150"/>
                  <wp:effectExtent l="0" t="0" r="0" b="635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noProof/>
                <w:position w:val="-10"/>
                <w:sz w:val="20"/>
                <w:szCs w:val="20"/>
                <w:lang w:eastAsia="ko-KR"/>
              </w:rPr>
              <w:drawing>
                <wp:inline distT="0" distB="0" distL="0" distR="0" wp14:anchorId="3F225F57" wp14:editId="24B0603A">
                  <wp:extent cx="184150" cy="184150"/>
                  <wp:effectExtent l="0" t="0" r="6350" b="63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1D685FD3" wp14:editId="4830D175">
                  <wp:extent cx="184150" cy="184150"/>
                  <wp:effectExtent l="0" t="0" r="635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sz w:val="20"/>
                <w:szCs w:val="20"/>
                <w:lang w:val="en-GB"/>
              </w:rPr>
              <w:t>, and</w:t>
            </w:r>
            <w:r w:rsidRPr="00265161">
              <w:rPr>
                <w:rFonts w:eastAsia="Yu Mincho" w:hint="eastAsia"/>
                <w:sz w:val="20"/>
                <w:szCs w:val="20"/>
                <w:lang w:val="en-GB"/>
              </w:rPr>
              <w:t xml:space="preserve"> </w:t>
            </w:r>
            <w:r w:rsidRPr="00265161">
              <w:rPr>
                <w:rFonts w:eastAsia="Yu Mincho"/>
                <w:noProof/>
                <w:position w:val="-10"/>
                <w:sz w:val="20"/>
                <w:szCs w:val="20"/>
                <w:lang w:eastAsia="ko-KR"/>
              </w:rPr>
              <w:drawing>
                <wp:inline distT="0" distB="0" distL="0" distR="0" wp14:anchorId="13E04B00" wp14:editId="1EA9FC25">
                  <wp:extent cx="361950" cy="184150"/>
                  <wp:effectExtent l="0" t="0" r="0" b="635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hint="eastAsia"/>
                <w:sz w:val="20"/>
                <w:szCs w:val="20"/>
                <w:lang w:val="en-GB"/>
              </w:rPr>
              <w:t xml:space="preserve">is the linear value of </w:t>
            </w:r>
            <w:r w:rsidRPr="00265161">
              <w:rPr>
                <w:rFonts w:eastAsia="Yu Mincho"/>
                <w:sz w:val="20"/>
                <w:szCs w:val="20"/>
              </w:rPr>
              <w:t>a</w:t>
            </w:r>
            <w:r w:rsidRPr="00265161">
              <w:rPr>
                <w:rFonts w:eastAsia="Yu Mincho" w:hint="eastAsia"/>
                <w:sz w:val="20"/>
                <w:szCs w:val="20"/>
                <w:lang w:val="en-GB"/>
              </w:rPr>
              <w:t xml:space="preserve"> </w:t>
            </w:r>
            <w:r w:rsidRPr="00265161">
              <w:rPr>
                <w:rFonts w:eastAsia="Yu Mincho"/>
                <w:sz w:val="20"/>
                <w:szCs w:val="20"/>
                <w:lang w:val="en-GB"/>
              </w:rPr>
              <w:t xml:space="preserve">configured </w:t>
            </w:r>
            <w:r w:rsidRPr="00265161">
              <w:rPr>
                <w:rFonts w:eastAsia="Yu Mincho" w:hint="eastAsia"/>
                <w:sz w:val="20"/>
                <w:szCs w:val="20"/>
                <w:lang w:val="en-GB"/>
              </w:rPr>
              <w:t xml:space="preserve">maximum </w:t>
            </w:r>
            <w:r w:rsidRPr="00265161">
              <w:rPr>
                <w:rFonts w:eastAsia="Yu Mincho"/>
                <w:sz w:val="20"/>
                <w:szCs w:val="20"/>
              </w:rPr>
              <w:t>transmission</w:t>
            </w:r>
            <w:r w:rsidRPr="00265161">
              <w:rPr>
                <w:rFonts w:eastAsia="Yu Mincho"/>
                <w:sz w:val="20"/>
                <w:szCs w:val="20"/>
                <w:lang w:val="en-GB"/>
              </w:rPr>
              <w:t xml:space="preserve"> power </w:t>
            </w:r>
            <w:r w:rsidRPr="00265161">
              <w:rPr>
                <w:rFonts w:eastAsia="Yu Mincho"/>
                <w:sz w:val="20"/>
                <w:szCs w:val="20"/>
              </w:rPr>
              <w:t xml:space="preserve">for EN-DC operation </w:t>
            </w:r>
            <w:r w:rsidRPr="00265161">
              <w:rPr>
                <w:rFonts w:eastAsia="Yu Mincho"/>
                <w:sz w:val="20"/>
                <w:szCs w:val="20"/>
                <w:lang w:val="en-GB"/>
              </w:rPr>
              <w:t xml:space="preserve">as </w:t>
            </w:r>
            <w:r w:rsidRPr="00265161">
              <w:rPr>
                <w:rFonts w:eastAsia="Yu Mincho"/>
                <w:iCs/>
                <w:sz w:val="20"/>
                <w:szCs w:val="20"/>
                <w:lang w:val="en-GB"/>
              </w:rPr>
              <w:t xml:space="preserve">defined in </w:t>
            </w:r>
            <w:r w:rsidRPr="00265161">
              <w:rPr>
                <w:rFonts w:eastAsia="Yu Mincho"/>
                <w:sz w:val="20"/>
                <w:szCs w:val="20"/>
                <w:lang w:val="en-GB"/>
              </w:rPr>
              <w:t xml:space="preserve">[8-3, TS 38.101-3] for FR1, </w:t>
            </w:r>
            <w:r w:rsidRPr="00265161">
              <w:rPr>
                <w:rFonts w:eastAsia="Yu Mincho"/>
                <w:sz w:val="20"/>
                <w:szCs w:val="20"/>
                <w:lang w:val="en-GB" w:eastAsia="ja-JP"/>
              </w:rPr>
              <w:t>the UE determines a transmission power for the SCG as follows.</w:t>
            </w:r>
          </w:p>
          <w:p w14:paraId="6A5B7B04"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 xml:space="preserve">If the UE </w:t>
            </w:r>
            <w:r w:rsidRPr="00265161">
              <w:rPr>
                <w:rFonts w:eastAsia="Yu Mincho"/>
                <w:sz w:val="20"/>
                <w:szCs w:val="20"/>
                <w:lang w:eastAsia="ja-JP"/>
              </w:rPr>
              <w:t xml:space="preserve">is </w:t>
            </w:r>
            <w:r w:rsidRPr="00265161">
              <w:rPr>
                <w:rFonts w:eastAsia="Yu Mincho" w:hint="eastAsia"/>
                <w:sz w:val="20"/>
                <w:szCs w:val="20"/>
                <w:lang w:val="x-none"/>
              </w:rPr>
              <w:t>configured</w:t>
            </w:r>
            <w:r w:rsidRPr="00265161">
              <w:rPr>
                <w:rFonts w:eastAsia="Yu Mincho"/>
                <w:sz w:val="20"/>
                <w:szCs w:val="20"/>
                <w:lang w:val="x-none"/>
              </w:rPr>
              <w:t xml:space="preserve">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528B273D" w14:textId="77777777" w:rsidR="00265161" w:rsidRPr="00265161" w:rsidRDefault="00265161" w:rsidP="00265161">
            <w:pPr>
              <w:ind w:left="851" w:hanging="284"/>
              <w:rPr>
                <w:rFonts w:eastAsia="Yu Mincho"/>
                <w:sz w:val="20"/>
                <w:szCs w:val="20"/>
                <w:lang w:val="x-none"/>
              </w:rPr>
            </w:pPr>
            <w:r w:rsidRPr="00265161">
              <w:rPr>
                <w:rFonts w:eastAsia="Yu Mincho"/>
                <w:sz w:val="20"/>
                <w:szCs w:val="20"/>
              </w:rPr>
              <w:t>-</w:t>
            </w:r>
            <w:r w:rsidRPr="00265161">
              <w:rPr>
                <w:rFonts w:eastAsia="Yu Mincho"/>
                <w:sz w:val="20"/>
                <w:szCs w:val="20"/>
              </w:rPr>
              <w:tab/>
              <w:t xml:space="preserve">If the UE 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w:t>
            </w:r>
            <w:r w:rsidRPr="00265161">
              <w:rPr>
                <w:rFonts w:eastAsia="Yu Mincho"/>
                <w:sz w:val="20"/>
                <w:szCs w:val="20"/>
              </w:rPr>
              <w:t>t</w:t>
            </w:r>
            <w:r w:rsidRPr="00265161">
              <w:rPr>
                <w:rFonts w:eastAsia="Yu Mincho"/>
                <w:sz w:val="20"/>
                <w:szCs w:val="20"/>
                <w:lang w:val="x-none"/>
              </w:rPr>
              <w:t xml:space="preserve">he UE </w:t>
            </w:r>
            <w:r w:rsidRPr="00265161">
              <w:rPr>
                <w:rFonts w:eastAsia="Yu Mincho"/>
                <w:sz w:val="20"/>
                <w:szCs w:val="20"/>
              </w:rPr>
              <w:t>does</w:t>
            </w:r>
            <w:r w:rsidRPr="00265161">
              <w:rPr>
                <w:rFonts w:eastAsia="Yu Mincho" w:hint="eastAsia"/>
                <w:sz w:val="20"/>
                <w:szCs w:val="20"/>
                <w:lang w:val="x-none"/>
              </w:rPr>
              <w:t xml:space="preserve"> not transmit</w:t>
            </w:r>
            <w:r w:rsidRPr="00265161">
              <w:rPr>
                <w:rFonts w:eastAsia="Yu Mincho"/>
                <w:sz w:val="20"/>
                <w:szCs w:val="20"/>
                <w:lang w:val="x-none"/>
              </w:rPr>
              <w:t xml:space="preserve"> in a slot on the SCG</w:t>
            </w:r>
            <w:r w:rsidRPr="00265161">
              <w:rPr>
                <w:rFonts w:eastAsia="Yu Mincho"/>
                <w:sz w:val="20"/>
                <w:szCs w:val="20"/>
              </w:rPr>
              <w:t xml:space="preserve"> in FR1</w:t>
            </w:r>
            <w:r w:rsidRPr="00265161">
              <w:rPr>
                <w:rFonts w:eastAsia="Yu Mincho"/>
                <w:sz w:val="20"/>
                <w:szCs w:val="20"/>
                <w:lang w:val="x-none"/>
              </w:rPr>
              <w:t xml:space="preserve"> </w:t>
            </w:r>
            <w:r w:rsidRPr="00265161">
              <w:rPr>
                <w:rFonts w:eastAsia="Yu Mincho"/>
                <w:sz w:val="20"/>
                <w:szCs w:val="20"/>
              </w:rPr>
              <w:t>when</w:t>
            </w:r>
            <w:r w:rsidRPr="00265161">
              <w:rPr>
                <w:rFonts w:eastAsia="Yu Mincho"/>
                <w:sz w:val="20"/>
                <w:szCs w:val="20"/>
                <w:lang w:val="x-none"/>
              </w:rPr>
              <w:t xml:space="preserve"> a corresponding subframe on the MCG </w:t>
            </w:r>
            <w:r w:rsidRPr="00265161">
              <w:rPr>
                <w:rFonts w:eastAsia="Yu Mincho" w:hint="eastAsia"/>
                <w:sz w:val="20"/>
                <w:szCs w:val="20"/>
                <w:lang w:val="x-none"/>
              </w:rPr>
              <w:t>is an</w:t>
            </w:r>
            <w:r w:rsidRPr="00265161">
              <w:rPr>
                <w:rFonts w:eastAsia="Yu Mincho"/>
                <w:sz w:val="20"/>
                <w:szCs w:val="20"/>
                <w:lang w:val="x-none"/>
              </w:rPr>
              <w:t xml:space="preserve"> UL </w:t>
            </w:r>
            <w:r w:rsidRPr="00265161">
              <w:rPr>
                <w:rFonts w:eastAsia="Yu Mincho" w:hint="eastAsia"/>
                <w:sz w:val="20"/>
                <w:szCs w:val="20"/>
                <w:lang w:val="x-none"/>
              </w:rPr>
              <w:t xml:space="preserve">subframe </w:t>
            </w:r>
            <w:r w:rsidRPr="00265161">
              <w:rPr>
                <w:rFonts w:eastAsia="Yu Mincho"/>
                <w:sz w:val="20"/>
                <w:szCs w:val="20"/>
                <w:lang w:val="x-none"/>
              </w:rPr>
              <w:t>in the reference TDD configuration.</w:t>
            </w:r>
          </w:p>
          <w:p w14:paraId="3F6D2062" w14:textId="77777777" w:rsidR="00265161" w:rsidRPr="0040067F" w:rsidRDefault="00265161" w:rsidP="00265161">
            <w:pPr>
              <w:ind w:left="851" w:hanging="284"/>
              <w:rPr>
                <w:rFonts w:eastAsia="Yu Mincho"/>
                <w:strike/>
                <w:color w:val="FF0000"/>
                <w:sz w:val="20"/>
                <w:szCs w:val="20"/>
                <w:lang w:val="x-none"/>
              </w:rPr>
            </w:pPr>
            <w:r w:rsidRPr="0040067F">
              <w:rPr>
                <w:rFonts w:eastAsia="Yu Mincho"/>
                <w:strike/>
                <w:color w:val="FF0000"/>
                <w:sz w:val="20"/>
                <w:szCs w:val="20"/>
              </w:rPr>
              <w:lastRenderedPageBreak/>
              <w:t>-</w:t>
            </w:r>
            <w:r w:rsidRPr="0040067F">
              <w:rPr>
                <w:rFonts w:eastAsia="Yu Mincho"/>
                <w:strike/>
                <w:color w:val="FF0000"/>
                <w:sz w:val="20"/>
                <w:szCs w:val="20"/>
              </w:rPr>
              <w:tab/>
              <w:t xml:space="preserve">If </w:t>
            </w:r>
            <w:r w:rsidRPr="0040067F">
              <w:rPr>
                <w:rFonts w:eastAsia="Yu Mincho"/>
                <w:strike/>
                <w:color w:val="FF0000"/>
                <w:sz w:val="20"/>
                <w:szCs w:val="20"/>
                <w:lang w:val="x-none"/>
              </w:rPr>
              <w:t xml:space="preserve">the UE indicates a capability for dynamic power sharing between E-UTRA and NR for EN-DC, and does not indicate a capability </w:t>
            </w:r>
            <w:r w:rsidRPr="0040067F">
              <w:rPr>
                <w:rFonts w:eastAsia="Yu Mincho"/>
                <w:i/>
                <w:iCs/>
                <w:strike/>
                <w:color w:val="FF0000"/>
                <w:sz w:val="20"/>
                <w:szCs w:val="20"/>
                <w:lang w:val="x-none"/>
              </w:rPr>
              <w:t>tdm-Pattern-dualTx</w:t>
            </w:r>
            <w:r w:rsidRPr="0040067F">
              <w:rPr>
                <w:rFonts w:eastAsia="Yu Mincho"/>
                <w:strike/>
                <w:color w:val="FF0000"/>
                <w:sz w:val="20"/>
                <w:szCs w:val="20"/>
                <w:lang w:val="x-none"/>
              </w:rPr>
              <w:t xml:space="preserve"> in [16, TS 38.306], and is configured with </w:t>
            </w:r>
            <w:r w:rsidRPr="0040067F">
              <w:rPr>
                <w:rFonts w:eastAsia="Yu Mincho"/>
                <w:i/>
                <w:iCs/>
                <w:strike/>
                <w:color w:val="FF0000"/>
                <w:sz w:val="20"/>
                <w:szCs w:val="20"/>
                <w:lang w:val="x-none"/>
              </w:rPr>
              <w:t>tdm-PatternConfig-r16</w:t>
            </w:r>
            <w:r w:rsidRPr="0040067F">
              <w:rPr>
                <w:rFonts w:eastAsia="Yu Mincho"/>
                <w:strike/>
                <w:color w:val="FF0000"/>
                <w:sz w:val="20"/>
                <w:szCs w:val="20"/>
                <w:lang w:val="x-none"/>
              </w:rPr>
              <w:t>, the UE does not transmit on the SCG in FR1 when the UE has overlapped transmission on a subframe on the MCG.</w:t>
            </w:r>
          </w:p>
          <w:p w14:paraId="5880258B"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If the UE indicate</w:t>
            </w:r>
            <w:r w:rsidRPr="00265161">
              <w:rPr>
                <w:rFonts w:eastAsia="Yu Mincho"/>
                <w:sz w:val="20"/>
                <w:szCs w:val="20"/>
                <w:lang w:eastAsia="ja-JP"/>
              </w:rPr>
              <w:t>s</w:t>
            </w:r>
            <w:r w:rsidRPr="00265161">
              <w:rPr>
                <w:rFonts w:eastAsia="Yu Mincho"/>
                <w:sz w:val="20"/>
                <w:szCs w:val="20"/>
                <w:lang w:val="x-none" w:eastAsia="ja-JP"/>
              </w:rPr>
              <w:t xml:space="preserve"> a capability for dynamic power sharing</w:t>
            </w:r>
            <w:r w:rsidRPr="00265161">
              <w:rPr>
                <w:rFonts w:eastAsia="Yu Mincho"/>
                <w:sz w:val="20"/>
                <w:szCs w:val="20"/>
                <w:lang w:eastAsia="ja-JP"/>
              </w:rPr>
              <w:t xml:space="preserve"> between E-UTRA and NR for EN-DC and</w:t>
            </w:r>
          </w:p>
          <w:p w14:paraId="472D2C73"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UE transmission(s) in subframe </w:t>
            </w:r>
            <w:r w:rsidRPr="00265161">
              <w:rPr>
                <w:rFonts w:eastAsia="Yu Mincho"/>
                <w:noProof/>
                <w:position w:val="-10"/>
                <w:sz w:val="20"/>
                <w:szCs w:val="20"/>
                <w:lang w:eastAsia="ko-KR"/>
              </w:rPr>
              <w:drawing>
                <wp:inline distT="0" distB="0" distL="0" distR="0" wp14:anchorId="7A3AD34E" wp14:editId="3DC95C8F">
                  <wp:extent cx="95250" cy="184150"/>
                  <wp:effectExtent l="0" t="0" r="0" b="635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overlap in time with UE transmission(s) in slot </w:t>
            </w:r>
            <w:r w:rsidRPr="00265161">
              <w:rPr>
                <w:rFonts w:eastAsia="Yu Mincho"/>
                <w:noProof/>
                <w:position w:val="-10"/>
                <w:sz w:val="20"/>
                <w:szCs w:val="20"/>
                <w:lang w:eastAsia="ko-KR"/>
              </w:rPr>
              <w:drawing>
                <wp:inline distT="0" distB="0" distL="0" distR="0" wp14:anchorId="70F0B249" wp14:editId="5CF4A0A4">
                  <wp:extent cx="95250" cy="184150"/>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 and</w:t>
            </w:r>
          </w:p>
          <w:p w14:paraId="2B0F0149"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w:t>
            </w:r>
            <w:r w:rsidRPr="00265161">
              <w:rPr>
                <w:rFonts w:eastAsia="Yu Mincho"/>
                <w:noProof/>
                <w:position w:val="-10"/>
                <w:sz w:val="20"/>
                <w:szCs w:val="20"/>
                <w:lang w:eastAsia="ko-KR"/>
              </w:rPr>
              <w:drawing>
                <wp:inline distT="0" distB="0" distL="0" distR="0" wp14:anchorId="2FC392D0" wp14:editId="7CE40A3A">
                  <wp:extent cx="1466850" cy="184150"/>
                  <wp:effectExtent l="0" t="0" r="0" b="635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685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53695D03" wp14:editId="0C22255E">
                  <wp:extent cx="95250" cy="184150"/>
                  <wp:effectExtent l="0" t="0" r="0" b="635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w:t>
            </w:r>
            <w:r w:rsidRPr="00265161">
              <w:rPr>
                <w:rFonts w:eastAsia="Yu Mincho" w:hint="eastAsia"/>
                <w:sz w:val="20"/>
                <w:szCs w:val="20"/>
                <w:lang w:val="x-none"/>
              </w:rPr>
              <w:t xml:space="preserve">, </w:t>
            </w:r>
          </w:p>
          <w:p w14:paraId="79B10843" w14:textId="77777777" w:rsidR="00265161" w:rsidRPr="00265161" w:rsidRDefault="00265161" w:rsidP="00265161">
            <w:pPr>
              <w:ind w:left="851" w:hanging="284"/>
              <w:rPr>
                <w:rFonts w:eastAsia="Yu Mincho"/>
                <w:sz w:val="20"/>
                <w:szCs w:val="20"/>
              </w:rPr>
            </w:pPr>
            <w:r w:rsidRPr="00265161">
              <w:rPr>
                <w:rFonts w:eastAsia="Yu Mincho"/>
                <w:sz w:val="20"/>
                <w:szCs w:val="20"/>
                <w:lang w:val="x-none"/>
              </w:rPr>
              <w:tab/>
              <w:t>the UE reduces</w:t>
            </w:r>
            <w:r w:rsidRPr="00265161">
              <w:rPr>
                <w:rFonts w:eastAsia="Yu Mincho" w:hint="eastAsia"/>
                <w:sz w:val="20"/>
                <w:szCs w:val="20"/>
                <w:lang w:val="x-none"/>
              </w:rPr>
              <w:t xml:space="preserve"> </w:t>
            </w:r>
            <w:r w:rsidRPr="00265161">
              <w:rPr>
                <w:rFonts w:eastAsia="Yu Mincho"/>
                <w:sz w:val="20"/>
                <w:szCs w:val="20"/>
              </w:rPr>
              <w:t>transmission power</w:t>
            </w:r>
            <w:r w:rsidRPr="00265161" w:rsidDel="001A0D35">
              <w:rPr>
                <w:rFonts w:eastAsia="Yu Mincho"/>
                <w:sz w:val="20"/>
                <w:szCs w:val="20"/>
                <w:lang w:val="x-none"/>
              </w:rPr>
              <w:t xml:space="preserve"> </w:t>
            </w:r>
            <w:r w:rsidRPr="00265161">
              <w:rPr>
                <w:rFonts w:eastAsia="Yu Mincho"/>
                <w:sz w:val="20"/>
                <w:szCs w:val="20"/>
              </w:rPr>
              <w:t xml:space="preserve">in any portion of slot </w:t>
            </w:r>
            <w:r w:rsidRPr="00265161">
              <w:rPr>
                <w:rFonts w:eastAsia="Yu Mincho"/>
                <w:noProof/>
                <w:position w:val="-10"/>
                <w:sz w:val="20"/>
                <w:szCs w:val="20"/>
                <w:lang w:eastAsia="ko-KR"/>
              </w:rPr>
              <w:drawing>
                <wp:inline distT="0" distB="0" distL="0" distR="0" wp14:anchorId="1500427F" wp14:editId="4603B038">
                  <wp:extent cx="95250" cy="184150"/>
                  <wp:effectExtent l="0" t="0" r="0" b="635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w:t>
            </w:r>
            <w:r w:rsidRPr="00265161">
              <w:rPr>
                <w:rFonts w:eastAsia="Yu Mincho" w:hint="eastAsia"/>
                <w:sz w:val="20"/>
                <w:szCs w:val="20"/>
                <w:lang w:val="x-none"/>
              </w:rPr>
              <w:t>o</w:t>
            </w:r>
            <w:r w:rsidRPr="00265161">
              <w:rPr>
                <w:rFonts w:eastAsia="Yu Mincho"/>
                <w:sz w:val="20"/>
                <w:szCs w:val="20"/>
              </w:rPr>
              <w:t>f</w:t>
            </w:r>
            <w:r w:rsidRPr="00265161">
              <w:rPr>
                <w:rFonts w:eastAsia="Yu Mincho" w:hint="eastAsia"/>
                <w:sz w:val="20"/>
                <w:szCs w:val="20"/>
                <w:lang w:val="x-none"/>
              </w:rPr>
              <w:t xml:space="preserve"> the SCG so that </w:t>
            </w:r>
            <w:r w:rsidRPr="00265161">
              <w:rPr>
                <w:rFonts w:eastAsia="Yu Mincho"/>
                <w:noProof/>
                <w:position w:val="-10"/>
                <w:sz w:val="20"/>
                <w:szCs w:val="20"/>
                <w:lang w:eastAsia="ko-KR"/>
              </w:rPr>
              <w:drawing>
                <wp:inline distT="0" distB="0" distL="0" distR="0" wp14:anchorId="168C2305" wp14:editId="19284605">
                  <wp:extent cx="1371600" cy="184150"/>
                  <wp:effectExtent l="0" t="0" r="0" b="635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912E111" wp14:editId="24512C4F">
                  <wp:extent cx="95250" cy="184150"/>
                  <wp:effectExtent l="0" t="0" r="0" b="635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r w:rsidRPr="00265161">
              <w:rPr>
                <w:rFonts w:eastAsia="Yu Mincho" w:hint="eastAsia"/>
                <w:sz w:val="20"/>
                <w:szCs w:val="20"/>
                <w:lang w:val="x-none"/>
              </w:rPr>
              <w:t xml:space="preserve"> where </w:t>
            </w:r>
            <w:r w:rsidRPr="00265161">
              <w:rPr>
                <w:rFonts w:eastAsia="Yu Mincho"/>
                <w:noProof/>
                <w:position w:val="-10"/>
                <w:sz w:val="20"/>
                <w:szCs w:val="20"/>
                <w:lang w:eastAsia="ko-KR"/>
              </w:rPr>
              <w:drawing>
                <wp:inline distT="0" distB="0" distL="0" distR="0" wp14:anchorId="591D9216" wp14:editId="5E7A4975">
                  <wp:extent cx="361950" cy="184150"/>
                  <wp:effectExtent l="0" t="0" r="0" b="635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x-none"/>
              </w:rPr>
              <w:t xml:space="preserve"> and </w:t>
            </w:r>
            <w:r w:rsidRPr="00265161">
              <w:rPr>
                <w:rFonts w:eastAsia="Yu Mincho"/>
                <w:noProof/>
                <w:position w:val="-10"/>
                <w:sz w:val="20"/>
                <w:szCs w:val="20"/>
                <w:lang w:eastAsia="ko-KR"/>
              </w:rPr>
              <w:drawing>
                <wp:inline distT="0" distB="0" distL="0" distR="0" wp14:anchorId="1460E3D3" wp14:editId="6410D2B8">
                  <wp:extent cx="457200" cy="184150"/>
                  <wp:effectExtent l="0" t="0" r="0" b="635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lang w:val="x-none"/>
              </w:rPr>
              <w:t xml:space="preserve"> </w:t>
            </w:r>
            <w:r w:rsidRPr="00265161">
              <w:rPr>
                <w:rFonts w:eastAsia="Yu Mincho"/>
                <w:sz w:val="20"/>
                <w:szCs w:val="20"/>
              </w:rPr>
              <w:t xml:space="preserve">are </w:t>
            </w:r>
            <w:r w:rsidRPr="00265161">
              <w:rPr>
                <w:rFonts w:eastAsia="Yu Mincho"/>
                <w:sz w:val="20"/>
                <w:szCs w:val="20"/>
                <w:lang w:val="x-none"/>
              </w:rPr>
              <w:t xml:space="preserve">the linear values of the </w:t>
            </w:r>
            <w:r w:rsidRPr="00265161">
              <w:rPr>
                <w:rFonts w:eastAsia="Yu Mincho"/>
                <w:sz w:val="20"/>
                <w:szCs w:val="20"/>
              </w:rPr>
              <w:t xml:space="preserve">total </w:t>
            </w:r>
            <w:r w:rsidRPr="00265161">
              <w:rPr>
                <w:rFonts w:eastAsia="Yu Mincho"/>
                <w:sz w:val="20"/>
                <w:szCs w:val="20"/>
                <w:lang w:val="x-none"/>
              </w:rPr>
              <w:t>UE transmi</w:t>
            </w:r>
            <w:r w:rsidRPr="00265161">
              <w:rPr>
                <w:rFonts w:eastAsia="Yu Mincho"/>
                <w:sz w:val="20"/>
                <w:szCs w:val="20"/>
              </w:rPr>
              <w:t>ssion</w:t>
            </w:r>
            <w:r w:rsidRPr="00265161">
              <w:rPr>
                <w:rFonts w:eastAsia="Yu Mincho"/>
                <w:sz w:val="20"/>
                <w:szCs w:val="20"/>
                <w:lang w:val="x-none"/>
              </w:rPr>
              <w:t xml:space="preserve"> power</w:t>
            </w:r>
            <w:r w:rsidRPr="00265161">
              <w:rPr>
                <w:rFonts w:eastAsia="Yu Mincho" w:hint="eastAsia"/>
                <w:sz w:val="20"/>
                <w:szCs w:val="20"/>
                <w:lang w:val="x-none"/>
              </w:rPr>
              <w:t>s</w:t>
            </w:r>
            <w:r w:rsidRPr="00265161">
              <w:rPr>
                <w:rFonts w:eastAsia="Yu Mincho"/>
                <w:sz w:val="20"/>
                <w:szCs w:val="20"/>
                <w:lang w:val="x-none"/>
              </w:rPr>
              <w:t xml:space="preserve"> </w:t>
            </w:r>
            <w:r w:rsidRPr="00265161">
              <w:rPr>
                <w:rFonts w:eastAsia="Yu Mincho"/>
                <w:sz w:val="20"/>
                <w:szCs w:val="20"/>
              </w:rPr>
              <w:t>in</w:t>
            </w:r>
            <w:r w:rsidRPr="00265161">
              <w:rPr>
                <w:rFonts w:eastAsia="Yu Mincho" w:hint="eastAsia"/>
                <w:sz w:val="20"/>
                <w:szCs w:val="20"/>
                <w:lang w:val="x-none"/>
              </w:rPr>
              <w:t xml:space="preserve"> subframe </w:t>
            </w:r>
            <w:r w:rsidRPr="00265161">
              <w:rPr>
                <w:rFonts w:eastAsia="Yu Mincho"/>
                <w:noProof/>
                <w:position w:val="-10"/>
                <w:sz w:val="20"/>
                <w:szCs w:val="20"/>
                <w:lang w:eastAsia="ko-KR"/>
              </w:rPr>
              <w:drawing>
                <wp:inline distT="0" distB="0" distL="0" distR="0" wp14:anchorId="7470B81B" wp14:editId="2353C6CA">
                  <wp:extent cx="95250" cy="184150"/>
                  <wp:effectExtent l="0" t="0" r="0" b="635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w:t>
            </w:r>
            <w:r w:rsidRPr="00265161">
              <w:rPr>
                <w:rFonts w:eastAsia="Yu Mincho"/>
                <w:sz w:val="20"/>
                <w:szCs w:val="20"/>
                <w:lang w:val="x-none"/>
              </w:rPr>
              <w:t xml:space="preserve">and </w:t>
            </w:r>
            <w:r w:rsidRPr="00265161">
              <w:rPr>
                <w:rFonts w:eastAsia="Yu Mincho"/>
                <w:sz w:val="20"/>
                <w:szCs w:val="20"/>
              </w:rPr>
              <w:t>in</w:t>
            </w:r>
            <w:r w:rsidRPr="00265161">
              <w:rPr>
                <w:rFonts w:eastAsia="Yu Mincho" w:hint="eastAsia"/>
                <w:sz w:val="20"/>
                <w:szCs w:val="20"/>
                <w:lang w:val="x-none"/>
              </w:rPr>
              <w:t xml:space="preserve"> slot </w:t>
            </w:r>
            <w:r w:rsidRPr="00265161">
              <w:rPr>
                <w:rFonts w:eastAsia="Yu Mincho"/>
                <w:noProof/>
                <w:position w:val="-10"/>
                <w:sz w:val="20"/>
                <w:szCs w:val="20"/>
                <w:lang w:eastAsia="ko-KR"/>
              </w:rPr>
              <w:drawing>
                <wp:inline distT="0" distB="0" distL="0" distR="0" wp14:anchorId="5FFE0B46" wp14:editId="300358BE">
                  <wp:extent cx="95250" cy="184150"/>
                  <wp:effectExtent l="0" t="0" r="0" b="635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w:t>
            </w:r>
            <w:r w:rsidRPr="00265161">
              <w:rPr>
                <w:rFonts w:eastAsia="Yu Mincho"/>
                <w:sz w:val="20"/>
                <w:szCs w:val="20"/>
                <w:lang w:val="x-none"/>
              </w:rPr>
              <w:t>, respectively.</w:t>
            </w:r>
            <w:r w:rsidRPr="00265161">
              <w:rPr>
                <w:rFonts w:eastAsia="Yu Mincho"/>
                <w:sz w:val="20"/>
                <w:szCs w:val="20"/>
              </w:rPr>
              <w:t xml:space="preserve"> The UE is not required to transmit in any portion of slot </w:t>
            </w:r>
            <w:r w:rsidRPr="00265161">
              <w:rPr>
                <w:rFonts w:eastAsia="Yu Mincho"/>
                <w:noProof/>
                <w:position w:val="-10"/>
                <w:sz w:val="20"/>
                <w:szCs w:val="20"/>
                <w:lang w:eastAsia="ko-KR"/>
              </w:rPr>
              <w:drawing>
                <wp:inline distT="0" distB="0" distL="0" distR="0" wp14:anchorId="0B704279" wp14:editId="6CB2E070">
                  <wp:extent cx="95250" cy="184150"/>
                  <wp:effectExtent l="0" t="0" r="0" b="635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255929A4" wp14:editId="689F4348">
                  <wp:extent cx="457200" cy="184150"/>
                  <wp:effectExtent l="0" t="0" r="0" b="635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rPr>
              <w:t xml:space="preserve"> would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40E4FEAB" wp14:editId="2C0AB3F9">
                  <wp:extent cx="137160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1A726BB" wp14:editId="7485B483">
                  <wp:extent cx="95250" cy="184150"/>
                  <wp:effectExtent l="0" t="0" r="0" b="635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o</w:t>
            </w:r>
            <w:r w:rsidRPr="00265161">
              <w:rPr>
                <w:rFonts w:eastAsia="Yu Mincho"/>
                <w:sz w:val="20"/>
                <w:szCs w:val="20"/>
              </w:rPr>
              <w:t>f</w:t>
            </w:r>
            <w:r w:rsidRPr="00265161">
              <w:rPr>
                <w:rFonts w:eastAsia="Yu Mincho" w:hint="eastAsia"/>
                <w:sz w:val="20"/>
                <w:szCs w:val="20"/>
                <w:lang w:val="x-none"/>
              </w:rPr>
              <w:t xml:space="preserve"> the SCG</w:t>
            </w:r>
            <w:r w:rsidRPr="00265161">
              <w:rPr>
                <w:rFonts w:eastAsia="Yu Mincho"/>
                <w:sz w:val="20"/>
                <w:szCs w:val="20"/>
              </w:rPr>
              <w:t xml:space="preserve">. The UE is required to transmit in slot </w:t>
            </w:r>
            <w:r w:rsidRPr="00265161">
              <w:rPr>
                <w:rFonts w:eastAsia="Yu Mincho"/>
                <w:noProof/>
                <w:position w:val="-10"/>
                <w:sz w:val="20"/>
                <w:szCs w:val="20"/>
                <w:lang w:eastAsia="ko-KR"/>
              </w:rPr>
              <w:drawing>
                <wp:inline distT="0" distB="0" distL="0" distR="0" wp14:anchorId="486B0AF6" wp14:editId="4D90657E">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379282B8" wp14:editId="0AAD8E8F">
                  <wp:extent cx="36195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rPr>
              <w:t xml:space="preserve"> would not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3F42C2E4" wp14:editId="7F3B6E7B">
                  <wp:extent cx="12763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6350" cy="184150"/>
                          </a:xfrm>
                          <a:prstGeom prst="rect">
                            <a:avLst/>
                          </a:prstGeom>
                          <a:noFill/>
                          <a:ln>
                            <a:noFill/>
                          </a:ln>
                        </pic:spPr>
                      </pic:pic>
                    </a:graphicData>
                  </a:graphic>
                </wp:inline>
              </w:drawing>
            </w:r>
            <w:r w:rsidRPr="00265161">
              <w:rPr>
                <w:rFonts w:eastAsia="Yu Mincho"/>
                <w:sz w:val="20"/>
                <w:szCs w:val="20"/>
              </w:rPr>
              <w:t xml:space="preserve"> in all portions of slot </w:t>
            </w:r>
            <w:r w:rsidRPr="00265161">
              <w:rPr>
                <w:rFonts w:eastAsia="Yu Mincho"/>
                <w:noProof/>
                <w:position w:val="-10"/>
                <w:sz w:val="20"/>
                <w:szCs w:val="20"/>
                <w:lang w:eastAsia="ko-KR"/>
              </w:rPr>
              <w:drawing>
                <wp:inline distT="0" distB="0" distL="0" distR="0" wp14:anchorId="260A53BB" wp14:editId="753AE7E6">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p>
          <w:p w14:paraId="0AFC0A2B" w14:textId="1796DBC4" w:rsidR="00B260D2" w:rsidRPr="00265161" w:rsidRDefault="00265161" w:rsidP="00265161">
            <w:pPr>
              <w:rPr>
                <w:sz w:val="20"/>
                <w:szCs w:val="20"/>
              </w:rPr>
            </w:pPr>
            <w:r w:rsidRPr="00265161">
              <w:rPr>
                <w:rFonts w:eastAsia="Yu Mincho"/>
                <w:sz w:val="20"/>
                <w:szCs w:val="20"/>
                <w:lang w:val="x-none"/>
              </w:rPr>
              <w:t>-</w:t>
            </w:r>
            <w:r w:rsidRPr="00265161">
              <w:rPr>
                <w:rFonts w:eastAsia="Yu Mincho"/>
                <w:sz w:val="20"/>
                <w:szCs w:val="20"/>
                <w:lang w:val="x-none"/>
              </w:rPr>
              <w:tab/>
              <w:t xml:space="preserve">If the UE </w:t>
            </w:r>
            <w:r w:rsidRPr="00265161">
              <w:rPr>
                <w:rFonts w:eastAsia="Yu Mincho"/>
                <w:sz w:val="20"/>
                <w:szCs w:val="20"/>
              </w:rPr>
              <w:t xml:space="preserve">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the UE expects to be configured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663C6AE7" w14:textId="30DA08F3" w:rsidR="00B260D2" w:rsidRPr="00B260D2" w:rsidRDefault="00B260D2" w:rsidP="006A334D">
            <w:pPr>
              <w:ind w:left="568" w:hanging="284"/>
              <w:rPr>
                <w:rFonts w:eastAsia="Yu Mincho"/>
                <w:sz w:val="20"/>
                <w:szCs w:val="20"/>
                <w:lang w:val="x-none"/>
              </w:rPr>
            </w:pPr>
            <w:r w:rsidRPr="00B260D2">
              <w:rPr>
                <w:rFonts w:eastAsia="Yu Mincho"/>
                <w:sz w:val="20"/>
                <w:szCs w:val="20"/>
                <w:lang w:val="x-none"/>
              </w:rPr>
              <w:t xml:space="preserve"> </w:t>
            </w:r>
          </w:p>
        </w:tc>
      </w:tr>
    </w:tbl>
    <w:p w14:paraId="03722CC4" w14:textId="5F2E26A8" w:rsidR="00B260D2" w:rsidRDefault="00B260D2" w:rsidP="00650D8D">
      <w:pPr>
        <w:rPr>
          <w:sz w:val="20"/>
          <w:szCs w:val="20"/>
          <w:lang w:bidi="hi-IN"/>
        </w:rPr>
      </w:pPr>
    </w:p>
    <w:p w14:paraId="088DEEF3" w14:textId="481493AE" w:rsidR="00E82C7D" w:rsidRDefault="00E82C7D" w:rsidP="00650D8D">
      <w:pPr>
        <w:rPr>
          <w:sz w:val="20"/>
          <w:szCs w:val="20"/>
          <w:lang w:bidi="hi-IN"/>
        </w:rPr>
      </w:pPr>
    </w:p>
    <w:p w14:paraId="1CB6A608" w14:textId="495F854B" w:rsidR="00DA132A" w:rsidRDefault="00DA132A" w:rsidP="00E82C7D">
      <w:pPr>
        <w:rPr>
          <w:sz w:val="20"/>
          <w:szCs w:val="20"/>
          <w:lang w:eastAsia="ja-JP" w:bidi="hi-IN"/>
        </w:rPr>
      </w:pPr>
      <w:r>
        <w:rPr>
          <w:sz w:val="20"/>
          <w:szCs w:val="20"/>
          <w:lang w:eastAsia="ja-JP" w:bidi="hi-IN"/>
        </w:rPr>
        <w:t xml:space="preserve">It seems to me that main difference between option 1 vs option 2 is </w:t>
      </w:r>
    </w:p>
    <w:p w14:paraId="4462A302" w14:textId="6685FD29" w:rsidR="00E82C7D" w:rsidRDefault="00DA132A" w:rsidP="00E82C7D">
      <w:pPr>
        <w:rPr>
          <w:sz w:val="20"/>
          <w:szCs w:val="20"/>
          <w:lang w:eastAsia="ja-JP" w:bidi="hi-IN"/>
        </w:rPr>
      </w:pPr>
      <w:r>
        <w:rPr>
          <w:sz w:val="20"/>
          <w:szCs w:val="20"/>
          <w:lang w:eastAsia="ja-JP" w:bidi="hi-IN"/>
        </w:rPr>
        <w:t>I’d like companies to provide input to the following questions:</w:t>
      </w:r>
    </w:p>
    <w:p w14:paraId="3D4DEA48" w14:textId="7121A492" w:rsidR="00DA132A" w:rsidRDefault="00DA132A" w:rsidP="00E82C7D">
      <w:pPr>
        <w:rPr>
          <w:sz w:val="20"/>
          <w:szCs w:val="20"/>
          <w:lang w:eastAsia="ja-JP" w:bidi="hi-IN"/>
        </w:rPr>
      </w:pPr>
    </w:p>
    <w:p w14:paraId="4D15AD30" w14:textId="77777777" w:rsidR="00DA132A" w:rsidRPr="00DA132A" w:rsidRDefault="00DA132A" w:rsidP="00DA132A">
      <w:pPr>
        <w:numPr>
          <w:ilvl w:val="0"/>
          <w:numId w:val="31"/>
        </w:numPr>
        <w:rPr>
          <w:b/>
          <w:bCs/>
          <w:sz w:val="20"/>
          <w:szCs w:val="20"/>
          <w:lang w:eastAsia="ja-JP" w:bidi="hi-IN"/>
        </w:rPr>
      </w:pPr>
      <w:r w:rsidRPr="00DA132A">
        <w:rPr>
          <w:b/>
          <w:bCs/>
          <w:sz w:val="20"/>
          <w:szCs w:val="20"/>
          <w:lang w:eastAsia="ja-JP" w:bidi="hi-IN"/>
        </w:rPr>
        <w:t>Q1-1: In addition to the following cases, is there any other case where network can configure a UE can be configured with case 1 Reference HARQ timing (i.e. tdm-PatternConfig-r16)? (If yes, please also point us to the RAN1 agreement)</w:t>
      </w:r>
    </w:p>
    <w:p w14:paraId="53A1DC68"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1): type 1 UE indicates singleUL-Transmission for the difficult BC listed in 38.101</w:t>
      </w:r>
    </w:p>
    <w:p w14:paraId="0391770C"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2): type 1 UE indicates tdm-pattern-dualTx for BC with potential DL de-sense due to harmonics</w:t>
      </w:r>
    </w:p>
    <w:p w14:paraId="7E90C519"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3): type 2 UE configured with P_lte + P_nr &gt; P_total</w:t>
      </w:r>
    </w:p>
    <w:p w14:paraId="32B35BC4" w14:textId="0A415856" w:rsidR="00DA132A" w:rsidRDefault="00DA132A" w:rsidP="00E82C7D">
      <w:pPr>
        <w:rPr>
          <w:sz w:val="20"/>
          <w:szCs w:val="20"/>
          <w:lang w:eastAsia="ja-JP" w:bidi="hi-IN"/>
        </w:rPr>
      </w:pPr>
    </w:p>
    <w:tbl>
      <w:tblPr>
        <w:tblStyle w:val="ae"/>
        <w:tblW w:w="0" w:type="auto"/>
        <w:tblLook w:val="04A0" w:firstRow="1" w:lastRow="0" w:firstColumn="1" w:lastColumn="0" w:noHBand="0" w:noVBand="1"/>
      </w:tblPr>
      <w:tblGrid>
        <w:gridCol w:w="1083"/>
        <w:gridCol w:w="8546"/>
      </w:tblGrid>
      <w:tr w:rsidR="00DA132A" w14:paraId="504F5F3A" w14:textId="77777777" w:rsidTr="004C6B69">
        <w:tc>
          <w:tcPr>
            <w:tcW w:w="985" w:type="dxa"/>
          </w:tcPr>
          <w:p w14:paraId="380CB650" w14:textId="10B58CF7" w:rsidR="00DA132A" w:rsidRDefault="00DA132A" w:rsidP="00E82C7D">
            <w:pPr>
              <w:rPr>
                <w:sz w:val="20"/>
                <w:szCs w:val="20"/>
                <w:lang w:eastAsia="ja-JP" w:bidi="hi-IN"/>
              </w:rPr>
            </w:pPr>
            <w:r>
              <w:rPr>
                <w:sz w:val="20"/>
                <w:szCs w:val="20"/>
                <w:lang w:eastAsia="ja-JP" w:bidi="hi-IN"/>
              </w:rPr>
              <w:t>Company</w:t>
            </w:r>
          </w:p>
        </w:tc>
        <w:tc>
          <w:tcPr>
            <w:tcW w:w="8644" w:type="dxa"/>
          </w:tcPr>
          <w:p w14:paraId="5ABAEE28" w14:textId="2835D190" w:rsidR="00DA132A" w:rsidRDefault="00DA132A" w:rsidP="00E82C7D">
            <w:pPr>
              <w:rPr>
                <w:sz w:val="20"/>
                <w:szCs w:val="20"/>
                <w:lang w:eastAsia="ja-JP" w:bidi="hi-IN"/>
              </w:rPr>
            </w:pPr>
            <w:r>
              <w:rPr>
                <w:sz w:val="20"/>
                <w:szCs w:val="20"/>
                <w:lang w:eastAsia="ja-JP" w:bidi="hi-IN"/>
              </w:rPr>
              <w:t>Comments</w:t>
            </w:r>
          </w:p>
        </w:tc>
      </w:tr>
      <w:tr w:rsidR="00DA132A" w14:paraId="4F537914" w14:textId="77777777" w:rsidTr="004C6B69">
        <w:tc>
          <w:tcPr>
            <w:tcW w:w="985" w:type="dxa"/>
          </w:tcPr>
          <w:p w14:paraId="10052717" w14:textId="6B7A7F67" w:rsidR="00DA132A" w:rsidRPr="00845433" w:rsidRDefault="00845433" w:rsidP="00E82C7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644" w:type="dxa"/>
          </w:tcPr>
          <w:p w14:paraId="1CA552A0" w14:textId="6E7615CD" w:rsidR="00DA132A" w:rsidRDefault="00845433" w:rsidP="00845433">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 xml:space="preserve">e feel like the current spec doesn’t preclude configuring </w:t>
            </w:r>
            <w:r w:rsidRPr="00845433">
              <w:rPr>
                <w:rFonts w:eastAsiaTheme="minorEastAsia"/>
                <w:sz w:val="20"/>
                <w:szCs w:val="20"/>
                <w:lang w:bidi="hi-IN"/>
              </w:rPr>
              <w:t>tdm-PatternConfig</w:t>
            </w:r>
            <w:r>
              <w:rPr>
                <w:rFonts w:eastAsiaTheme="minorEastAsia"/>
                <w:sz w:val="20"/>
                <w:szCs w:val="20"/>
                <w:lang w:bidi="hi-IN"/>
              </w:rPr>
              <w:t xml:space="preserve"> for other cases in addition to the above three cases. The key issue is, 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it is not clear whether it should be regarded as a “single Tx” UE or a “dual Tx” UE. </w:t>
            </w:r>
          </w:p>
          <w:p w14:paraId="5DD343C3" w14:textId="77777777" w:rsidR="00845433" w:rsidRDefault="00845433" w:rsidP="00845433">
            <w:pPr>
              <w:rPr>
                <w:rFonts w:eastAsiaTheme="minorEastAsia"/>
                <w:sz w:val="20"/>
                <w:szCs w:val="20"/>
                <w:lang w:bidi="hi-IN"/>
              </w:rPr>
            </w:pPr>
          </w:p>
          <w:p w14:paraId="630F4A03" w14:textId="77777777" w:rsidR="00845433" w:rsidRPr="00845433" w:rsidRDefault="00845433" w:rsidP="00845433">
            <w:pPr>
              <w:keepNext/>
              <w:keepLines/>
              <w:widowControl w:val="0"/>
              <w:spacing w:before="0"/>
              <w:rPr>
                <w:rFonts w:ascii="Arial" w:eastAsia="맑은 고딕" w:hAnsi="Arial"/>
                <w:b/>
                <w:bCs/>
                <w:i/>
                <w:iCs/>
                <w:sz w:val="15"/>
                <w:szCs w:val="18"/>
              </w:rPr>
            </w:pPr>
            <w:r w:rsidRPr="00845433">
              <w:rPr>
                <w:rFonts w:ascii="Arial" w:eastAsia="맑은 고딕" w:hAnsi="Arial"/>
                <w:b/>
                <w:bCs/>
                <w:i/>
                <w:iCs/>
                <w:sz w:val="15"/>
                <w:szCs w:val="18"/>
              </w:rPr>
              <w:t>tdm-Pattern</w:t>
            </w:r>
          </w:p>
          <w:p w14:paraId="30B949DD" w14:textId="56BD8CBC" w:rsidR="00845433" w:rsidRPr="00845433" w:rsidRDefault="00845433" w:rsidP="00845433">
            <w:pPr>
              <w:spacing w:before="0"/>
              <w:rPr>
                <w:rFonts w:eastAsiaTheme="minorEastAsia"/>
                <w:sz w:val="20"/>
              </w:rPr>
            </w:pPr>
            <w:r w:rsidRPr="00845433">
              <w:rPr>
                <w:rFonts w:eastAsia="맑은 고딕"/>
                <w:sz w:val="20"/>
              </w:rPr>
              <w:t xml:space="preserve">Indicates whether the UE supports the </w:t>
            </w:r>
            <w:r w:rsidRPr="00845433">
              <w:rPr>
                <w:rFonts w:eastAsia="맑은 고딕"/>
                <w:i/>
                <w:iCs/>
                <w:sz w:val="20"/>
              </w:rPr>
              <w:t>tdm-PatternConfig</w:t>
            </w:r>
            <w:r w:rsidRPr="00845433">
              <w:rPr>
                <w:rFonts w:eastAsia="맑은 고딕"/>
                <w:sz w:val="20"/>
              </w:rPr>
              <w:t xml:space="preserve"> for </w:t>
            </w:r>
            <w:r w:rsidRPr="00845433">
              <w:rPr>
                <w:rFonts w:eastAsia="맑은 고딕"/>
                <w:i/>
                <w:iCs/>
                <w:sz w:val="20"/>
              </w:rPr>
              <w:t>single UL-transmission</w:t>
            </w:r>
            <w:r w:rsidRPr="00845433">
              <w:rPr>
                <w:rFonts w:eastAsia="맑은 고딕"/>
                <w:sz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w:t>
            </w:r>
            <w:r w:rsidRPr="00845433">
              <w:rPr>
                <w:rFonts w:eastAsia="맑은 고딕"/>
                <w:sz w:val="20"/>
                <w:highlight w:val="yellow"/>
              </w:rPr>
              <w:t>The feature is optional otherwise.</w:t>
            </w:r>
          </w:p>
        </w:tc>
      </w:tr>
      <w:tr w:rsidR="00DA132A" w14:paraId="0BD6C247" w14:textId="77777777" w:rsidTr="004C6B69">
        <w:tc>
          <w:tcPr>
            <w:tcW w:w="985" w:type="dxa"/>
          </w:tcPr>
          <w:p w14:paraId="5058CD48" w14:textId="3C30D0AD" w:rsidR="00DA132A" w:rsidRDefault="00BD55D6" w:rsidP="00E82C7D">
            <w:pPr>
              <w:rPr>
                <w:sz w:val="20"/>
                <w:szCs w:val="20"/>
                <w:lang w:eastAsia="ja-JP" w:bidi="hi-IN"/>
              </w:rPr>
            </w:pPr>
            <w:r>
              <w:rPr>
                <w:sz w:val="20"/>
                <w:szCs w:val="20"/>
                <w:lang w:eastAsia="ja-JP" w:bidi="hi-IN"/>
              </w:rPr>
              <w:t>Apple</w:t>
            </w:r>
          </w:p>
        </w:tc>
        <w:tc>
          <w:tcPr>
            <w:tcW w:w="8644" w:type="dxa"/>
          </w:tcPr>
          <w:p w14:paraId="73A07ED9" w14:textId="77777777" w:rsidR="00DA132A" w:rsidRDefault="00074AEA" w:rsidP="00E82C7D">
            <w:pPr>
              <w:rPr>
                <w:rFonts w:eastAsia="맑은 고딕"/>
                <w:i/>
                <w:iCs/>
                <w:sz w:val="20"/>
              </w:rPr>
            </w:pPr>
            <w:r>
              <w:rPr>
                <w:sz w:val="20"/>
                <w:szCs w:val="20"/>
                <w:lang w:eastAsia="ja-JP" w:bidi="hi-IN"/>
              </w:rPr>
              <w:t xml:space="preserve">For type 1 UE, supporting </w:t>
            </w:r>
            <w:r w:rsidR="00D512CE">
              <w:rPr>
                <w:sz w:val="20"/>
                <w:szCs w:val="20"/>
                <w:lang w:eastAsia="ja-JP" w:bidi="hi-IN"/>
              </w:rPr>
              <w:t>TDM pattern</w:t>
            </w:r>
            <w:r>
              <w:rPr>
                <w:sz w:val="20"/>
                <w:szCs w:val="20"/>
                <w:lang w:eastAsia="ja-JP" w:bidi="hi-IN"/>
              </w:rPr>
              <w:t xml:space="preserve"> is optional feature,</w:t>
            </w:r>
            <w:r w:rsidR="00D512CE">
              <w:rPr>
                <w:sz w:val="20"/>
                <w:szCs w:val="20"/>
                <w:lang w:eastAsia="ja-JP" w:bidi="hi-IN"/>
              </w:rPr>
              <w:t xml:space="preserve"> so only after UE indicated singleUL-Transimssion or tdm-pattern-dual Tx, then gNB  can configured t</w:t>
            </w:r>
            <w:r w:rsidR="00D512CE" w:rsidRPr="00845433">
              <w:rPr>
                <w:rFonts w:eastAsia="맑은 고딕"/>
                <w:i/>
                <w:iCs/>
                <w:sz w:val="20"/>
              </w:rPr>
              <w:t xml:space="preserve"> tdm-PatternConfig</w:t>
            </w:r>
            <w:r w:rsidR="00D512CE">
              <w:rPr>
                <w:rFonts w:eastAsia="맑은 고딕"/>
                <w:i/>
                <w:iCs/>
                <w:sz w:val="20"/>
              </w:rPr>
              <w:t>-16.</w:t>
            </w:r>
          </w:p>
          <w:p w14:paraId="551D1AA0" w14:textId="014D8D0E" w:rsidR="00D512CE" w:rsidRDefault="00D512CE" w:rsidP="00E82C7D">
            <w:pPr>
              <w:rPr>
                <w:sz w:val="20"/>
              </w:rPr>
            </w:pPr>
            <w:r w:rsidRPr="00D512CE">
              <w:rPr>
                <w:rFonts w:eastAsia="맑은 고딕"/>
                <w:sz w:val="20"/>
              </w:rPr>
              <w:lastRenderedPageBreak/>
              <w:t>For type 2</w:t>
            </w:r>
            <w:r>
              <w:rPr>
                <w:rFonts w:eastAsia="맑은 고딕"/>
                <w:sz w:val="20"/>
              </w:rPr>
              <w:t xml:space="preserve"> </w:t>
            </w:r>
            <w:r w:rsidRPr="00D512CE">
              <w:rPr>
                <w:rFonts w:eastAsia="맑은 고딕"/>
                <w:sz w:val="20"/>
              </w:rPr>
              <w:t xml:space="preserve">UE, </w:t>
            </w:r>
            <w:r>
              <w:rPr>
                <w:rFonts w:eastAsia="맑은 고딕"/>
                <w:sz w:val="20"/>
              </w:rPr>
              <w:t xml:space="preserve"> supporting TDM pattern is mandatory feature, so network can configure the </w:t>
            </w:r>
            <w:r w:rsidRPr="00845433">
              <w:rPr>
                <w:rFonts w:eastAsia="맑은 고딕"/>
                <w:i/>
                <w:iCs/>
                <w:sz w:val="20"/>
              </w:rPr>
              <w:t>tdm-PatternConfig</w:t>
            </w:r>
            <w:r>
              <w:rPr>
                <w:rFonts w:eastAsia="맑은 고딕"/>
                <w:i/>
                <w:iCs/>
                <w:sz w:val="20"/>
              </w:rPr>
              <w:t>/</w:t>
            </w:r>
            <w:r w:rsidRPr="00845433">
              <w:rPr>
                <w:rFonts w:eastAsia="맑은 고딕"/>
                <w:i/>
                <w:iCs/>
                <w:sz w:val="20"/>
              </w:rPr>
              <w:t xml:space="preserve"> tdm-PatternConfig</w:t>
            </w:r>
            <w:r>
              <w:rPr>
                <w:rFonts w:eastAsia="맑은 고딕"/>
                <w:i/>
                <w:iCs/>
                <w:sz w:val="20"/>
              </w:rPr>
              <w:t>-16</w:t>
            </w:r>
            <w:r>
              <w:rPr>
                <w:rFonts w:eastAsia="맑은 고딕"/>
                <w:sz w:val="20"/>
              </w:rPr>
              <w:t xml:space="preserve"> without UE reporting capability. And for the case of </w:t>
            </w:r>
            <w:r w:rsidRPr="00331FA2">
              <w:rPr>
                <w:sz w:val="20"/>
              </w:rPr>
              <w:t>P_LTE + P_NR &lt;= Pcmax</w:t>
            </w:r>
            <w:r>
              <w:rPr>
                <w:sz w:val="20"/>
              </w:rPr>
              <w:t>, the network can configure the TMD pattern as well, this was agreed in RAN1#91 meeting, but it was not captured in the spec.</w:t>
            </w:r>
          </w:p>
          <w:p w14:paraId="589356F9" w14:textId="77777777" w:rsidR="00D512CE" w:rsidRPr="00331FA2" w:rsidRDefault="00D512CE" w:rsidP="00D512CE">
            <w:pPr>
              <w:pStyle w:val="bullet2"/>
              <w:rPr>
                <w:sz w:val="20"/>
              </w:rPr>
            </w:pPr>
            <w:r w:rsidRPr="00331FA2">
              <w:rPr>
                <w:sz w:val="20"/>
                <w:lang w:val="en-US"/>
              </w:rPr>
              <w:t xml:space="preserve">Operation B with Case1: P_LTE + P_NR &lt;= Pcmax, in which case NR UL can be scheduled in any UL subframe/slot (while </w:t>
            </w:r>
            <w:r w:rsidRPr="00331FA2">
              <w:rPr>
                <w:sz w:val="20"/>
              </w:rPr>
              <w:t xml:space="preserve">the UE behaviour in case of being simultaneously scheduled on LTE and NR uplinks is not specified) </w:t>
            </w:r>
          </w:p>
          <w:p w14:paraId="79C814E6" w14:textId="28BD4D5C" w:rsidR="00D512CE" w:rsidRPr="00D512CE" w:rsidRDefault="00D512CE" w:rsidP="00E82C7D">
            <w:pPr>
              <w:rPr>
                <w:sz w:val="20"/>
                <w:szCs w:val="20"/>
                <w:lang w:val="en-GB" w:eastAsia="ja-JP" w:bidi="hi-IN"/>
              </w:rPr>
            </w:pPr>
            <w:r>
              <w:rPr>
                <w:sz w:val="20"/>
                <w:szCs w:val="20"/>
                <w:lang w:val="en-GB" w:eastAsia="ja-JP" w:bidi="hi-IN"/>
              </w:rPr>
              <w:t>As the issue#1 is only related to type1 UE, so network can only configure UE with TMD pattern for  case 1 and case 2.</w:t>
            </w:r>
          </w:p>
        </w:tc>
      </w:tr>
      <w:tr w:rsidR="00DA132A" w14:paraId="28708BD0" w14:textId="77777777" w:rsidTr="004C6B69">
        <w:tc>
          <w:tcPr>
            <w:tcW w:w="985" w:type="dxa"/>
          </w:tcPr>
          <w:p w14:paraId="48E7E80C" w14:textId="1C01070D" w:rsidR="00DA132A" w:rsidRDefault="00703E70" w:rsidP="00E82C7D">
            <w:pPr>
              <w:rPr>
                <w:sz w:val="20"/>
                <w:szCs w:val="20"/>
                <w:lang w:eastAsia="ja-JP" w:bidi="hi-IN"/>
              </w:rPr>
            </w:pPr>
            <w:r>
              <w:rPr>
                <w:sz w:val="20"/>
                <w:szCs w:val="20"/>
                <w:lang w:eastAsia="ja-JP" w:bidi="hi-IN"/>
              </w:rPr>
              <w:lastRenderedPageBreak/>
              <w:t>MTK</w:t>
            </w:r>
          </w:p>
        </w:tc>
        <w:tc>
          <w:tcPr>
            <w:tcW w:w="8644" w:type="dxa"/>
          </w:tcPr>
          <w:p w14:paraId="6E784DD2" w14:textId="77777777" w:rsidR="00703E70" w:rsidRDefault="00703E70" w:rsidP="00703E70">
            <w:pPr>
              <w:rPr>
                <w:bCs/>
                <w:sz w:val="20"/>
                <w:szCs w:val="20"/>
                <w:lang w:eastAsia="ja-JP" w:bidi="hi-IN"/>
              </w:rPr>
            </w:pPr>
            <w:r>
              <w:rPr>
                <w:sz w:val="20"/>
                <w:szCs w:val="20"/>
                <w:lang w:eastAsia="ja-JP" w:bidi="hi-IN"/>
              </w:rPr>
              <w:t xml:space="preserve">As quoted by ZTE about the </w:t>
            </w:r>
            <w:r w:rsidRPr="00E45137">
              <w:rPr>
                <w:sz w:val="20"/>
                <w:szCs w:val="20"/>
                <w:lang w:eastAsia="ja-JP" w:bidi="hi-IN"/>
              </w:rPr>
              <w:t xml:space="preserve">definition of </w:t>
            </w:r>
            <w:r w:rsidRPr="00E45137">
              <w:rPr>
                <w:rFonts w:ascii="Arial" w:eastAsia="맑은 고딕" w:hAnsi="Arial"/>
                <w:b/>
                <w:bCs/>
                <w:i/>
                <w:iCs/>
                <w:sz w:val="16"/>
                <w:szCs w:val="20"/>
              </w:rPr>
              <w:t>tdm-Pattern</w:t>
            </w:r>
            <w:r w:rsidRPr="00E45137">
              <w:rPr>
                <w:sz w:val="20"/>
                <w:szCs w:val="20"/>
                <w:lang w:eastAsia="ja-JP" w:bidi="hi-IN"/>
              </w:rPr>
              <w:t>,</w:t>
            </w:r>
            <w:r>
              <w:rPr>
                <w:sz w:val="20"/>
                <w:szCs w:val="20"/>
                <w:lang w:eastAsia="ja-JP" w:bidi="hi-IN"/>
              </w:rPr>
              <w:t xml:space="preserve"> it is mandatory for Type 2 UE and </w:t>
            </w:r>
            <w:r w:rsidRPr="00E45137">
              <w:rPr>
                <w:rFonts w:hint="eastAsia"/>
                <w:sz w:val="20"/>
                <w:szCs w:val="20"/>
                <w:lang w:eastAsia="ja-JP" w:bidi="hi-IN"/>
              </w:rPr>
              <w:t>single UL UE</w:t>
            </w:r>
            <w:r>
              <w:rPr>
                <w:sz w:val="20"/>
                <w:szCs w:val="20"/>
                <w:lang w:eastAsia="ja-JP" w:bidi="hi-IN"/>
              </w:rPr>
              <w:t>, and still can be configured for other scenarios. It seems to us the current spec does not</w:t>
            </w:r>
            <w:r w:rsidRPr="00E45137">
              <w:rPr>
                <w:sz w:val="20"/>
                <w:szCs w:val="20"/>
                <w:lang w:eastAsia="ja-JP" w:bidi="hi-IN"/>
              </w:rPr>
              <w:t xml:space="preserve"> preclude configuring </w:t>
            </w:r>
            <w:r w:rsidRPr="00E45137">
              <w:rPr>
                <w:b/>
                <w:sz w:val="20"/>
                <w:szCs w:val="20"/>
                <w:lang w:eastAsia="ja-JP" w:bidi="hi-IN"/>
              </w:rPr>
              <w:t>tdm-PatternConfig-r16</w:t>
            </w:r>
            <w:r w:rsidRPr="00E45137">
              <w:rPr>
                <w:sz w:val="20"/>
                <w:szCs w:val="20"/>
                <w:lang w:eastAsia="ja-JP" w:bidi="hi-IN"/>
              </w:rPr>
              <w:t xml:space="preserve"> </w:t>
            </w:r>
            <w:r>
              <w:rPr>
                <w:sz w:val="20"/>
                <w:szCs w:val="20"/>
                <w:lang w:eastAsia="ja-JP" w:bidi="hi-IN"/>
              </w:rPr>
              <w:t xml:space="preserve">to UE </w:t>
            </w:r>
            <w:r w:rsidRPr="00E45137">
              <w:rPr>
                <w:sz w:val="20"/>
                <w:szCs w:val="20"/>
                <w:lang w:eastAsia="ja-JP" w:bidi="hi-IN"/>
              </w:rPr>
              <w:t>for other</w:t>
            </w:r>
            <w:r>
              <w:rPr>
                <w:sz w:val="20"/>
                <w:szCs w:val="20"/>
                <w:lang w:eastAsia="ja-JP" w:bidi="hi-IN"/>
              </w:rPr>
              <w:t xml:space="preserve"> cases in addition to the </w:t>
            </w:r>
            <w:r w:rsidRPr="00E45137">
              <w:rPr>
                <w:sz w:val="20"/>
                <w:szCs w:val="20"/>
                <w:lang w:eastAsia="ja-JP" w:bidi="hi-IN"/>
              </w:rPr>
              <w:t>three cases</w:t>
            </w:r>
            <w:r>
              <w:rPr>
                <w:sz w:val="20"/>
                <w:szCs w:val="20"/>
                <w:lang w:eastAsia="ja-JP" w:bidi="hi-IN"/>
              </w:rPr>
              <w:t xml:space="preserve"> mentioned in Q1-1</w:t>
            </w:r>
            <w:r w:rsidRPr="00E45137">
              <w:rPr>
                <w:sz w:val="20"/>
                <w:szCs w:val="20"/>
                <w:lang w:eastAsia="ja-JP" w:bidi="hi-IN"/>
              </w:rPr>
              <w:t>.</w:t>
            </w:r>
            <w:r>
              <w:rPr>
                <w:sz w:val="20"/>
                <w:szCs w:val="20"/>
                <w:lang w:eastAsia="ja-JP" w:bidi="hi-IN"/>
              </w:rPr>
              <w:t xml:space="preserve"> We also think whether the network can configure </w:t>
            </w:r>
            <w:r w:rsidRPr="00E45137">
              <w:rPr>
                <w:b/>
                <w:sz w:val="20"/>
                <w:szCs w:val="20"/>
                <w:lang w:eastAsia="ja-JP" w:bidi="hi-IN"/>
              </w:rPr>
              <w:t>tdm-PatternConfig-r16</w:t>
            </w:r>
            <w:r>
              <w:rPr>
                <w:b/>
                <w:sz w:val="20"/>
                <w:szCs w:val="20"/>
                <w:lang w:eastAsia="ja-JP" w:bidi="hi-IN"/>
              </w:rPr>
              <w:t xml:space="preserve"> </w:t>
            </w:r>
            <w:r>
              <w:rPr>
                <w:sz w:val="20"/>
                <w:szCs w:val="20"/>
                <w:lang w:eastAsia="ja-JP" w:bidi="hi-IN"/>
              </w:rPr>
              <w:t xml:space="preserve">is not related to Type1/Type2 UE or </w:t>
            </w:r>
            <w:r w:rsidRPr="00F07AE5">
              <w:rPr>
                <w:bCs/>
                <w:sz w:val="20"/>
                <w:szCs w:val="20"/>
                <w:lang w:eastAsia="ja-JP" w:bidi="hi-IN"/>
              </w:rPr>
              <w:t>P_lte + P_nr &gt; P_total</w:t>
            </w:r>
            <w:r>
              <w:rPr>
                <w:bCs/>
                <w:sz w:val="20"/>
                <w:szCs w:val="20"/>
                <w:lang w:eastAsia="ja-JP" w:bidi="hi-IN"/>
              </w:rPr>
              <w:t>. The expected UE behavior in our opinion is listed as below:</w:t>
            </w:r>
          </w:p>
          <w:p w14:paraId="03BDEE6D" w14:textId="1CA78B68" w:rsidR="00DA132A" w:rsidRDefault="00703E70" w:rsidP="00E82C7D">
            <w:pPr>
              <w:rPr>
                <w:sz w:val="20"/>
                <w:szCs w:val="20"/>
                <w:lang w:eastAsia="ja-JP" w:bidi="hi-IN"/>
              </w:rPr>
            </w:pPr>
            <w:r>
              <w:rPr>
                <w:noProof/>
                <w:lang w:eastAsia="ko-KR"/>
              </w:rPr>
              <w:drawing>
                <wp:inline distT="0" distB="0" distL="0" distR="0" wp14:anchorId="629BE780" wp14:editId="120D07B9">
                  <wp:extent cx="5406887" cy="1141510"/>
                  <wp:effectExtent l="0" t="0" r="381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38065" cy="1148092"/>
                          </a:xfrm>
                          <a:prstGeom prst="rect">
                            <a:avLst/>
                          </a:prstGeom>
                        </pic:spPr>
                      </pic:pic>
                    </a:graphicData>
                  </a:graphic>
                </wp:inline>
              </w:drawing>
            </w:r>
          </w:p>
        </w:tc>
      </w:tr>
      <w:tr w:rsidR="00DA132A" w14:paraId="54FCD171" w14:textId="77777777" w:rsidTr="004C6B69">
        <w:tc>
          <w:tcPr>
            <w:tcW w:w="985" w:type="dxa"/>
          </w:tcPr>
          <w:p w14:paraId="00B07798" w14:textId="24350166" w:rsidR="00DA132A" w:rsidRPr="002745DA" w:rsidRDefault="002745DA" w:rsidP="00E82C7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644" w:type="dxa"/>
          </w:tcPr>
          <w:p w14:paraId="32159635" w14:textId="3DC26F98" w:rsidR="00047A68" w:rsidRDefault="002745DA" w:rsidP="002745DA">
            <w:pPr>
              <w:rPr>
                <w:rFonts w:eastAsiaTheme="minorEastAsia"/>
                <w:sz w:val="20"/>
                <w:szCs w:val="20"/>
                <w:lang w:bidi="hi-IN"/>
              </w:rPr>
            </w:pPr>
            <w:r>
              <w:rPr>
                <w:rFonts w:eastAsiaTheme="minorEastAsia" w:hint="eastAsia"/>
                <w:sz w:val="20"/>
                <w:szCs w:val="20"/>
                <w:lang w:bidi="hi-IN"/>
              </w:rPr>
              <w:t>A</w:t>
            </w:r>
            <w:r>
              <w:rPr>
                <w:rFonts w:eastAsiaTheme="minorEastAsia"/>
                <w:sz w:val="20"/>
                <w:szCs w:val="20"/>
                <w:lang w:bidi="hi-IN"/>
              </w:rPr>
              <w:t>s MediaTek pointed out, there are three UE capabilities in Rel-16, and the first one singleUL-Transmission is for IMD issue, a UE reporting support of tdm-pattern can be a UE without IMD issue and capable of dynamic power sharing, which is proved by the sentence “</w:t>
            </w:r>
            <w:r w:rsidRPr="00845433">
              <w:rPr>
                <w:rFonts w:eastAsia="맑은 고딕"/>
                <w:sz w:val="20"/>
                <w:highlight w:val="yellow"/>
              </w:rPr>
              <w:t>The feature is optional otherwise.</w:t>
            </w:r>
            <w:r>
              <w:rPr>
                <w:rFonts w:eastAsiaTheme="minorEastAsia"/>
                <w:sz w:val="20"/>
                <w:szCs w:val="20"/>
                <w:lang w:bidi="hi-IN"/>
              </w:rPr>
              <w:t xml:space="preserve">” in 38.306 highlighted by ZTE. </w:t>
            </w:r>
            <w:r w:rsidR="00047A68">
              <w:rPr>
                <w:rFonts w:eastAsiaTheme="minorEastAsia"/>
                <w:sz w:val="20"/>
                <w:szCs w:val="20"/>
                <w:lang w:bidi="hi-IN"/>
              </w:rPr>
              <w:t xml:space="preserve"> Therefore, the current UE behaviors for three capabilities are as the table below,</w:t>
            </w:r>
          </w:p>
          <w:p w14:paraId="19D0A8A7" w14:textId="77777777" w:rsidR="00047A68" w:rsidRDefault="00047A68" w:rsidP="00047A68">
            <w:pPr>
              <w:rPr>
                <w:rFonts w:eastAsiaTheme="minorEastAsia"/>
                <w:sz w:val="20"/>
                <w:szCs w:val="20"/>
                <w:lang w:bidi="hi-IN"/>
              </w:rPr>
            </w:pPr>
          </w:p>
          <w:tbl>
            <w:tblPr>
              <w:tblW w:w="8452" w:type="dxa"/>
              <w:tblLook w:val="04A0" w:firstRow="1" w:lastRow="0" w:firstColumn="1" w:lastColumn="0" w:noHBand="0" w:noVBand="1"/>
            </w:tblPr>
            <w:tblGrid>
              <w:gridCol w:w="2604"/>
              <w:gridCol w:w="2782"/>
              <w:gridCol w:w="3066"/>
            </w:tblGrid>
            <w:tr w:rsidR="00047A68" w:rsidRPr="00954332" w14:paraId="67AF53E3" w14:textId="77777777" w:rsidTr="00047A68">
              <w:trPr>
                <w:trHeight w:val="630"/>
              </w:trPr>
              <w:tc>
                <w:tcPr>
                  <w:tcW w:w="2604" w:type="dxa"/>
                  <w:tcBorders>
                    <w:top w:val="single" w:sz="4" w:space="0" w:color="5B9BD5"/>
                    <w:left w:val="single" w:sz="4" w:space="0" w:color="5B9BD5"/>
                    <w:bottom w:val="nil"/>
                    <w:right w:val="nil"/>
                  </w:tcBorders>
                  <w:shd w:val="clear" w:color="5B9BD5" w:fill="5B9BD5"/>
                  <w:vAlign w:val="center"/>
                  <w:hideMark/>
                </w:tcPr>
                <w:p w14:paraId="74E2CA28"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 xml:space="preserve">UE capability : </w:t>
                  </w:r>
                  <w:r w:rsidRPr="00954332">
                    <w:rPr>
                      <w:rFonts w:ascii="Arial Unicode MS" w:eastAsia="Arial Unicode MS" w:hAnsi="Arial Unicode MS" w:cs="Arial Unicode MS" w:hint="eastAsia"/>
                      <w:b/>
                      <w:bCs/>
                      <w:color w:val="FFFFFF"/>
                      <w:sz w:val="22"/>
                      <w:szCs w:val="22"/>
                    </w:rPr>
                    <w:br/>
                    <w:t>RRC configuration</w:t>
                  </w:r>
                </w:p>
              </w:tc>
              <w:tc>
                <w:tcPr>
                  <w:tcW w:w="2782" w:type="dxa"/>
                  <w:tcBorders>
                    <w:top w:val="single" w:sz="4" w:space="0" w:color="5B9BD5"/>
                    <w:left w:val="nil"/>
                    <w:bottom w:val="nil"/>
                    <w:right w:val="nil"/>
                  </w:tcBorders>
                  <w:shd w:val="clear" w:color="5B9BD5" w:fill="5B9BD5"/>
                  <w:vAlign w:val="center"/>
                  <w:hideMark/>
                </w:tcPr>
                <w:p w14:paraId="3B726947"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tdm-PatternConfig-r16 configured</w:t>
                  </w:r>
                </w:p>
              </w:tc>
              <w:tc>
                <w:tcPr>
                  <w:tcW w:w="3066" w:type="dxa"/>
                  <w:tcBorders>
                    <w:top w:val="single" w:sz="4" w:space="0" w:color="5B9BD5"/>
                    <w:left w:val="nil"/>
                    <w:bottom w:val="nil"/>
                    <w:right w:val="single" w:sz="4" w:space="0" w:color="5B9BD5"/>
                  </w:tcBorders>
                  <w:shd w:val="clear" w:color="5B9BD5" w:fill="5B9BD5"/>
                  <w:vAlign w:val="center"/>
                  <w:hideMark/>
                </w:tcPr>
                <w:p w14:paraId="2F3D8F4D" w14:textId="77777777" w:rsidR="00047A68" w:rsidRPr="00954332" w:rsidRDefault="00047A68" w:rsidP="00047A68">
                  <w:pPr>
                    <w:rPr>
                      <w:rFonts w:ascii="Arial Unicode MS" w:eastAsia="Arial Unicode MS" w:hAnsi="Arial Unicode MS" w:cs="Arial Unicode MS"/>
                      <w:b/>
                      <w:bCs/>
                      <w:color w:val="FFFFFF"/>
                      <w:sz w:val="20"/>
                      <w:szCs w:val="20"/>
                    </w:rPr>
                  </w:pPr>
                  <w:r w:rsidRPr="00954332">
                    <w:rPr>
                      <w:rFonts w:ascii="Arial Unicode MS" w:eastAsia="Arial Unicode MS" w:hAnsi="Arial Unicode MS" w:cs="Arial Unicode MS" w:hint="eastAsia"/>
                      <w:b/>
                      <w:bCs/>
                      <w:color w:val="FFFFFF"/>
                      <w:sz w:val="20"/>
                      <w:szCs w:val="20"/>
                    </w:rPr>
                    <w:t>tdm-PatternConfig-r16 NOT configured</w:t>
                  </w:r>
                </w:p>
              </w:tc>
            </w:tr>
            <w:tr w:rsidR="00047A68" w:rsidRPr="00954332" w14:paraId="11E70F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4C322047"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tdm-pattern</w:t>
                  </w:r>
                </w:p>
              </w:tc>
              <w:tc>
                <w:tcPr>
                  <w:tcW w:w="2782" w:type="dxa"/>
                  <w:tcBorders>
                    <w:top w:val="single" w:sz="4" w:space="0" w:color="5B9BD5"/>
                    <w:left w:val="nil"/>
                    <w:bottom w:val="nil"/>
                    <w:right w:val="nil"/>
                  </w:tcBorders>
                  <w:shd w:val="clear" w:color="000000" w:fill="FFFF00"/>
                  <w:vAlign w:val="center"/>
                  <w:hideMark/>
                </w:tcPr>
                <w:p w14:paraId="3A0D2473"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nil"/>
                    <w:right w:val="single" w:sz="4" w:space="0" w:color="5B9BD5"/>
                  </w:tcBorders>
                  <w:shd w:val="clear" w:color="auto" w:fill="auto"/>
                  <w:vAlign w:val="center"/>
                  <w:hideMark/>
                </w:tcPr>
                <w:p w14:paraId="253C35C2"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3CB8DB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683BE237"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tdm-pattern-dual-Tx</w:t>
                  </w:r>
                </w:p>
              </w:tc>
              <w:tc>
                <w:tcPr>
                  <w:tcW w:w="2782" w:type="dxa"/>
                  <w:tcBorders>
                    <w:top w:val="single" w:sz="4" w:space="0" w:color="5B9BD5"/>
                    <w:left w:val="nil"/>
                    <w:bottom w:val="nil"/>
                    <w:right w:val="nil"/>
                  </w:tcBorders>
                  <w:shd w:val="clear" w:color="auto" w:fill="auto"/>
                  <w:vAlign w:val="center"/>
                  <w:hideMark/>
                </w:tcPr>
                <w:p w14:paraId="5C623C8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Dual UL Tx</w:t>
                  </w:r>
                </w:p>
              </w:tc>
              <w:tc>
                <w:tcPr>
                  <w:tcW w:w="3066" w:type="dxa"/>
                  <w:tcBorders>
                    <w:top w:val="single" w:sz="4" w:space="0" w:color="5B9BD5"/>
                    <w:left w:val="nil"/>
                    <w:bottom w:val="nil"/>
                    <w:right w:val="single" w:sz="4" w:space="0" w:color="5B9BD5"/>
                  </w:tcBorders>
                  <w:shd w:val="clear" w:color="auto" w:fill="auto"/>
                  <w:vAlign w:val="center"/>
                  <w:hideMark/>
                </w:tcPr>
                <w:p w14:paraId="3FB9247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7495DBD6" w14:textId="77777777" w:rsidTr="00047A68">
              <w:trPr>
                <w:trHeight w:val="630"/>
              </w:trPr>
              <w:tc>
                <w:tcPr>
                  <w:tcW w:w="2604" w:type="dxa"/>
                  <w:tcBorders>
                    <w:top w:val="single" w:sz="4" w:space="0" w:color="5B9BD5"/>
                    <w:left w:val="single" w:sz="4" w:space="0" w:color="5B9BD5"/>
                    <w:bottom w:val="single" w:sz="4" w:space="0" w:color="5B9BD5"/>
                    <w:right w:val="nil"/>
                  </w:tcBorders>
                  <w:shd w:val="clear" w:color="auto" w:fill="auto"/>
                  <w:vAlign w:val="center"/>
                  <w:hideMark/>
                </w:tcPr>
                <w:p w14:paraId="1ABB11B3"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singleUL-Transmission</w:t>
                  </w:r>
                </w:p>
              </w:tc>
              <w:tc>
                <w:tcPr>
                  <w:tcW w:w="2782" w:type="dxa"/>
                  <w:tcBorders>
                    <w:top w:val="single" w:sz="4" w:space="0" w:color="5B9BD5"/>
                    <w:left w:val="nil"/>
                    <w:bottom w:val="single" w:sz="4" w:space="0" w:color="5B9BD5"/>
                    <w:right w:val="nil"/>
                  </w:tcBorders>
                  <w:shd w:val="clear" w:color="auto" w:fill="auto"/>
                  <w:vAlign w:val="center"/>
                  <w:hideMark/>
                </w:tcPr>
                <w:p w14:paraId="15A2C6EA"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single" w:sz="4" w:space="0" w:color="5B9BD5"/>
                    <w:right w:val="single" w:sz="4" w:space="0" w:color="5B9BD5"/>
                  </w:tcBorders>
                  <w:shd w:val="clear" w:color="auto" w:fill="auto"/>
                  <w:vAlign w:val="center"/>
                  <w:hideMark/>
                </w:tcPr>
                <w:p w14:paraId="20B5AC0B"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r>
          </w:tbl>
          <w:p w14:paraId="341FA9A3" w14:textId="77777777" w:rsidR="00047A68" w:rsidRPr="00954332" w:rsidRDefault="00047A68" w:rsidP="00047A68">
            <w:pPr>
              <w:rPr>
                <w:rFonts w:eastAsiaTheme="minorEastAsia"/>
                <w:sz w:val="20"/>
                <w:szCs w:val="20"/>
                <w:lang w:bidi="hi-IN"/>
              </w:rPr>
            </w:pPr>
          </w:p>
          <w:p w14:paraId="2F89DCDC" w14:textId="6D6209C7" w:rsidR="00DA132A" w:rsidRDefault="002745DA" w:rsidP="002745DA">
            <w:pPr>
              <w:rPr>
                <w:rFonts w:eastAsiaTheme="minorEastAsia"/>
                <w:sz w:val="20"/>
                <w:szCs w:val="20"/>
                <w:lang w:bidi="hi-IN"/>
              </w:rPr>
            </w:pPr>
            <w:r>
              <w:rPr>
                <w:rFonts w:eastAsiaTheme="minorEastAsia"/>
                <w:sz w:val="20"/>
                <w:szCs w:val="20"/>
                <w:lang w:bidi="hi-IN"/>
              </w:rPr>
              <w:t xml:space="preserve">Regarding ZTE’s question whether the UE is regarded as “dual Tx” or “single Tx”, it has been answered by the first agreement below, i.e. </w:t>
            </w:r>
            <w:r w:rsidR="00047A68" w:rsidRPr="00047A68">
              <w:rPr>
                <w:rFonts w:eastAsiaTheme="minorEastAsia"/>
                <w:b/>
                <w:sz w:val="20"/>
                <w:szCs w:val="20"/>
                <w:highlight w:val="yellow"/>
                <w:lang w:bidi="hi-IN"/>
              </w:rPr>
              <w:t xml:space="preserve">the reason to introduce tdm-pattern-dual-Tx was, as the highlight in the table above, tdm-pattern only indicates Single UL Tx under </w:t>
            </w:r>
            <w:r w:rsidR="00E844C3">
              <w:rPr>
                <w:rFonts w:eastAsiaTheme="minorEastAsia"/>
                <w:b/>
                <w:sz w:val="20"/>
                <w:szCs w:val="20"/>
                <w:highlight w:val="yellow"/>
                <w:lang w:bidi="hi-IN"/>
              </w:rPr>
              <w:t xml:space="preserve">Rel-16 </w:t>
            </w:r>
            <w:r w:rsidR="00047A68" w:rsidRPr="00047A68">
              <w:rPr>
                <w:rFonts w:eastAsiaTheme="minorEastAsia"/>
                <w:b/>
                <w:sz w:val="20"/>
                <w:szCs w:val="20"/>
                <w:highlight w:val="yellow"/>
                <w:lang w:bidi="hi-IN"/>
              </w:rPr>
              <w:t>TDM pattern configuration, but no restriction if TDM pattern is not configured.</w:t>
            </w:r>
            <w:r w:rsidR="00047A68">
              <w:rPr>
                <w:rFonts w:eastAsiaTheme="minorEastAsia"/>
                <w:sz w:val="20"/>
                <w:szCs w:val="20"/>
                <w:lang w:bidi="hi-IN"/>
              </w:rPr>
              <w:t xml:space="preserve"> </w:t>
            </w:r>
            <w:r w:rsidR="00047A68" w:rsidRPr="00902DFE">
              <w:rPr>
                <w:rFonts w:eastAsiaTheme="minorEastAsia"/>
                <w:b/>
                <w:sz w:val="20"/>
                <w:szCs w:val="20"/>
                <w:lang w:bidi="hi-IN"/>
              </w:rPr>
              <w:t>If tdm-pattern were indicating Dual UL Tx in Rel-16, we would not have introduced a new UE capability tdm-pattern-Dual-Tx</w:t>
            </w:r>
            <w:r w:rsidR="00047A68">
              <w:rPr>
                <w:rFonts w:eastAsiaTheme="minorEastAsia"/>
                <w:sz w:val="20"/>
                <w:szCs w:val="20"/>
                <w:lang w:bidi="hi-IN"/>
              </w:rPr>
              <w:t xml:space="preserve">. </w:t>
            </w:r>
          </w:p>
          <w:p w14:paraId="545793FD" w14:textId="603AA3DF" w:rsidR="00E844C3" w:rsidRDefault="00E844C3" w:rsidP="002745DA">
            <w:pPr>
              <w:rPr>
                <w:rFonts w:eastAsiaTheme="minorEastAsia"/>
                <w:sz w:val="20"/>
                <w:szCs w:val="20"/>
                <w:lang w:bidi="hi-IN"/>
              </w:rPr>
            </w:pPr>
            <w:r>
              <w:rPr>
                <w:rFonts w:eastAsiaTheme="minorEastAsia"/>
                <w:sz w:val="20"/>
                <w:szCs w:val="20"/>
                <w:lang w:bidi="hi-IN"/>
              </w:rPr>
              <w:t>Please note that the two agreements following the agreement of dual-Tx capability was to discuss the UE behavior for a UE configured with TDM pattern, instead of a UE suffering IMD issue or not. Under a TDM pattern configuration, the dual-Tx case refers to a UE capable of the new tdm-pattern-dual-Tx instead of a UE not reporting IMD issue. Similarly, the single-Tx case is not bound to IMD issue.</w:t>
            </w:r>
          </w:p>
          <w:p w14:paraId="46E58E51" w14:textId="1CD5E24E" w:rsidR="00047A68" w:rsidRDefault="00047A68" w:rsidP="002745DA">
            <w:pPr>
              <w:rPr>
                <w:rFonts w:eastAsiaTheme="minorEastAsia"/>
                <w:sz w:val="20"/>
                <w:szCs w:val="20"/>
                <w:lang w:bidi="hi-IN"/>
              </w:rPr>
            </w:pPr>
            <w:r>
              <w:rPr>
                <w:rFonts w:eastAsiaTheme="minorEastAsia"/>
                <w:sz w:val="20"/>
                <w:szCs w:val="20"/>
                <w:lang w:bidi="hi-IN"/>
              </w:rPr>
              <w:t xml:space="preserve">In short, </w:t>
            </w:r>
            <w:r w:rsidR="00E844C3">
              <w:rPr>
                <w:rFonts w:eastAsiaTheme="minorEastAsia"/>
                <w:sz w:val="20"/>
                <w:szCs w:val="20"/>
                <w:lang w:bidi="hi-IN"/>
              </w:rPr>
              <w:t>only Option 2 is in line with the agreements.</w:t>
            </w:r>
          </w:p>
          <w:p w14:paraId="04CF86EA" w14:textId="77777777" w:rsidR="002745DA" w:rsidRDefault="002745DA" w:rsidP="002745DA">
            <w:pPr>
              <w:spacing w:after="180"/>
            </w:pPr>
            <w:r>
              <w:rPr>
                <w:sz w:val="20"/>
                <w:szCs w:val="20"/>
                <w:shd w:val="clear" w:color="auto" w:fill="00FF00"/>
                <w:lang w:val="en-GB"/>
              </w:rPr>
              <w:lastRenderedPageBreak/>
              <w:t>Agreements</w:t>
            </w:r>
            <w:r>
              <w:rPr>
                <w:sz w:val="20"/>
                <w:szCs w:val="20"/>
                <w:lang w:val="en-GB"/>
              </w:rPr>
              <w:t>:</w:t>
            </w:r>
          </w:p>
          <w:p w14:paraId="28777662" w14:textId="77777777" w:rsidR="002745DA" w:rsidRDefault="002745DA" w:rsidP="002745DA">
            <w:pPr>
              <w:widowControl w:val="0"/>
              <w:numPr>
                <w:ilvl w:val="0"/>
                <w:numId w:val="36"/>
              </w:numPr>
              <w:spacing w:after="180"/>
            </w:pPr>
            <w:r>
              <w:rPr>
                <w:sz w:val="20"/>
                <w:szCs w:val="20"/>
              </w:rPr>
              <w:t>Introduce a new UE capability of supporting DL reference configuration for dual-Tx UL (e.g., to handle DL de-sensing from harmonics)</w:t>
            </w:r>
          </w:p>
          <w:p w14:paraId="0A0549FF" w14:textId="77777777" w:rsidR="002745DA" w:rsidRDefault="002745DA" w:rsidP="002745DA">
            <w:pPr>
              <w:spacing w:after="160" w:line="283" w:lineRule="atLeast"/>
            </w:pPr>
            <w:r>
              <w:rPr>
                <w:sz w:val="20"/>
                <w:szCs w:val="20"/>
                <w:shd w:val="clear" w:color="auto" w:fill="00FF00"/>
              </w:rPr>
              <w:t>Agreements:</w:t>
            </w:r>
          </w:p>
          <w:p w14:paraId="07F47E8D" w14:textId="77777777" w:rsidR="002745DA" w:rsidRDefault="002745DA" w:rsidP="002745DA">
            <w:pPr>
              <w:widowControl w:val="0"/>
              <w:numPr>
                <w:ilvl w:val="0"/>
                <w:numId w:val="37"/>
              </w:numPr>
              <w:spacing w:after="180"/>
            </w:pPr>
            <w:r>
              <w:rPr>
                <w:sz w:val="20"/>
                <w:szCs w:val="20"/>
              </w:rPr>
              <w:t>For the single-Tx case, for FDD LTE Pcell,</w:t>
            </w:r>
          </w:p>
          <w:p w14:paraId="49A7A291" w14:textId="77777777" w:rsidR="002745DA" w:rsidRDefault="002745DA" w:rsidP="002745DA">
            <w:pPr>
              <w:widowControl w:val="0"/>
              <w:numPr>
                <w:ilvl w:val="1"/>
                <w:numId w:val="38"/>
              </w:numPr>
              <w:spacing w:after="180"/>
            </w:pPr>
            <w:r>
              <w:rPr>
                <w:sz w:val="20"/>
                <w:szCs w:val="20"/>
              </w:rPr>
              <w:t>All uplink subframes can be scheduled for LTE for type 1 UEs</w:t>
            </w:r>
          </w:p>
          <w:p w14:paraId="3F14691F" w14:textId="77777777" w:rsidR="002745DA" w:rsidRDefault="002745DA" w:rsidP="002745DA">
            <w:pPr>
              <w:widowControl w:val="0"/>
              <w:numPr>
                <w:ilvl w:val="2"/>
                <w:numId w:val="39"/>
              </w:numPr>
              <w:spacing w:after="180"/>
            </w:pPr>
            <w:r>
              <w:rPr>
                <w:sz w:val="20"/>
                <w:szCs w:val="20"/>
              </w:rPr>
              <w:t>In which case, NR transmission is dropped for when the LTE and NR transmissions collide</w:t>
            </w:r>
          </w:p>
          <w:p w14:paraId="0D1198F1" w14:textId="77777777" w:rsidR="002745DA" w:rsidRDefault="002745DA" w:rsidP="002745DA">
            <w:pPr>
              <w:widowControl w:val="0"/>
              <w:numPr>
                <w:ilvl w:val="2"/>
                <w:numId w:val="39"/>
              </w:numPr>
              <w:spacing w:after="180"/>
            </w:pPr>
            <w:r>
              <w:rPr>
                <w:sz w:val="20"/>
                <w:szCs w:val="20"/>
              </w:rPr>
              <w:t>Note: there is no change of UL scheduling timing for LTE</w:t>
            </w:r>
          </w:p>
          <w:p w14:paraId="7724FE62" w14:textId="77777777" w:rsidR="002745DA" w:rsidRDefault="002745DA" w:rsidP="002745DA">
            <w:pPr>
              <w:spacing w:after="160" w:line="283" w:lineRule="atLeast"/>
            </w:pPr>
            <w:r>
              <w:rPr>
                <w:sz w:val="20"/>
                <w:szCs w:val="20"/>
                <w:shd w:val="clear" w:color="auto" w:fill="00FF00"/>
              </w:rPr>
              <w:t>Agreements</w:t>
            </w:r>
            <w:r>
              <w:rPr>
                <w:sz w:val="20"/>
                <w:szCs w:val="20"/>
              </w:rPr>
              <w:t>:</w:t>
            </w:r>
          </w:p>
          <w:p w14:paraId="613FF594" w14:textId="77777777" w:rsidR="002745DA" w:rsidRDefault="002745DA" w:rsidP="002745DA">
            <w:pPr>
              <w:widowControl w:val="0"/>
              <w:numPr>
                <w:ilvl w:val="0"/>
                <w:numId w:val="40"/>
              </w:numPr>
              <w:spacing w:after="180"/>
            </w:pPr>
            <w:r>
              <w:rPr>
                <w:sz w:val="20"/>
                <w:szCs w:val="20"/>
              </w:rPr>
              <w:t>For the dual-Tx case, for FDD LTE Pcell,</w:t>
            </w:r>
          </w:p>
          <w:p w14:paraId="6DBD11E5" w14:textId="77777777" w:rsidR="002745DA" w:rsidRDefault="002745DA" w:rsidP="002745DA">
            <w:pPr>
              <w:widowControl w:val="0"/>
              <w:numPr>
                <w:ilvl w:val="1"/>
                <w:numId w:val="41"/>
              </w:numPr>
              <w:spacing w:after="180"/>
            </w:pPr>
            <w:r>
              <w:rPr>
                <w:sz w:val="20"/>
                <w:szCs w:val="20"/>
              </w:rPr>
              <w:t>All uplink subframes can be scheduled for LTE at least for type 1 UEs</w:t>
            </w:r>
          </w:p>
          <w:p w14:paraId="0CE8AB35" w14:textId="096463F3" w:rsidR="002745DA" w:rsidRPr="002745DA" w:rsidRDefault="002745DA" w:rsidP="00E844C3">
            <w:pPr>
              <w:widowControl w:val="0"/>
              <w:numPr>
                <w:ilvl w:val="1"/>
                <w:numId w:val="41"/>
              </w:numPr>
              <w:spacing w:after="180"/>
              <w:rPr>
                <w:rFonts w:eastAsiaTheme="minorEastAsia"/>
                <w:sz w:val="20"/>
                <w:szCs w:val="20"/>
                <w:lang w:bidi="hi-IN"/>
              </w:rPr>
            </w:pPr>
            <w:r>
              <w:rPr>
                <w:sz w:val="20"/>
                <w:szCs w:val="20"/>
              </w:rPr>
              <w:t>Note: there is no change of UL scheduling timing for LTE</w:t>
            </w:r>
          </w:p>
        </w:tc>
      </w:tr>
      <w:tr w:rsidR="004C6B69" w14:paraId="09EF6984" w14:textId="77777777" w:rsidTr="004C6B69">
        <w:tc>
          <w:tcPr>
            <w:tcW w:w="985" w:type="dxa"/>
          </w:tcPr>
          <w:p w14:paraId="01FBC272" w14:textId="3B726F62" w:rsidR="004C6B69" w:rsidRDefault="004C6B69" w:rsidP="004C6B69">
            <w:pPr>
              <w:rPr>
                <w:sz w:val="20"/>
                <w:szCs w:val="20"/>
                <w:lang w:eastAsia="ja-JP" w:bidi="hi-IN"/>
              </w:rPr>
            </w:pPr>
            <w:r>
              <w:rPr>
                <w:rFonts w:eastAsia="Yu Mincho" w:hint="eastAsia"/>
                <w:sz w:val="20"/>
                <w:szCs w:val="20"/>
                <w:lang w:eastAsia="ja-JP" w:bidi="hi-IN"/>
              </w:rPr>
              <w:lastRenderedPageBreak/>
              <w:t>Q</w:t>
            </w:r>
            <w:r>
              <w:rPr>
                <w:rFonts w:eastAsia="Yu Mincho"/>
                <w:sz w:val="20"/>
                <w:szCs w:val="20"/>
                <w:lang w:eastAsia="ja-JP" w:bidi="hi-IN"/>
              </w:rPr>
              <w:t>ualcomm</w:t>
            </w:r>
          </w:p>
        </w:tc>
        <w:tc>
          <w:tcPr>
            <w:tcW w:w="8644" w:type="dxa"/>
          </w:tcPr>
          <w:p w14:paraId="6B4F1431" w14:textId="339A4B9A" w:rsidR="00D3114A" w:rsidRDefault="00D3114A" w:rsidP="004C6B69">
            <w:pPr>
              <w:rPr>
                <w:rFonts w:eastAsia="Yu Mincho"/>
                <w:sz w:val="20"/>
                <w:szCs w:val="20"/>
                <w:lang w:eastAsia="ja-JP" w:bidi="hi-IN"/>
              </w:rPr>
            </w:pPr>
            <w:r>
              <w:rPr>
                <w:rFonts w:eastAsia="Yu Mincho" w:hint="eastAsia"/>
                <w:sz w:val="20"/>
                <w:szCs w:val="20"/>
                <w:lang w:eastAsia="ja-JP" w:bidi="hi-IN"/>
              </w:rPr>
              <w:t>C</w:t>
            </w:r>
            <w:r>
              <w:rPr>
                <w:rFonts w:eastAsia="Yu Mincho"/>
                <w:sz w:val="20"/>
                <w:szCs w:val="20"/>
                <w:lang w:eastAsia="ja-JP" w:bidi="hi-IN"/>
              </w:rPr>
              <w:t xml:space="preserve">ase 1) should be </w:t>
            </w:r>
            <w:r w:rsidR="0073323F">
              <w:rPr>
                <w:rFonts w:eastAsia="Yu Mincho"/>
                <w:sz w:val="20"/>
                <w:szCs w:val="20"/>
                <w:lang w:eastAsia="ja-JP" w:bidi="hi-IN"/>
              </w:rPr>
              <w:t>“</w:t>
            </w:r>
            <w:r w:rsidR="0073323F" w:rsidRPr="0073323F">
              <w:rPr>
                <w:rFonts w:eastAsia="Yu Mincho"/>
                <w:sz w:val="20"/>
                <w:szCs w:val="20"/>
                <w:lang w:eastAsia="ja-JP" w:bidi="hi-IN"/>
              </w:rPr>
              <w:t xml:space="preserve">type 1 UE indicates </w:t>
            </w:r>
            <w:r w:rsidR="0073323F" w:rsidRPr="0073323F">
              <w:rPr>
                <w:rFonts w:eastAsia="Yu Mincho"/>
                <w:i/>
                <w:iCs/>
                <w:sz w:val="20"/>
                <w:szCs w:val="20"/>
                <w:lang w:eastAsia="ja-JP" w:bidi="hi-IN"/>
              </w:rPr>
              <w:t>singleUL-Transmission</w:t>
            </w:r>
            <w:r w:rsidR="0073323F" w:rsidRPr="0073323F">
              <w:rPr>
                <w:rFonts w:eastAsia="Yu Mincho"/>
                <w:sz w:val="20"/>
                <w:szCs w:val="20"/>
                <w:lang w:eastAsia="ja-JP" w:bidi="hi-IN"/>
              </w:rPr>
              <w:t xml:space="preserve"> for the difficult BC listed in 38.101</w:t>
            </w:r>
            <w:r w:rsidR="0073323F">
              <w:rPr>
                <w:rFonts w:eastAsia="Yu Mincho"/>
                <w:sz w:val="20"/>
                <w:szCs w:val="20"/>
                <w:lang w:eastAsia="ja-JP" w:bidi="hi-IN"/>
              </w:rPr>
              <w:t xml:space="preserve">-3 and the condition of single-UL allowed described in Annex I of 38.101-3 is </w:t>
            </w:r>
            <w:r w:rsidR="00281959">
              <w:rPr>
                <w:rFonts w:eastAsia="Yu Mincho"/>
                <w:sz w:val="20"/>
                <w:szCs w:val="20"/>
                <w:lang w:eastAsia="ja-JP" w:bidi="hi-IN"/>
              </w:rPr>
              <w:t>satisfied”.</w:t>
            </w:r>
          </w:p>
          <w:p w14:paraId="4153249E" w14:textId="77777777" w:rsidR="00114FF5" w:rsidRDefault="00114FF5" w:rsidP="004C6B69">
            <w:pPr>
              <w:rPr>
                <w:rFonts w:eastAsia="Yu Mincho"/>
                <w:sz w:val="20"/>
                <w:szCs w:val="20"/>
                <w:lang w:eastAsia="ja-JP" w:bidi="hi-IN"/>
              </w:rPr>
            </w:pPr>
          </w:p>
          <w:p w14:paraId="3027CCB5" w14:textId="166D9C72" w:rsidR="004C6B69" w:rsidRDefault="004C6B69" w:rsidP="004C6B69">
            <w:pPr>
              <w:rPr>
                <w:rFonts w:eastAsia="Yu Mincho"/>
                <w:sz w:val="20"/>
                <w:szCs w:val="20"/>
                <w:lang w:eastAsia="ja-JP" w:bidi="hi-IN"/>
              </w:rPr>
            </w:pPr>
            <w:r>
              <w:rPr>
                <w:rFonts w:eastAsia="Yu Mincho"/>
                <w:sz w:val="20"/>
                <w:szCs w:val="20"/>
                <w:lang w:eastAsia="ja-JP" w:bidi="hi-IN"/>
              </w:rPr>
              <w:t xml:space="preserve">Let us clarify why we propose TP option 3. </w:t>
            </w:r>
            <w:r w:rsidR="00114FF5">
              <w:rPr>
                <w:rFonts w:eastAsia="Yu Mincho"/>
                <w:sz w:val="20"/>
                <w:szCs w:val="20"/>
                <w:lang w:eastAsia="ja-JP" w:bidi="hi-IN"/>
              </w:rPr>
              <w:t>There are three different points.</w:t>
            </w:r>
          </w:p>
          <w:p w14:paraId="01E507E3" w14:textId="77777777" w:rsidR="004C6B69" w:rsidRPr="00EB50A3" w:rsidRDefault="004C6B69" w:rsidP="004C6B69">
            <w:pPr>
              <w:rPr>
                <w:rFonts w:eastAsia="Yu Mincho"/>
                <w:b/>
                <w:bCs/>
                <w:sz w:val="20"/>
                <w:szCs w:val="20"/>
                <w:u w:val="single"/>
                <w:lang w:eastAsia="ja-JP" w:bidi="hi-IN"/>
              </w:rPr>
            </w:pPr>
            <w:r w:rsidRPr="00EB50A3">
              <w:rPr>
                <w:rFonts w:eastAsia="Yu Mincho"/>
                <w:b/>
                <w:bCs/>
                <w:sz w:val="20"/>
                <w:szCs w:val="20"/>
                <w:u w:val="single"/>
                <w:lang w:eastAsia="ja-JP" w:bidi="hi-IN"/>
              </w:rPr>
              <w:t>1) The condition where single-UL is allowed</w:t>
            </w:r>
          </w:p>
          <w:p w14:paraId="4A6C318F" w14:textId="77777777" w:rsidR="004C6B69" w:rsidRDefault="004C6B69" w:rsidP="004C6B69">
            <w:pPr>
              <w:rPr>
                <w:rFonts w:eastAsia="Yu Mincho"/>
                <w:sz w:val="20"/>
                <w:szCs w:val="20"/>
                <w:lang w:eastAsia="ja-JP" w:bidi="hi-IN"/>
              </w:rPr>
            </w:pPr>
            <w:r>
              <w:rPr>
                <w:rFonts w:eastAsia="Yu Mincho"/>
                <w:sz w:val="20"/>
                <w:szCs w:val="20"/>
                <w:lang w:eastAsia="ja-JP" w:bidi="hi-IN"/>
              </w:rPr>
              <w:t xml:space="preserve">The condition where single-UL is allowed is specified in RAN4 spec; even for a band combination where the UE reports </w:t>
            </w:r>
            <w:r w:rsidRPr="00946302">
              <w:rPr>
                <w:rFonts w:eastAsia="Yu Mincho"/>
                <w:i/>
                <w:iCs/>
                <w:sz w:val="20"/>
                <w:szCs w:val="20"/>
                <w:lang w:eastAsia="ja-JP" w:bidi="hi-IN"/>
              </w:rPr>
              <w:t>singleUL-Transmission</w:t>
            </w:r>
            <w:r>
              <w:rPr>
                <w:rFonts w:eastAsia="Yu Mincho"/>
                <w:sz w:val="20"/>
                <w:szCs w:val="20"/>
                <w:lang w:eastAsia="ja-JP" w:bidi="hi-IN"/>
              </w:rPr>
              <w:t>, single-UL is not always allowed. Since the text proposals will define the UE behavior of single-UL transmission, the text shall refer the RAN4’s condition where the single-UL transmission is allowed. Therefore, Option 3 has the text “</w:t>
            </w:r>
            <w:r w:rsidRPr="00B16DB2">
              <w:rPr>
                <w:rFonts w:eastAsia="Yu Mincho"/>
                <w:i/>
                <w:iCs/>
                <w:color w:val="FF0000"/>
                <w:sz w:val="20"/>
                <w:szCs w:val="20"/>
                <w:u w:val="single"/>
                <w:lang w:eastAsia="ja-JP" w:bidi="hi-IN"/>
              </w:rPr>
              <w:t>if the conditions in TS 38.101-3 [8-3] are fullfilled</w:t>
            </w:r>
            <w:r>
              <w:rPr>
                <w:rFonts w:eastAsia="Yu Mincho"/>
                <w:sz w:val="20"/>
                <w:szCs w:val="20"/>
                <w:lang w:eastAsia="ja-JP" w:bidi="hi-IN"/>
              </w:rPr>
              <w:t xml:space="preserve">”. Without this clarification, the case where the single-UL is allowed is expanded compared to Rel.15, which should not be the case. Corresponding RAN4 spec is copied below from TS38.101-3 for the convenience. Companies </w:t>
            </w:r>
            <w:r>
              <w:rPr>
                <w:rFonts w:eastAsia="Yu Mincho" w:hint="eastAsia"/>
                <w:sz w:val="20"/>
                <w:szCs w:val="20"/>
                <w:lang w:eastAsia="ja-JP" w:bidi="hi-IN"/>
              </w:rPr>
              <w:t>should</w:t>
            </w:r>
            <w:r>
              <w:rPr>
                <w:rFonts w:eastAsia="Yu Mincho"/>
                <w:sz w:val="20"/>
                <w:szCs w:val="20"/>
                <w:lang w:eastAsia="ja-JP" w:bidi="hi-IN"/>
              </w:rPr>
              <w:t xml:space="preserve"> check with RAN4 colleagues. </w:t>
            </w:r>
          </w:p>
          <w:p w14:paraId="33B6073B" w14:textId="77777777" w:rsidR="004C6B69" w:rsidRPr="004270A9" w:rsidRDefault="004C6B69" w:rsidP="004C6B69">
            <w:pPr>
              <w:keepNext/>
              <w:keepLines/>
              <w:pBdr>
                <w:top w:val="single" w:sz="12" w:space="3" w:color="auto"/>
              </w:pBdr>
              <w:spacing w:before="240" w:after="180"/>
              <w:jc w:val="left"/>
              <w:outlineLvl w:val="7"/>
              <w:rPr>
                <w:rFonts w:ascii="Arial" w:eastAsia="SimSun" w:hAnsi="Arial"/>
                <w:sz w:val="36"/>
                <w:szCs w:val="20"/>
                <w:lang w:val="en-GB" w:eastAsia="en-US"/>
              </w:rPr>
            </w:pPr>
            <w:bookmarkStart w:id="3" w:name="_Toc21351812"/>
            <w:bookmarkStart w:id="4" w:name="_Toc29807394"/>
            <w:r w:rsidRPr="004270A9">
              <w:rPr>
                <w:rFonts w:ascii="Arial" w:eastAsia="SimSun" w:hAnsi="Arial"/>
                <w:sz w:val="36"/>
                <w:szCs w:val="20"/>
                <w:lang w:val="en-GB" w:eastAsia="en-US"/>
              </w:rPr>
              <w:t>Annex I (normative):</w:t>
            </w:r>
            <w:r w:rsidRPr="004270A9">
              <w:rPr>
                <w:rFonts w:ascii="Arial" w:eastAsia="SimSun" w:hAnsi="Arial"/>
                <w:sz w:val="36"/>
                <w:szCs w:val="20"/>
                <w:lang w:val="en-GB" w:eastAsia="en-US"/>
              </w:rPr>
              <w:br/>
              <w:t>Dual uplink interferer</w:t>
            </w:r>
            <w:bookmarkEnd w:id="3"/>
            <w:bookmarkEnd w:id="4"/>
          </w:p>
          <w:p w14:paraId="69402977" w14:textId="77777777" w:rsidR="004C6B69" w:rsidRPr="004270A9" w:rsidRDefault="004C6B69" w:rsidP="004C6B69">
            <w:pPr>
              <w:spacing w:after="180"/>
              <w:rPr>
                <w:rFonts w:eastAsia="SimSun"/>
                <w:sz w:val="20"/>
                <w:szCs w:val="20"/>
                <w:lang w:val="en-GB" w:eastAsia="en-US"/>
              </w:rPr>
            </w:pPr>
            <w:r w:rsidRPr="004270A9">
              <w:rPr>
                <w:rFonts w:eastAsia="SimSun"/>
                <w:sz w:val="20"/>
                <w:szCs w:val="20"/>
                <w:highlight w:val="yellow"/>
                <w:lang w:val="en-GB" w:eastAsia="en-US"/>
              </w:rPr>
              <w:t>UE is mandated to support operation in dual and triple uplink mode for EN-DC configuration in NR FR1 listed in Table 5.5B.2-1, Table 5.5B.3-1, and Table 5.5B.4.1-1 and indicated by column single uplink allowed, Table 7.3B.2.3.5.1-1, Table 7.3B.2.3.5.2-0, Table 7.3B.2.3.5.2-1 or NE-DC configuration in NR FR1 listed in Table 5.5B.4a.1-1 and indicated by column single uplink allowed if the intermodulation products caused by the dual uplink operation do not interfere with its own primary downlink transmission channel bandwidth of PCell or PSCell</w:t>
            </w:r>
            <w:r w:rsidRPr="004270A9">
              <w:rPr>
                <w:rFonts w:eastAsia="SimSun"/>
                <w:sz w:val="20"/>
                <w:szCs w:val="20"/>
                <w:lang w:val="en-GB" w:eastAsia="en-US"/>
              </w:rPr>
              <w:t>. For intermodulation products falling into any secondary downlink channel bandwidth, UE single UL capability is not considered.</w:t>
            </w:r>
          </w:p>
          <w:p w14:paraId="5D839B90" w14:textId="77777777" w:rsidR="004C6B69" w:rsidRDefault="004C6B69" w:rsidP="004C6B69">
            <w:pPr>
              <w:rPr>
                <w:rFonts w:eastAsia="Yu Mincho"/>
                <w:sz w:val="20"/>
                <w:szCs w:val="20"/>
                <w:lang w:val="en-GB" w:eastAsia="ja-JP" w:bidi="hi-IN"/>
              </w:rPr>
            </w:pPr>
          </w:p>
          <w:p w14:paraId="1CF3BB48" w14:textId="47E826DF" w:rsidR="004C6B69" w:rsidRPr="00EB50A3" w:rsidRDefault="004C6B69" w:rsidP="004C6B69">
            <w:pPr>
              <w:rPr>
                <w:rFonts w:eastAsia="Yu Mincho"/>
                <w:b/>
                <w:bCs/>
                <w:sz w:val="20"/>
                <w:szCs w:val="20"/>
                <w:u w:val="single"/>
                <w:lang w:val="en-GB" w:eastAsia="ja-JP" w:bidi="hi-IN"/>
              </w:rPr>
            </w:pPr>
            <w:r w:rsidRPr="00EB50A3">
              <w:rPr>
                <w:rFonts w:eastAsia="Yu Mincho" w:hint="eastAsia"/>
                <w:b/>
                <w:bCs/>
                <w:sz w:val="20"/>
                <w:szCs w:val="20"/>
                <w:u w:val="single"/>
                <w:lang w:val="en-GB" w:eastAsia="ja-JP" w:bidi="hi-IN"/>
              </w:rPr>
              <w:t>2</w:t>
            </w:r>
            <w:r w:rsidRPr="00EB50A3">
              <w:rPr>
                <w:rFonts w:eastAsia="Yu Mincho"/>
                <w:b/>
                <w:bCs/>
                <w:sz w:val="20"/>
                <w:szCs w:val="20"/>
                <w:u w:val="single"/>
                <w:lang w:val="en-GB" w:eastAsia="ja-JP" w:bidi="hi-IN"/>
              </w:rPr>
              <w:t xml:space="preserve">) Handling </w:t>
            </w:r>
            <w:r w:rsidR="00B93C26">
              <w:rPr>
                <w:rFonts w:eastAsia="Yu Mincho"/>
                <w:b/>
                <w:bCs/>
                <w:sz w:val="20"/>
                <w:szCs w:val="20"/>
                <w:u w:val="single"/>
                <w:lang w:val="en-GB" w:eastAsia="ja-JP" w:bidi="hi-IN"/>
              </w:rPr>
              <w:t xml:space="preserve">LTE + NR </w:t>
            </w:r>
            <w:r>
              <w:rPr>
                <w:rFonts w:eastAsia="Yu Mincho"/>
                <w:b/>
                <w:bCs/>
                <w:sz w:val="20"/>
                <w:szCs w:val="20"/>
                <w:u w:val="single"/>
                <w:lang w:val="en-GB" w:eastAsia="ja-JP" w:bidi="hi-IN"/>
              </w:rPr>
              <w:t>collision</w:t>
            </w:r>
            <w:r w:rsidRPr="00EB50A3">
              <w:rPr>
                <w:rFonts w:eastAsia="Yu Mincho"/>
                <w:b/>
                <w:bCs/>
                <w:sz w:val="20"/>
                <w:szCs w:val="20"/>
                <w:u w:val="single"/>
                <w:lang w:val="en-GB" w:eastAsia="ja-JP" w:bidi="hi-IN"/>
              </w:rPr>
              <w:t xml:space="preserve"> if the UE is not configured with </w:t>
            </w:r>
            <w:r w:rsidRPr="00B16DB2">
              <w:rPr>
                <w:rFonts w:eastAsia="Yu Mincho"/>
                <w:b/>
                <w:bCs/>
                <w:i/>
                <w:iCs/>
                <w:sz w:val="20"/>
                <w:szCs w:val="20"/>
                <w:u w:val="single"/>
                <w:lang w:val="en-GB" w:eastAsia="ja-JP" w:bidi="hi-IN"/>
              </w:rPr>
              <w:t>tdm-PatternConfig-r16</w:t>
            </w:r>
          </w:p>
          <w:p w14:paraId="315AD0CB" w14:textId="77777777" w:rsidR="00EF061D" w:rsidRDefault="004C6B69" w:rsidP="004C6B69">
            <w:pPr>
              <w:rPr>
                <w:rFonts w:eastAsia="Yu Mincho"/>
                <w:sz w:val="20"/>
                <w:szCs w:val="20"/>
                <w:lang w:val="en-GB" w:eastAsia="ja-JP" w:bidi="hi-IN"/>
              </w:rPr>
            </w:pPr>
            <w:r>
              <w:rPr>
                <w:rFonts w:eastAsia="Yu Mincho" w:hint="eastAsia"/>
                <w:sz w:val="20"/>
                <w:szCs w:val="20"/>
                <w:lang w:val="en-GB" w:eastAsia="ja-JP" w:bidi="hi-IN"/>
              </w:rPr>
              <w:lastRenderedPageBreak/>
              <w:t>T</w:t>
            </w:r>
            <w:r>
              <w:rPr>
                <w:rFonts w:eastAsia="Yu Mincho"/>
                <w:sz w:val="20"/>
                <w:szCs w:val="20"/>
                <w:lang w:val="en-GB" w:eastAsia="ja-JP" w:bidi="hi-IN"/>
              </w:rPr>
              <w:t xml:space="preserve">here is no spec on how the UE should do if the UE indicates a capability for dynamic power sharing between E-UTRA and NR for EN-DC and the UE needs single-Tx operation, but the UE is not configured with </w:t>
            </w:r>
            <w:r w:rsidRPr="006B0059">
              <w:rPr>
                <w:rFonts w:eastAsia="Yu Mincho"/>
                <w:i/>
                <w:iCs/>
                <w:sz w:val="20"/>
                <w:szCs w:val="20"/>
                <w:lang w:val="en-GB" w:eastAsia="ja-JP" w:bidi="hi-IN"/>
              </w:rPr>
              <w:t>tdm-PatternConfig-r16</w:t>
            </w:r>
            <w:r>
              <w:rPr>
                <w:rFonts w:eastAsia="Yu Mincho"/>
                <w:sz w:val="20"/>
                <w:szCs w:val="20"/>
                <w:lang w:val="en-GB" w:eastAsia="ja-JP" w:bidi="hi-IN"/>
              </w:rPr>
              <w:t>. In this is not configured, the UE behaviour should follow the Rel.15 behavior: i.e., “</w:t>
            </w:r>
            <w:r w:rsidRPr="000A73A4">
              <w:rPr>
                <w:rFonts w:eastAsia="Yu Mincho"/>
                <w:sz w:val="20"/>
                <w:szCs w:val="20"/>
                <w:lang w:val="en-GB" w:eastAsia="ja-JP" w:bidi="hi-IN"/>
              </w:rPr>
              <w:t>The UE behaviour in case of being simultaneously scheduled on LTE and NR uplinks is not specified</w:t>
            </w:r>
            <w:r>
              <w:rPr>
                <w:rFonts w:eastAsia="Yu Mincho"/>
                <w:sz w:val="20"/>
                <w:szCs w:val="20"/>
                <w:lang w:val="en-GB" w:eastAsia="ja-JP" w:bidi="hi-IN"/>
              </w:rPr>
              <w:t xml:space="preserve">” as per RAN1#90b agreement. This is why Option 3 has the text </w:t>
            </w:r>
            <w:r w:rsidR="00EF061D">
              <w:rPr>
                <w:rFonts w:eastAsia="Yu Mincho"/>
                <w:sz w:val="20"/>
                <w:szCs w:val="20"/>
                <w:lang w:val="en-GB" w:eastAsia="ja-JP" w:bidi="hi-IN"/>
              </w:rPr>
              <w:t>below:</w:t>
            </w:r>
          </w:p>
          <w:p w14:paraId="64C3711B" w14:textId="77777777" w:rsidR="00EF061D" w:rsidRPr="00265161" w:rsidRDefault="00EF061D" w:rsidP="00EF061D">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4D647613" w14:textId="4E00F9F3" w:rsidR="004C6B69" w:rsidRPr="00EF061D" w:rsidRDefault="00EF061D" w:rsidP="00EF061D">
            <w:pPr>
              <w:ind w:left="851" w:hanging="284"/>
              <w:jc w:val="left"/>
              <w:rPr>
                <w:rFonts w:eastAsiaTheme="minorEastAsia"/>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2212843B" w14:textId="77777777" w:rsidR="004C6B69" w:rsidRDefault="004C6B69" w:rsidP="004C6B69">
            <w:pPr>
              <w:rPr>
                <w:sz w:val="20"/>
                <w:szCs w:val="20"/>
                <w:lang w:val="en-GB" w:eastAsia="ja-JP" w:bidi="hi-IN"/>
              </w:rPr>
            </w:pPr>
          </w:p>
          <w:p w14:paraId="3B67904B" w14:textId="34BC678F" w:rsidR="004C6B69" w:rsidRPr="000A73A4" w:rsidRDefault="004C6B69" w:rsidP="004C6B69">
            <w:pPr>
              <w:rPr>
                <w:rFonts w:eastAsia="Yu Mincho"/>
                <w:b/>
                <w:bCs/>
                <w:sz w:val="20"/>
                <w:szCs w:val="20"/>
                <w:u w:val="single"/>
                <w:lang w:val="en-GB" w:eastAsia="ja-JP" w:bidi="hi-IN"/>
              </w:rPr>
            </w:pPr>
            <w:r w:rsidRPr="000A73A4">
              <w:rPr>
                <w:rFonts w:eastAsia="Yu Mincho" w:hint="eastAsia"/>
                <w:b/>
                <w:bCs/>
                <w:sz w:val="20"/>
                <w:szCs w:val="20"/>
                <w:u w:val="single"/>
                <w:lang w:val="en-GB" w:eastAsia="ja-JP" w:bidi="hi-IN"/>
              </w:rPr>
              <w:t>3</w:t>
            </w:r>
            <w:r w:rsidRPr="000A73A4">
              <w:rPr>
                <w:rFonts w:eastAsia="Yu Mincho"/>
                <w:b/>
                <w:bCs/>
                <w:sz w:val="20"/>
                <w:szCs w:val="20"/>
                <w:u w:val="single"/>
                <w:lang w:val="en-GB" w:eastAsia="ja-JP" w:bidi="hi-IN"/>
              </w:rPr>
              <w:t xml:space="preserve">) </w:t>
            </w:r>
            <w:r>
              <w:rPr>
                <w:rFonts w:eastAsia="Yu Mincho"/>
                <w:b/>
                <w:bCs/>
                <w:sz w:val="20"/>
                <w:szCs w:val="20"/>
                <w:u w:val="single"/>
                <w:lang w:val="en-GB" w:eastAsia="ja-JP" w:bidi="hi-IN"/>
              </w:rPr>
              <w:t>H</w:t>
            </w:r>
            <w:r w:rsidRPr="000A73A4">
              <w:rPr>
                <w:rFonts w:eastAsia="Yu Mincho"/>
                <w:b/>
                <w:bCs/>
                <w:sz w:val="20"/>
                <w:szCs w:val="20"/>
                <w:u w:val="single"/>
                <w:lang w:val="en-GB" w:eastAsia="ja-JP" w:bidi="hi-IN"/>
              </w:rPr>
              <w:t xml:space="preserve">andling </w:t>
            </w:r>
            <w:r w:rsidR="00B93C26">
              <w:rPr>
                <w:rFonts w:eastAsia="Yu Mincho"/>
                <w:b/>
                <w:bCs/>
                <w:sz w:val="20"/>
                <w:szCs w:val="20"/>
                <w:u w:val="single"/>
                <w:lang w:val="en-GB" w:eastAsia="ja-JP" w:bidi="hi-IN"/>
              </w:rPr>
              <w:t xml:space="preserve">LTE + NR </w:t>
            </w:r>
            <w:r w:rsidRPr="000A73A4">
              <w:rPr>
                <w:rFonts w:eastAsia="Yu Mincho"/>
                <w:b/>
                <w:bCs/>
                <w:sz w:val="20"/>
                <w:szCs w:val="20"/>
                <w:u w:val="single"/>
                <w:lang w:val="en-GB" w:eastAsia="ja-JP" w:bidi="hi-IN"/>
              </w:rPr>
              <w:t xml:space="preserve">collision if the UE is configured with </w:t>
            </w:r>
            <w:r w:rsidRPr="000A73A4">
              <w:rPr>
                <w:rFonts w:eastAsia="Yu Mincho"/>
                <w:b/>
                <w:bCs/>
                <w:i/>
                <w:iCs/>
                <w:sz w:val="20"/>
                <w:szCs w:val="20"/>
                <w:u w:val="single"/>
                <w:lang w:val="en-GB" w:eastAsia="ja-JP" w:bidi="hi-IN"/>
              </w:rPr>
              <w:t>tdm-PatternConfig-r16</w:t>
            </w:r>
          </w:p>
          <w:p w14:paraId="0F176451"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We prefer to define the UE behaviour as following: (1) the UE drops NR UL if it collides with LTE UL in the offset-UL subframes, and (2) the UE does not expect collision of NR UL with LTE UL in a subframe other than offset-UL subframes. The reason behind this is following.</w:t>
            </w:r>
          </w:p>
          <w:p w14:paraId="0F702D74" w14:textId="65E464C4" w:rsidR="004C6B69" w:rsidRDefault="00AA560B" w:rsidP="004C6B69">
            <w:pPr>
              <w:rPr>
                <w:rFonts w:eastAsia="Yu Mincho"/>
                <w:sz w:val="20"/>
                <w:szCs w:val="20"/>
                <w:lang w:val="en-GB" w:eastAsia="ja-JP" w:bidi="hi-IN"/>
              </w:rPr>
            </w:pPr>
            <w:r>
              <w:rPr>
                <w:rFonts w:eastAsia="Yu Mincho"/>
                <w:sz w:val="20"/>
                <w:szCs w:val="20"/>
                <w:lang w:val="en-GB" w:eastAsia="ja-JP" w:bidi="hi-IN"/>
              </w:rPr>
              <w:t>We propose following formulation for UE features</w:t>
            </w:r>
            <w:r w:rsidR="004C6B69">
              <w:rPr>
                <w:rFonts w:eastAsia="Yu Mincho"/>
                <w:sz w:val="20"/>
                <w:szCs w:val="20"/>
                <w:lang w:val="en-GB" w:eastAsia="ja-JP" w:bidi="hi-IN"/>
              </w:rPr>
              <w:t>:</w:t>
            </w:r>
          </w:p>
          <w:p w14:paraId="5D8C6D31" w14:textId="77777777" w:rsidR="004C6B69" w:rsidRPr="00982A36" w:rsidRDefault="004C6B69" w:rsidP="004C6B69">
            <w:pPr>
              <w:rPr>
                <w:rFonts w:eastAsia="Yu Mincho"/>
                <w:sz w:val="20"/>
                <w:szCs w:val="20"/>
                <w:u w:val="single"/>
                <w:lang w:val="en-GB" w:eastAsia="ja-JP" w:bidi="hi-IN"/>
              </w:rPr>
            </w:pPr>
            <w:r w:rsidRPr="00982A36">
              <w:rPr>
                <w:rFonts w:eastAsia="Yu Mincho"/>
                <w:sz w:val="20"/>
                <w:szCs w:val="20"/>
                <w:u w:val="single"/>
                <w:lang w:val="en-GB" w:eastAsia="ja-JP" w:bidi="hi-IN"/>
              </w:rPr>
              <w:t>Case 1: EN-DC single-Tx with TDD-PCell</w:t>
            </w:r>
          </w:p>
          <w:p w14:paraId="6F45D786"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 xml:space="preserve">For EN-DC single-Tx with TDD-PCell, we propose to define FG18-2 such that it supports EN-DC single-Tx operation using </w:t>
            </w:r>
            <w:r w:rsidRPr="00A84650">
              <w:rPr>
                <w:rFonts w:eastAsia="Yu Mincho"/>
                <w:i/>
                <w:iCs/>
                <w:sz w:val="20"/>
                <w:szCs w:val="20"/>
                <w:lang w:val="en-GB" w:eastAsia="ja-JP" w:bidi="hi-IN"/>
              </w:rPr>
              <w:t>tdm-PatternConfig-r16</w:t>
            </w:r>
            <w:r>
              <w:rPr>
                <w:rFonts w:eastAsia="Yu Mincho"/>
                <w:sz w:val="20"/>
                <w:szCs w:val="20"/>
                <w:lang w:val="en-GB" w:eastAsia="ja-JP" w:bidi="hi-IN"/>
              </w:rPr>
              <w:t xml:space="preserve"> but all LTE UL transmissions are confined within the offset-UL subframes, and FG18-3a such that it additionally supports LTE UL transmissions on subframes other than offset-UL subframes on top of FG18-2. Then for NR UL transmissions, the UE behaviour is consistent between FG18-2 and FG18-3a; the UE drops NR UL if it collides with LTE UL in a offset-UL subframes, and the UE does not expect NR UL if it collides with LTE UL in a subframe other than offset-UL subframes.</w:t>
            </w:r>
          </w:p>
          <w:p w14:paraId="656A3101" w14:textId="77777777" w:rsidR="004C6B69" w:rsidRPr="00982A36" w:rsidRDefault="004C6B69" w:rsidP="004C6B69">
            <w:pPr>
              <w:rPr>
                <w:rFonts w:eastAsia="Yu Mincho"/>
                <w:sz w:val="20"/>
                <w:szCs w:val="20"/>
                <w:u w:val="single"/>
                <w:lang w:val="en-GB" w:eastAsia="ja-JP" w:bidi="hi-IN"/>
              </w:rPr>
            </w:pPr>
            <w:r w:rsidRPr="00982A36">
              <w:rPr>
                <w:rFonts w:eastAsia="Yu Mincho" w:hint="eastAsia"/>
                <w:sz w:val="20"/>
                <w:szCs w:val="20"/>
                <w:u w:val="single"/>
                <w:lang w:val="en-GB" w:eastAsia="ja-JP" w:bidi="hi-IN"/>
              </w:rPr>
              <w:t>C</w:t>
            </w:r>
            <w:r w:rsidRPr="00982A36">
              <w:rPr>
                <w:rFonts w:eastAsia="Yu Mincho"/>
                <w:sz w:val="20"/>
                <w:szCs w:val="20"/>
                <w:u w:val="single"/>
                <w:lang w:val="en-GB" w:eastAsia="ja-JP" w:bidi="hi-IN"/>
              </w:rPr>
              <w:t>ase 2: EN-DC single-Tx with FDD-PCell</w:t>
            </w:r>
          </w:p>
          <w:p w14:paraId="35E6E0FC"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F</w:t>
            </w:r>
            <w:r>
              <w:rPr>
                <w:rFonts w:eastAsia="Yu Mincho"/>
                <w:sz w:val="20"/>
                <w:szCs w:val="20"/>
                <w:lang w:val="en-GB" w:eastAsia="ja-JP" w:bidi="hi-IN"/>
              </w:rPr>
              <w:t xml:space="preserve">or EN-DC single-Tx with FDD-PCell, there has been a FG6-13 that supports EN-DC single-Tx operation using </w:t>
            </w:r>
            <w:r w:rsidRPr="00910D9E">
              <w:rPr>
                <w:rFonts w:eastAsia="Yu Mincho"/>
                <w:i/>
                <w:iCs/>
                <w:sz w:val="20"/>
                <w:szCs w:val="20"/>
                <w:lang w:val="en-GB" w:eastAsia="ja-JP" w:bidi="hi-IN"/>
              </w:rPr>
              <w:t>tdm-PatternConfig-r15</w:t>
            </w:r>
            <w:r>
              <w:rPr>
                <w:rFonts w:eastAsia="Yu Mincho"/>
                <w:sz w:val="20"/>
                <w:szCs w:val="20"/>
                <w:lang w:val="en-GB" w:eastAsia="ja-JP" w:bidi="hi-IN"/>
              </w:rPr>
              <w:t xml:space="preserve"> but all LTE UL transmissions are confined within the offset-UL subframes. FG18-2a can work same as FG18-3a to FG18-2, i.e., if the UE supports FG18-3a, then the UE is able to transmit LTE UL on a subframe other than offset-UL subframes.</w:t>
            </w:r>
          </w:p>
          <w:p w14:paraId="7551F36B"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I</w:t>
            </w:r>
            <w:r>
              <w:rPr>
                <w:rFonts w:eastAsia="Yu Mincho"/>
                <w:sz w:val="20"/>
                <w:szCs w:val="20"/>
                <w:lang w:val="en-GB" w:eastAsia="ja-JP" w:bidi="hi-IN"/>
              </w:rPr>
              <w:t>f the clarifications of FGs as above are achieved, then there are two categories of UEs: one UE category can transmit LTE UL only within offset-UL subframes, and the other UE category can transmit LTE UL any UL subframes. The proposal “(1) the UE drops NR UL if it collides with LTE UL in the offset-UL subframes, and (2) the UE does not expect collision of NR UL with LTE UL in a subframe other than offset-UL subframes” does requires UE the common behaviour for NR side. This is why Option 3 has the text below:</w:t>
            </w:r>
          </w:p>
          <w:p w14:paraId="63F441D6" w14:textId="77777777" w:rsidR="004C6B69" w:rsidRPr="00265161" w:rsidRDefault="004C6B69" w:rsidP="004C6B69">
            <w:pPr>
              <w:ind w:left="568" w:hanging="284"/>
              <w:jc w:val="left"/>
              <w:rPr>
                <w:rFonts w:eastAsia="Yu Mincho"/>
                <w:color w:val="FF0000"/>
                <w:sz w:val="20"/>
                <w:szCs w:val="20"/>
                <w:u w:val="single"/>
              </w:rPr>
            </w:pPr>
            <w:r w:rsidRPr="00265161">
              <w:rPr>
                <w:rFonts w:eastAsia="Yu Mincho"/>
                <w:color w:val="FF0000"/>
                <w:sz w:val="20"/>
                <w:szCs w:val="20"/>
                <w:u w:val="single"/>
                <w:lang w:val="x-none"/>
              </w:rPr>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8E9339" w14:textId="77777777" w:rsidR="004C6B69" w:rsidRPr="00265161" w:rsidRDefault="004C6B69" w:rsidP="004C6B69">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74B2BB6F" w14:textId="77777777" w:rsidR="004C6B69" w:rsidRDefault="004C6B69" w:rsidP="004C6B69">
            <w:pPr>
              <w:ind w:left="851" w:hanging="284"/>
              <w:jc w:val="left"/>
              <w:rPr>
                <w:rFonts w:eastAsia="Yu Mincho"/>
                <w:sz w:val="20"/>
                <w:szCs w:val="20"/>
                <w:lang w:val="en-GB" w:eastAsia="ja-JP" w:bidi="hi-IN"/>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25F37E0" w14:textId="77777777" w:rsidR="004C6B69" w:rsidRDefault="004C6B69" w:rsidP="004C6B69">
            <w:pPr>
              <w:rPr>
                <w:sz w:val="20"/>
                <w:szCs w:val="20"/>
                <w:lang w:eastAsia="ja-JP" w:bidi="hi-IN"/>
              </w:rPr>
            </w:pPr>
          </w:p>
        </w:tc>
      </w:tr>
      <w:tr w:rsidR="00C83685" w14:paraId="58EF6147" w14:textId="77777777" w:rsidTr="004C6B69">
        <w:tc>
          <w:tcPr>
            <w:tcW w:w="985" w:type="dxa"/>
          </w:tcPr>
          <w:p w14:paraId="2372170D" w14:textId="62D4A84E" w:rsidR="00C83685" w:rsidRDefault="00C83685" w:rsidP="004C6B69">
            <w:pPr>
              <w:rPr>
                <w:rFonts w:eastAsia="Yu Mincho"/>
                <w:sz w:val="20"/>
                <w:szCs w:val="20"/>
                <w:lang w:eastAsia="ja-JP" w:bidi="hi-IN"/>
              </w:rPr>
            </w:pPr>
            <w:r>
              <w:rPr>
                <w:rFonts w:eastAsia="Yu Mincho"/>
                <w:sz w:val="20"/>
                <w:szCs w:val="20"/>
                <w:lang w:eastAsia="ja-JP" w:bidi="hi-IN"/>
              </w:rPr>
              <w:lastRenderedPageBreak/>
              <w:t>Ericsson</w:t>
            </w:r>
          </w:p>
        </w:tc>
        <w:tc>
          <w:tcPr>
            <w:tcW w:w="8644" w:type="dxa"/>
          </w:tcPr>
          <w:p w14:paraId="0EA47959" w14:textId="1D9FA739" w:rsidR="00C83685" w:rsidRDefault="003B49B6" w:rsidP="004C6B69">
            <w:pPr>
              <w:rPr>
                <w:rFonts w:eastAsiaTheme="minorEastAsia"/>
                <w:sz w:val="20"/>
                <w:szCs w:val="20"/>
                <w:lang w:bidi="hi-IN"/>
              </w:rPr>
            </w:pPr>
            <w:r w:rsidRPr="00C83685">
              <w:rPr>
                <w:rFonts w:eastAsiaTheme="minorEastAsia"/>
                <w:sz w:val="20"/>
                <w:szCs w:val="20"/>
                <w:lang w:bidi="hi-IN"/>
              </w:rPr>
              <w:t>NW ha</w:t>
            </w:r>
            <w:r>
              <w:rPr>
                <w:rFonts w:eastAsiaTheme="minorEastAsia"/>
                <w:sz w:val="20"/>
                <w:szCs w:val="20"/>
                <w:lang w:bidi="hi-IN"/>
              </w:rPr>
              <w:t xml:space="preserve">s </w:t>
            </w:r>
            <w:r w:rsidRPr="00C83685">
              <w:rPr>
                <w:rFonts w:eastAsiaTheme="minorEastAsia"/>
                <w:sz w:val="20"/>
                <w:szCs w:val="20"/>
                <w:lang w:bidi="hi-IN"/>
              </w:rPr>
              <w:t xml:space="preserve">to know </w:t>
            </w:r>
            <w:r>
              <w:rPr>
                <w:rFonts w:eastAsiaTheme="minorEastAsia"/>
                <w:sz w:val="20"/>
                <w:szCs w:val="20"/>
                <w:lang w:bidi="hi-IN"/>
              </w:rPr>
              <w:t xml:space="preserve">whether </w:t>
            </w:r>
            <w:r w:rsidRPr="00C83685">
              <w:rPr>
                <w:rFonts w:eastAsiaTheme="minorEastAsia"/>
                <w:sz w:val="20"/>
                <w:szCs w:val="20"/>
                <w:lang w:bidi="hi-IN"/>
              </w:rPr>
              <w:t xml:space="preserve">UE supports </w:t>
            </w:r>
            <w:r w:rsidR="00E05D11">
              <w:rPr>
                <w:rFonts w:eastAsiaTheme="minorEastAsia"/>
                <w:sz w:val="20"/>
                <w:szCs w:val="20"/>
                <w:lang w:bidi="hi-IN"/>
              </w:rPr>
              <w:t>corresponding</w:t>
            </w:r>
            <w:r>
              <w:rPr>
                <w:rFonts w:eastAsiaTheme="minorEastAsia"/>
                <w:sz w:val="20"/>
                <w:szCs w:val="20"/>
                <w:lang w:bidi="hi-IN"/>
              </w:rPr>
              <w:t xml:space="preserve"> behavior </w:t>
            </w:r>
            <w:r w:rsidRPr="00C83685">
              <w:rPr>
                <w:rFonts w:eastAsiaTheme="minorEastAsia"/>
                <w:sz w:val="20"/>
                <w:szCs w:val="20"/>
                <w:lang w:bidi="hi-IN"/>
              </w:rPr>
              <w:t xml:space="preserve">before it can configure </w:t>
            </w:r>
            <w:r w:rsidR="00E05D11">
              <w:rPr>
                <w:rFonts w:eastAsiaTheme="minorEastAsia"/>
                <w:sz w:val="20"/>
                <w:szCs w:val="20"/>
                <w:lang w:bidi="hi-IN"/>
              </w:rPr>
              <w:t xml:space="preserve">the parameter </w:t>
            </w:r>
            <w:r w:rsidRPr="00C83685">
              <w:rPr>
                <w:rFonts w:eastAsiaTheme="minorEastAsia"/>
                <w:sz w:val="20"/>
                <w:szCs w:val="20"/>
                <w:lang w:bidi="hi-IN"/>
              </w:rPr>
              <w:t>for the UE</w:t>
            </w:r>
            <w:r>
              <w:rPr>
                <w:rFonts w:eastAsiaTheme="minorEastAsia"/>
                <w:sz w:val="20"/>
                <w:szCs w:val="20"/>
                <w:lang w:bidi="hi-IN"/>
              </w:rPr>
              <w:t xml:space="preserve">. This is determined by capability signaling. </w:t>
            </w:r>
            <w:r w:rsidR="00C83685">
              <w:rPr>
                <w:rFonts w:eastAsiaTheme="minorEastAsia"/>
                <w:sz w:val="20"/>
                <w:szCs w:val="20"/>
                <w:lang w:bidi="hi-IN"/>
              </w:rPr>
              <w:t xml:space="preserve"> </w:t>
            </w:r>
            <w:r>
              <w:rPr>
                <w:rFonts w:eastAsiaTheme="minorEastAsia"/>
                <w:sz w:val="20"/>
                <w:szCs w:val="20"/>
                <w:lang w:bidi="hi-IN"/>
              </w:rPr>
              <w:t>S</w:t>
            </w:r>
            <w:r w:rsidR="00C83685">
              <w:rPr>
                <w:rFonts w:eastAsiaTheme="minorEastAsia"/>
                <w:sz w:val="20"/>
                <w:szCs w:val="20"/>
                <w:lang w:bidi="hi-IN"/>
              </w:rPr>
              <w:t>pecifically</w:t>
            </w:r>
          </w:p>
          <w:p w14:paraId="432C9783" w14:textId="3DB38675" w:rsidR="00C83685" w:rsidRDefault="00E05D11" w:rsidP="00C83685">
            <w:pPr>
              <w:pStyle w:val="a"/>
              <w:numPr>
                <w:ilvl w:val="0"/>
                <w:numId w:val="30"/>
              </w:numPr>
              <w:rPr>
                <w:rFonts w:eastAsiaTheme="minorEastAsia"/>
                <w:sz w:val="20"/>
                <w:szCs w:val="20"/>
              </w:rPr>
            </w:pPr>
            <w:r w:rsidRPr="00E05D11">
              <w:rPr>
                <w:rFonts w:eastAsiaTheme="minorEastAsia"/>
                <w:sz w:val="20"/>
                <w:szCs w:val="20"/>
              </w:rPr>
              <w:lastRenderedPageBreak/>
              <w:t>For</w:t>
            </w:r>
            <w:r>
              <w:rPr>
                <w:rFonts w:eastAsiaTheme="minorEastAsia"/>
                <w:i/>
                <w:iCs/>
                <w:sz w:val="20"/>
                <w:szCs w:val="20"/>
              </w:rPr>
              <w:t xml:space="preserve"> </w:t>
            </w:r>
            <w:r w:rsidR="00C83685" w:rsidRPr="003B49B6">
              <w:rPr>
                <w:rFonts w:eastAsiaTheme="minorEastAsia"/>
                <w:i/>
                <w:iCs/>
                <w:sz w:val="20"/>
                <w:szCs w:val="20"/>
              </w:rPr>
              <w:t>tdm-PatternConfig-r15</w:t>
            </w:r>
            <w:r w:rsidR="00C83685" w:rsidRPr="00C83685">
              <w:rPr>
                <w:rFonts w:eastAsiaTheme="minorEastAsia"/>
                <w:sz w:val="20"/>
                <w:szCs w:val="20"/>
              </w:rPr>
              <w:t xml:space="preserve"> </w:t>
            </w:r>
            <w:r w:rsidR="00C83685" w:rsidRPr="00C83685">
              <w:sym w:font="Wingdings" w:char="F0E0"/>
            </w:r>
            <w:r w:rsidR="00C83685" w:rsidRPr="00C83685">
              <w:rPr>
                <w:rFonts w:eastAsiaTheme="minorEastAsia"/>
                <w:sz w:val="20"/>
                <w:szCs w:val="20"/>
              </w:rPr>
              <w:t xml:space="preserve"> </w:t>
            </w:r>
            <w:r w:rsidR="003B49B6">
              <w:rPr>
                <w:rFonts w:eastAsiaTheme="minorEastAsia"/>
                <w:sz w:val="20"/>
                <w:szCs w:val="20"/>
              </w:rPr>
              <w:t xml:space="preserve">NW </w:t>
            </w:r>
            <w:r w:rsidR="00C83685" w:rsidRPr="00C83685">
              <w:rPr>
                <w:rFonts w:eastAsiaTheme="minorEastAsia"/>
                <w:sz w:val="20"/>
                <w:szCs w:val="20"/>
              </w:rPr>
              <w:t>know</w:t>
            </w:r>
            <w:r w:rsidR="00C83685">
              <w:rPr>
                <w:rFonts w:eastAsiaTheme="minorEastAsia"/>
                <w:sz w:val="20"/>
                <w:szCs w:val="20"/>
              </w:rPr>
              <w:t>s</w:t>
            </w:r>
            <w:r w:rsidR="00C83685" w:rsidRPr="00C83685">
              <w:rPr>
                <w:rFonts w:eastAsiaTheme="minorEastAsia"/>
                <w:sz w:val="20"/>
                <w:szCs w:val="20"/>
              </w:rPr>
              <w:t xml:space="preserve"> via </w:t>
            </w:r>
            <w:r w:rsidR="00C83685" w:rsidRPr="003B49B6">
              <w:rPr>
                <w:rFonts w:eastAsiaTheme="minorEastAsia"/>
                <w:i/>
                <w:iCs/>
                <w:sz w:val="20"/>
                <w:szCs w:val="20"/>
              </w:rPr>
              <w:t>tdm-Pattern</w:t>
            </w:r>
            <w:r w:rsidR="00C83685" w:rsidRPr="00C83685">
              <w:rPr>
                <w:rFonts w:eastAsiaTheme="minorEastAsia"/>
                <w:sz w:val="20"/>
                <w:szCs w:val="20"/>
              </w:rPr>
              <w:t xml:space="preserve"> UE capability</w:t>
            </w:r>
            <w:r w:rsidR="00C83685">
              <w:rPr>
                <w:rFonts w:eastAsiaTheme="minorEastAsia"/>
                <w:sz w:val="20"/>
                <w:szCs w:val="20"/>
              </w:rPr>
              <w:t xml:space="preserve"> </w:t>
            </w:r>
            <w:r w:rsidR="003B49B6">
              <w:rPr>
                <w:rFonts w:eastAsiaTheme="minorEastAsia"/>
                <w:sz w:val="20"/>
                <w:szCs w:val="20"/>
              </w:rPr>
              <w:t>indication</w:t>
            </w:r>
          </w:p>
          <w:p w14:paraId="1811A083" w14:textId="3D2313CE" w:rsidR="00C83685" w:rsidRPr="00542477" w:rsidRDefault="00CB3C3B" w:rsidP="0071007F">
            <w:pPr>
              <w:pStyle w:val="a"/>
              <w:numPr>
                <w:ilvl w:val="0"/>
                <w:numId w:val="30"/>
              </w:numPr>
              <w:rPr>
                <w:rFonts w:eastAsia="Yu Mincho"/>
                <w:sz w:val="20"/>
                <w:szCs w:val="20"/>
              </w:rPr>
            </w:pPr>
            <w:r w:rsidRPr="00542477">
              <w:rPr>
                <w:rFonts w:eastAsiaTheme="minorEastAsia"/>
                <w:sz w:val="20"/>
                <w:szCs w:val="20"/>
              </w:rPr>
              <w:t>For</w:t>
            </w:r>
            <w:r w:rsidRPr="00542477">
              <w:rPr>
                <w:rFonts w:eastAsiaTheme="minorEastAsia"/>
                <w:i/>
                <w:iCs/>
                <w:sz w:val="20"/>
                <w:szCs w:val="20"/>
              </w:rPr>
              <w:t xml:space="preserve"> tdm-PatternConfig-r16</w:t>
            </w:r>
            <w:r w:rsidRPr="00542477">
              <w:rPr>
                <w:rFonts w:eastAsiaTheme="minorEastAsia"/>
                <w:sz w:val="20"/>
                <w:szCs w:val="20"/>
              </w:rPr>
              <w:t xml:space="preserve"> </w:t>
            </w:r>
            <w:r w:rsidRPr="00C83685">
              <w:sym w:font="Wingdings" w:char="F0E0"/>
            </w:r>
            <w:r w:rsidRPr="00542477">
              <w:rPr>
                <w:rFonts w:eastAsiaTheme="minorEastAsia"/>
                <w:sz w:val="20"/>
                <w:szCs w:val="20"/>
              </w:rPr>
              <w:t xml:space="preserve"> </w:t>
            </w:r>
            <w:r w:rsidR="004644C0" w:rsidRPr="00542477">
              <w:rPr>
                <w:rFonts w:eastAsiaTheme="minorEastAsia"/>
                <w:sz w:val="20"/>
                <w:szCs w:val="20"/>
              </w:rPr>
              <w:t>UE capabilities are still being discussed</w:t>
            </w:r>
          </w:p>
          <w:p w14:paraId="6AEB1E1E" w14:textId="20BD4520" w:rsidR="00C83685" w:rsidRDefault="00C83685" w:rsidP="004C6B69">
            <w:pPr>
              <w:rPr>
                <w:rFonts w:eastAsia="Yu Mincho"/>
                <w:sz w:val="20"/>
                <w:szCs w:val="20"/>
                <w:lang w:eastAsia="ja-JP" w:bidi="hi-IN"/>
              </w:rPr>
            </w:pPr>
          </w:p>
        </w:tc>
      </w:tr>
      <w:tr w:rsidR="00004039" w14:paraId="6196FF37" w14:textId="77777777" w:rsidTr="00004039">
        <w:tc>
          <w:tcPr>
            <w:tcW w:w="985" w:type="dxa"/>
          </w:tcPr>
          <w:p w14:paraId="6AA5D878" w14:textId="126E81E1" w:rsidR="00004039" w:rsidRPr="00004039" w:rsidRDefault="00004039" w:rsidP="00004039">
            <w:pPr>
              <w:rPr>
                <w:rFonts w:eastAsia="맑은 고딕"/>
                <w:sz w:val="20"/>
                <w:szCs w:val="20"/>
                <w:lang w:eastAsia="ko-KR" w:bidi="hi-IN"/>
              </w:rPr>
            </w:pPr>
            <w:r>
              <w:rPr>
                <w:rFonts w:eastAsia="맑은 고딕" w:hint="eastAsia"/>
                <w:sz w:val="20"/>
                <w:szCs w:val="20"/>
                <w:lang w:eastAsia="ko-KR" w:bidi="hi-IN"/>
              </w:rPr>
              <w:lastRenderedPageBreak/>
              <w:t>Samsung</w:t>
            </w:r>
          </w:p>
        </w:tc>
        <w:tc>
          <w:tcPr>
            <w:tcW w:w="8644" w:type="dxa"/>
          </w:tcPr>
          <w:p w14:paraId="776E67F4" w14:textId="0D5868F6" w:rsidR="00004039" w:rsidRPr="00C83685" w:rsidRDefault="00166A2E" w:rsidP="00166A2E">
            <w:pPr>
              <w:rPr>
                <w:rFonts w:eastAsiaTheme="minorEastAsia"/>
                <w:sz w:val="20"/>
                <w:szCs w:val="20"/>
                <w:lang w:bidi="hi-IN"/>
              </w:rPr>
            </w:pPr>
            <w:r>
              <w:rPr>
                <w:rFonts w:eastAsiaTheme="minorEastAsia"/>
                <w:sz w:val="20"/>
                <w:szCs w:val="20"/>
                <w:lang w:bidi="hi-IN"/>
              </w:rPr>
              <w:t>Yes. T</w:t>
            </w:r>
            <w:r w:rsidR="00004039">
              <w:rPr>
                <w:rFonts w:eastAsiaTheme="minorEastAsia"/>
                <w:sz w:val="20"/>
                <w:szCs w:val="20"/>
                <w:lang w:bidi="hi-IN"/>
              </w:rPr>
              <w:t xml:space="preserve">here are </w:t>
            </w:r>
            <w:r w:rsidR="00004039" w:rsidRPr="00004039">
              <w:rPr>
                <w:rFonts w:eastAsiaTheme="minorEastAsia"/>
                <w:sz w:val="20"/>
                <w:szCs w:val="20"/>
                <w:lang w:bidi="hi-IN"/>
              </w:rPr>
              <w:t>other case</w:t>
            </w:r>
            <w:r w:rsidR="00004039">
              <w:rPr>
                <w:rFonts w:eastAsiaTheme="minorEastAsia"/>
                <w:sz w:val="20"/>
                <w:szCs w:val="20"/>
                <w:lang w:bidi="hi-IN"/>
              </w:rPr>
              <w:t>s</w:t>
            </w:r>
            <w:r w:rsidR="00004039" w:rsidRPr="00004039">
              <w:rPr>
                <w:rFonts w:eastAsiaTheme="minorEastAsia"/>
                <w:sz w:val="20"/>
                <w:szCs w:val="20"/>
                <w:lang w:bidi="hi-IN"/>
              </w:rPr>
              <w:t xml:space="preserve"> where network can configure a UE with </w:t>
            </w:r>
            <w:r w:rsidR="00004039" w:rsidRPr="00004039">
              <w:rPr>
                <w:rFonts w:eastAsiaTheme="minorEastAsia"/>
                <w:i/>
                <w:sz w:val="20"/>
                <w:szCs w:val="20"/>
                <w:lang w:bidi="hi-IN"/>
              </w:rPr>
              <w:t xml:space="preserve">tdm-PatternConfig-r16 </w:t>
            </w:r>
            <w:r w:rsidR="00004039">
              <w:rPr>
                <w:rFonts w:eastAsiaTheme="minorEastAsia"/>
                <w:sz w:val="20"/>
                <w:szCs w:val="20"/>
                <w:lang w:bidi="hi-IN"/>
              </w:rPr>
              <w:t xml:space="preserve">which can be justified by the wording “the feature is optional otherwise” in </w:t>
            </w:r>
            <w:r w:rsidR="00004039" w:rsidRPr="00004039">
              <w:rPr>
                <w:rFonts w:eastAsiaTheme="minorEastAsia"/>
                <w:i/>
                <w:sz w:val="20"/>
                <w:szCs w:val="20"/>
                <w:lang w:bidi="hi-IN"/>
              </w:rPr>
              <w:t>tdm-Pattern</w:t>
            </w:r>
            <w:r w:rsidR="00004039">
              <w:rPr>
                <w:rFonts w:eastAsiaTheme="minorEastAsia"/>
                <w:sz w:val="20"/>
                <w:szCs w:val="20"/>
                <w:lang w:bidi="hi-IN"/>
              </w:rPr>
              <w:t xml:space="preserve"> highlighted by ZTE. </w:t>
            </w:r>
          </w:p>
        </w:tc>
      </w:tr>
    </w:tbl>
    <w:p w14:paraId="07E68F79" w14:textId="331AB939" w:rsidR="00DA132A" w:rsidRDefault="00DA132A" w:rsidP="00E82C7D">
      <w:pPr>
        <w:rPr>
          <w:sz w:val="20"/>
          <w:szCs w:val="20"/>
          <w:lang w:eastAsia="ja-JP" w:bidi="hi-IN"/>
        </w:rPr>
      </w:pPr>
    </w:p>
    <w:p w14:paraId="23409640" w14:textId="7FD0E738" w:rsidR="00DA132A" w:rsidRDefault="00DA132A" w:rsidP="00E82C7D">
      <w:pPr>
        <w:rPr>
          <w:sz w:val="20"/>
          <w:szCs w:val="20"/>
          <w:lang w:eastAsia="ja-JP" w:bidi="hi-IN"/>
        </w:rPr>
      </w:pPr>
    </w:p>
    <w:p w14:paraId="0C43449C" w14:textId="0BABD27E" w:rsidR="00DA132A" w:rsidRDefault="00DA132A" w:rsidP="00E82C7D">
      <w:pPr>
        <w:rPr>
          <w:sz w:val="20"/>
          <w:szCs w:val="20"/>
          <w:lang w:eastAsia="ja-JP" w:bidi="hi-IN"/>
        </w:rPr>
      </w:pPr>
    </w:p>
    <w:p w14:paraId="335F16D8" w14:textId="77777777" w:rsidR="00DA132A" w:rsidRPr="00DA132A" w:rsidRDefault="00DA132A" w:rsidP="00DA132A">
      <w:pPr>
        <w:numPr>
          <w:ilvl w:val="0"/>
          <w:numId w:val="32"/>
        </w:numPr>
        <w:rPr>
          <w:b/>
          <w:bCs/>
          <w:sz w:val="20"/>
          <w:szCs w:val="20"/>
          <w:lang w:eastAsia="ja-JP" w:bidi="hi-IN"/>
        </w:rPr>
      </w:pPr>
      <w:r w:rsidRPr="00DA132A">
        <w:rPr>
          <w:b/>
          <w:bCs/>
          <w:sz w:val="20"/>
          <w:szCs w:val="20"/>
          <w:lang w:eastAsia="ja-JP" w:bidi="hi-IN"/>
        </w:rPr>
        <w:t>Q1-2: Which of the 3 proposed TPs are accept </w:t>
      </w:r>
    </w:p>
    <w:p w14:paraId="61FC1F3A" w14:textId="77777777" w:rsidR="00DA132A" w:rsidRPr="00DA132A" w:rsidRDefault="00DA132A" w:rsidP="00DA132A">
      <w:pPr>
        <w:rPr>
          <w:sz w:val="20"/>
          <w:szCs w:val="20"/>
          <w:lang w:eastAsia="ja-JP" w:bidi="hi-IN"/>
        </w:rPr>
      </w:pPr>
    </w:p>
    <w:tbl>
      <w:tblPr>
        <w:tblStyle w:val="ae"/>
        <w:tblW w:w="0" w:type="auto"/>
        <w:tblLook w:val="04A0" w:firstRow="1" w:lastRow="0" w:firstColumn="1" w:lastColumn="0" w:noHBand="0" w:noVBand="1"/>
      </w:tblPr>
      <w:tblGrid>
        <w:gridCol w:w="1435"/>
        <w:gridCol w:w="8194"/>
      </w:tblGrid>
      <w:tr w:rsidR="00DA132A" w14:paraId="630DB5C5" w14:textId="77777777" w:rsidTr="006A334D">
        <w:tc>
          <w:tcPr>
            <w:tcW w:w="1435" w:type="dxa"/>
          </w:tcPr>
          <w:p w14:paraId="7D786AE0"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0FA90ABD" w14:textId="77777777" w:rsidR="00DA132A" w:rsidRDefault="00DA132A" w:rsidP="006A334D">
            <w:pPr>
              <w:rPr>
                <w:sz w:val="20"/>
                <w:szCs w:val="20"/>
                <w:lang w:eastAsia="ja-JP" w:bidi="hi-IN"/>
              </w:rPr>
            </w:pPr>
            <w:r>
              <w:rPr>
                <w:sz w:val="20"/>
                <w:szCs w:val="20"/>
                <w:lang w:eastAsia="ja-JP" w:bidi="hi-IN"/>
              </w:rPr>
              <w:t>Comments</w:t>
            </w:r>
          </w:p>
        </w:tc>
      </w:tr>
      <w:tr w:rsidR="00DA132A" w14:paraId="01E6E131" w14:textId="77777777" w:rsidTr="006A334D">
        <w:tc>
          <w:tcPr>
            <w:tcW w:w="1435" w:type="dxa"/>
          </w:tcPr>
          <w:p w14:paraId="200340DA" w14:textId="758DBE4B" w:rsidR="00DA132A" w:rsidRPr="00BD0E3C" w:rsidRDefault="00BD0E3C"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B6A8223" w14:textId="377D2F01" w:rsidR="00820F31" w:rsidRDefault="00820F31" w:rsidP="00BD0E3C">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e prefer Option1.</w:t>
            </w:r>
          </w:p>
          <w:p w14:paraId="147EB808" w14:textId="0B8CA187" w:rsidR="00BD0E3C" w:rsidRDefault="00BD0E3C" w:rsidP="00BD0E3C">
            <w:pPr>
              <w:rPr>
                <w:rFonts w:eastAsiaTheme="minorEastAsia"/>
                <w:sz w:val="20"/>
                <w:szCs w:val="20"/>
                <w:lang w:bidi="hi-IN"/>
              </w:rPr>
            </w:pPr>
            <w:r>
              <w:rPr>
                <w:rFonts w:eastAsiaTheme="minorEastAsia"/>
                <w:sz w:val="20"/>
                <w:szCs w:val="20"/>
                <w:lang w:bidi="hi-IN"/>
              </w:rPr>
              <w:t xml:space="preserve">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our understanding is that this UE should be regarded as a “dual Tx” UE. </w:t>
            </w:r>
          </w:p>
          <w:p w14:paraId="37DBAF75" w14:textId="7C9D47F5" w:rsidR="00DA132A" w:rsidRPr="006A334D" w:rsidRDefault="006A334D" w:rsidP="00684D09">
            <w:pPr>
              <w:rPr>
                <w:rFonts w:eastAsiaTheme="minorEastAsia"/>
                <w:sz w:val="20"/>
                <w:szCs w:val="20"/>
                <w:lang w:bidi="hi-IN"/>
              </w:rPr>
            </w:pPr>
            <w:r>
              <w:rPr>
                <w:rFonts w:eastAsiaTheme="minorEastAsia"/>
                <w:sz w:val="20"/>
                <w:szCs w:val="20"/>
                <w:lang w:bidi="hi-IN"/>
              </w:rPr>
              <w:t>Seems like two issues are mixed up in Option3. We prefer to separate the discussion o</w:t>
            </w:r>
            <w:r w:rsidR="00684D09">
              <w:rPr>
                <w:rFonts w:eastAsiaTheme="minorEastAsia"/>
                <w:sz w:val="20"/>
                <w:szCs w:val="20"/>
                <w:lang w:bidi="hi-IN"/>
              </w:rPr>
              <w:t>f</w:t>
            </w:r>
            <w:r>
              <w:rPr>
                <w:rFonts w:eastAsiaTheme="minorEastAsia"/>
                <w:sz w:val="20"/>
                <w:szCs w:val="20"/>
                <w:lang w:bidi="hi-IN"/>
              </w:rPr>
              <w:t xml:space="preserve"> “</w:t>
            </w:r>
            <w:r w:rsidR="00684D09" w:rsidRPr="00684D09">
              <w:rPr>
                <w:rFonts w:eastAsiaTheme="minorEastAsia"/>
                <w:sz w:val="20"/>
                <w:szCs w:val="20"/>
                <w:lang w:bidi="hi-IN"/>
              </w:rPr>
              <w:t>not expect to be configured or indicated to transmit</w:t>
            </w:r>
            <w:r>
              <w:rPr>
                <w:rFonts w:eastAsiaTheme="minorEastAsia"/>
                <w:sz w:val="20"/>
                <w:szCs w:val="20"/>
                <w:lang w:bidi="hi-IN"/>
              </w:rPr>
              <w:t>”</w:t>
            </w:r>
            <w:r w:rsidR="00684D09">
              <w:rPr>
                <w:rFonts w:eastAsiaTheme="minorEastAsia"/>
                <w:sz w:val="20"/>
                <w:szCs w:val="20"/>
                <w:lang w:bidi="hi-IN"/>
              </w:rPr>
              <w:t>.</w:t>
            </w:r>
          </w:p>
        </w:tc>
      </w:tr>
      <w:tr w:rsidR="00DA132A" w14:paraId="2FB496C7" w14:textId="77777777" w:rsidTr="006A334D">
        <w:tc>
          <w:tcPr>
            <w:tcW w:w="1435" w:type="dxa"/>
          </w:tcPr>
          <w:p w14:paraId="1159C56F" w14:textId="1E3744AB" w:rsidR="00DA132A" w:rsidRDefault="00531639" w:rsidP="006A334D">
            <w:pPr>
              <w:rPr>
                <w:sz w:val="20"/>
                <w:szCs w:val="20"/>
                <w:lang w:eastAsia="ja-JP" w:bidi="hi-IN"/>
              </w:rPr>
            </w:pPr>
            <w:r>
              <w:rPr>
                <w:sz w:val="20"/>
                <w:szCs w:val="20"/>
                <w:lang w:eastAsia="ja-JP" w:bidi="hi-IN"/>
              </w:rPr>
              <w:t>Apple</w:t>
            </w:r>
          </w:p>
        </w:tc>
        <w:tc>
          <w:tcPr>
            <w:tcW w:w="8194" w:type="dxa"/>
          </w:tcPr>
          <w:p w14:paraId="3BF7E262" w14:textId="7F052ED1" w:rsidR="00DA132A" w:rsidRDefault="00531639" w:rsidP="006A334D">
            <w:pPr>
              <w:rPr>
                <w:sz w:val="20"/>
                <w:szCs w:val="20"/>
                <w:lang w:eastAsia="ja-JP" w:bidi="hi-IN"/>
              </w:rPr>
            </w:pPr>
            <w:r>
              <w:rPr>
                <w:sz w:val="20"/>
                <w:szCs w:val="20"/>
                <w:lang w:eastAsia="ja-JP" w:bidi="hi-IN"/>
              </w:rPr>
              <w:t>TP1 is preferred. It’s clearer and no confusion.</w:t>
            </w:r>
          </w:p>
        </w:tc>
      </w:tr>
      <w:tr w:rsidR="00DA132A" w14:paraId="3926C28A" w14:textId="77777777" w:rsidTr="006A334D">
        <w:tc>
          <w:tcPr>
            <w:tcW w:w="1435" w:type="dxa"/>
          </w:tcPr>
          <w:p w14:paraId="3E092D94" w14:textId="18EDFF1A" w:rsidR="00DA132A" w:rsidRDefault="00703E70" w:rsidP="006A334D">
            <w:pPr>
              <w:rPr>
                <w:sz w:val="20"/>
                <w:szCs w:val="20"/>
                <w:lang w:eastAsia="ja-JP" w:bidi="hi-IN"/>
              </w:rPr>
            </w:pPr>
            <w:r>
              <w:rPr>
                <w:sz w:val="20"/>
                <w:szCs w:val="20"/>
                <w:lang w:eastAsia="ja-JP" w:bidi="hi-IN"/>
              </w:rPr>
              <w:t>MTK</w:t>
            </w:r>
          </w:p>
        </w:tc>
        <w:tc>
          <w:tcPr>
            <w:tcW w:w="8194" w:type="dxa"/>
          </w:tcPr>
          <w:p w14:paraId="01266614" w14:textId="5C13CE17" w:rsidR="00DA132A" w:rsidRDefault="00703E70" w:rsidP="006A334D">
            <w:pPr>
              <w:rPr>
                <w:sz w:val="20"/>
                <w:szCs w:val="20"/>
                <w:lang w:eastAsia="ja-JP" w:bidi="hi-IN"/>
              </w:rPr>
            </w:pPr>
            <w:r>
              <w:rPr>
                <w:sz w:val="20"/>
                <w:szCs w:val="20"/>
                <w:lang w:eastAsia="ja-JP" w:bidi="hi-IN"/>
              </w:rPr>
              <w:t>To our understanding, “</w:t>
            </w:r>
            <w:r w:rsidRPr="00A91529">
              <w:rPr>
                <w:sz w:val="20"/>
                <w:szCs w:val="20"/>
                <w:u w:val="single"/>
                <w:lang w:eastAsia="ja-JP" w:bidi="hi-IN"/>
              </w:rPr>
              <w:t>UE does not transmit on the SCG in FR1 when the UE has overlapped transmission on a subframe on the MCG (LTE)</w:t>
            </w:r>
            <w:r>
              <w:rPr>
                <w:sz w:val="20"/>
                <w:szCs w:val="20"/>
                <w:lang w:eastAsia="ja-JP" w:bidi="hi-IN"/>
              </w:rPr>
              <w:t xml:space="preserve">” only holds when </w:t>
            </w:r>
            <w:r w:rsidRPr="00531D5E">
              <w:rPr>
                <w:b/>
                <w:sz w:val="20"/>
                <w:szCs w:val="20"/>
                <w:lang w:eastAsia="ja-JP" w:bidi="hi-IN"/>
              </w:rPr>
              <w:t xml:space="preserve">UE indicates </w:t>
            </w:r>
            <w:r w:rsidRPr="00531D5E">
              <w:rPr>
                <w:rFonts w:eastAsiaTheme="minorEastAsia"/>
                <w:b/>
                <w:sz w:val="20"/>
                <w:szCs w:val="20"/>
                <w:lang w:bidi="hi-IN"/>
              </w:rPr>
              <w:t>singleUL-Transmission</w:t>
            </w:r>
            <w:r>
              <w:rPr>
                <w:sz w:val="20"/>
                <w:szCs w:val="20"/>
                <w:lang w:eastAsia="ja-JP" w:bidi="hi-IN"/>
              </w:rPr>
              <w:t>. Hence, we prefer Option 1 or Option 3.</w:t>
            </w:r>
          </w:p>
        </w:tc>
      </w:tr>
      <w:tr w:rsidR="00DA132A" w14:paraId="4FFCC064" w14:textId="77777777" w:rsidTr="006A334D">
        <w:tc>
          <w:tcPr>
            <w:tcW w:w="1435" w:type="dxa"/>
          </w:tcPr>
          <w:p w14:paraId="1F020798" w14:textId="3E376516" w:rsidR="00DA132A" w:rsidRPr="00E844C3" w:rsidRDefault="00E844C3"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2BEA20E5" w14:textId="5B70431A" w:rsidR="00DA132A" w:rsidRPr="00E844C3" w:rsidRDefault="00E844C3" w:rsidP="006A334D">
            <w:pPr>
              <w:rPr>
                <w:rFonts w:eastAsiaTheme="minorEastAsia"/>
                <w:sz w:val="20"/>
                <w:szCs w:val="20"/>
                <w:lang w:bidi="hi-IN"/>
              </w:rPr>
            </w:pPr>
            <w:r>
              <w:rPr>
                <w:rFonts w:eastAsiaTheme="minorEastAsia"/>
                <w:sz w:val="20"/>
                <w:szCs w:val="20"/>
                <w:lang w:bidi="hi-IN"/>
              </w:rPr>
              <w:t xml:space="preserve">Only </w:t>
            </w:r>
            <w:r>
              <w:rPr>
                <w:rFonts w:eastAsiaTheme="minorEastAsia" w:hint="eastAsia"/>
                <w:sz w:val="20"/>
                <w:szCs w:val="20"/>
                <w:lang w:bidi="hi-IN"/>
              </w:rPr>
              <w:t>O</w:t>
            </w:r>
            <w:r>
              <w:rPr>
                <w:rFonts w:eastAsiaTheme="minorEastAsia"/>
                <w:sz w:val="20"/>
                <w:szCs w:val="20"/>
                <w:lang w:bidi="hi-IN"/>
              </w:rPr>
              <w:t>ption 2 is in line with agreements.</w:t>
            </w:r>
          </w:p>
        </w:tc>
      </w:tr>
      <w:tr w:rsidR="00DA132A" w14:paraId="47FEF5F7" w14:textId="77777777" w:rsidTr="006A334D">
        <w:tc>
          <w:tcPr>
            <w:tcW w:w="1435" w:type="dxa"/>
          </w:tcPr>
          <w:p w14:paraId="2E6D95F2" w14:textId="68710094"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3D1E21AE" w14:textId="5080D637"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O</w:t>
            </w:r>
            <w:r>
              <w:rPr>
                <w:rFonts w:eastAsia="Yu Mincho"/>
                <w:sz w:val="20"/>
                <w:szCs w:val="20"/>
                <w:lang w:eastAsia="ja-JP" w:bidi="hi-IN"/>
              </w:rPr>
              <w:t>ption 3.</w:t>
            </w:r>
          </w:p>
        </w:tc>
      </w:tr>
      <w:tr w:rsidR="00C83685" w14:paraId="2406BDEC" w14:textId="77777777" w:rsidTr="006A334D">
        <w:tc>
          <w:tcPr>
            <w:tcW w:w="1435" w:type="dxa"/>
          </w:tcPr>
          <w:p w14:paraId="590BEE59" w14:textId="270BBEAC" w:rsidR="00C83685" w:rsidRDefault="004644C0" w:rsidP="006A334D">
            <w:pPr>
              <w:rPr>
                <w:rFonts w:eastAsia="Yu Mincho"/>
                <w:sz w:val="20"/>
                <w:szCs w:val="20"/>
                <w:lang w:eastAsia="ja-JP" w:bidi="hi-IN"/>
              </w:rPr>
            </w:pPr>
            <w:r>
              <w:rPr>
                <w:rFonts w:eastAsia="Yu Mincho"/>
                <w:sz w:val="20"/>
                <w:szCs w:val="20"/>
                <w:lang w:eastAsia="ja-JP" w:bidi="hi-IN"/>
              </w:rPr>
              <w:t>Ericsson</w:t>
            </w:r>
          </w:p>
        </w:tc>
        <w:tc>
          <w:tcPr>
            <w:tcW w:w="8194" w:type="dxa"/>
          </w:tcPr>
          <w:p w14:paraId="5DBBFCD0" w14:textId="77777777" w:rsidR="007A442D" w:rsidRDefault="004644C0" w:rsidP="006A334D">
            <w:pPr>
              <w:rPr>
                <w:rFonts w:eastAsia="Yu Mincho"/>
                <w:sz w:val="20"/>
                <w:szCs w:val="20"/>
                <w:lang w:eastAsia="ja-JP" w:bidi="hi-IN"/>
              </w:rPr>
            </w:pPr>
            <w:r>
              <w:rPr>
                <w:rFonts w:eastAsia="Yu Mincho"/>
                <w:sz w:val="20"/>
                <w:szCs w:val="20"/>
                <w:lang w:eastAsia="ja-JP" w:bidi="hi-IN"/>
              </w:rPr>
              <w:t xml:space="preserve">We </w:t>
            </w:r>
            <w:r w:rsidR="00C75F5D">
              <w:rPr>
                <w:rFonts w:eastAsia="Yu Mincho"/>
                <w:sz w:val="20"/>
                <w:szCs w:val="20"/>
                <w:lang w:eastAsia="ja-JP" w:bidi="hi-IN"/>
              </w:rPr>
              <w:t>support</w:t>
            </w:r>
            <w:r>
              <w:rPr>
                <w:rFonts w:eastAsia="Yu Mincho"/>
                <w:sz w:val="20"/>
                <w:szCs w:val="20"/>
                <w:lang w:eastAsia="ja-JP" w:bidi="hi-IN"/>
              </w:rPr>
              <w:t xml:space="preserve"> Option 1.</w:t>
            </w:r>
            <w:r w:rsidR="00A35233">
              <w:rPr>
                <w:rFonts w:eastAsia="Yu Mincho"/>
                <w:sz w:val="20"/>
                <w:szCs w:val="20"/>
                <w:lang w:eastAsia="ja-JP" w:bidi="hi-IN"/>
              </w:rPr>
              <w:t xml:space="preserve"> </w:t>
            </w:r>
          </w:p>
          <w:p w14:paraId="688B4D71" w14:textId="77777777" w:rsidR="007A442D" w:rsidRDefault="00A35233" w:rsidP="006A334D">
            <w:pPr>
              <w:rPr>
                <w:rFonts w:eastAsia="Yu Mincho"/>
                <w:sz w:val="20"/>
                <w:szCs w:val="20"/>
                <w:lang w:eastAsia="ja-JP" w:bidi="hi-IN"/>
              </w:rPr>
            </w:pPr>
            <w:r>
              <w:rPr>
                <w:rFonts w:eastAsia="Yu Mincho"/>
                <w:sz w:val="20"/>
                <w:szCs w:val="20"/>
                <w:lang w:eastAsia="ja-JP" w:bidi="hi-IN"/>
              </w:rPr>
              <w:t xml:space="preserve">As explained in </w:t>
            </w:r>
            <w:r w:rsidR="00E22888">
              <w:rPr>
                <w:rFonts w:eastAsia="Yu Mincho"/>
                <w:sz w:val="20"/>
                <w:szCs w:val="20"/>
                <w:lang w:eastAsia="ja-JP" w:bidi="hi-IN"/>
              </w:rPr>
              <w:t xml:space="preserve">detail in </w:t>
            </w:r>
            <w:r>
              <w:rPr>
                <w:rFonts w:eastAsia="Yu Mincho"/>
                <w:sz w:val="20"/>
                <w:szCs w:val="20"/>
                <w:lang w:eastAsia="ja-JP" w:bidi="hi-IN"/>
              </w:rPr>
              <w:t xml:space="preserve">our contribution, </w:t>
            </w:r>
            <w:r w:rsidRPr="00A35233">
              <w:rPr>
                <w:rFonts w:eastAsia="Yu Mincho"/>
                <w:sz w:val="20"/>
                <w:szCs w:val="20"/>
                <w:lang w:eastAsia="ja-JP" w:bidi="hi-IN"/>
              </w:rPr>
              <w:t xml:space="preserve">adopting </w:t>
            </w:r>
            <w:r w:rsidR="00E22888">
              <w:rPr>
                <w:rFonts w:eastAsia="Yu Mincho"/>
                <w:sz w:val="20"/>
                <w:szCs w:val="20"/>
                <w:lang w:eastAsia="ja-JP" w:bidi="hi-IN"/>
              </w:rPr>
              <w:t>O</w:t>
            </w:r>
            <w:r w:rsidRPr="00A35233">
              <w:rPr>
                <w:rFonts w:eastAsia="Yu Mincho"/>
                <w:sz w:val="20"/>
                <w:szCs w:val="20"/>
                <w:lang w:eastAsia="ja-JP" w:bidi="hi-IN"/>
              </w:rPr>
              <w:t>ption 1 has no impact on the agreement on UE capability of supporting DL reference configuration for dual-Tx UL</w:t>
            </w:r>
            <w:r>
              <w:rPr>
                <w:rFonts w:eastAsia="Yu Mincho"/>
                <w:sz w:val="20"/>
                <w:szCs w:val="20"/>
                <w:lang w:eastAsia="ja-JP" w:bidi="hi-IN"/>
              </w:rPr>
              <w:t xml:space="preserve">. </w:t>
            </w:r>
          </w:p>
          <w:p w14:paraId="3E4B43A3" w14:textId="2C49A4C7" w:rsidR="00C83685" w:rsidRDefault="00A35233" w:rsidP="006A334D">
            <w:pPr>
              <w:rPr>
                <w:rFonts w:eastAsia="Yu Mincho"/>
                <w:sz w:val="20"/>
                <w:szCs w:val="20"/>
                <w:lang w:eastAsia="ja-JP" w:bidi="hi-IN"/>
              </w:rPr>
            </w:pPr>
            <w:r>
              <w:rPr>
                <w:rFonts w:eastAsia="Yu Mincho"/>
                <w:sz w:val="20"/>
                <w:szCs w:val="20"/>
                <w:lang w:eastAsia="ja-JP" w:bidi="hi-IN"/>
              </w:rPr>
              <w:t xml:space="preserve">Option 3 (i.e., </w:t>
            </w:r>
            <w:r w:rsidR="00E22888">
              <w:rPr>
                <w:rFonts w:eastAsia="Yu Mincho"/>
                <w:sz w:val="20"/>
                <w:szCs w:val="20"/>
                <w:lang w:eastAsia="ja-JP" w:bidi="hi-IN"/>
              </w:rPr>
              <w:t xml:space="preserve">the restrictions </w:t>
            </w:r>
            <w:r w:rsidR="007A442D">
              <w:rPr>
                <w:rFonts w:eastAsia="Yu Mincho"/>
                <w:sz w:val="20"/>
                <w:szCs w:val="20"/>
                <w:lang w:eastAsia="ja-JP" w:bidi="hi-IN"/>
              </w:rPr>
              <w:t>related to</w:t>
            </w:r>
            <w:r>
              <w:rPr>
                <w:rFonts w:eastAsia="Yu Mincho"/>
                <w:sz w:val="20"/>
                <w:szCs w:val="20"/>
                <w:lang w:eastAsia="ja-JP" w:bidi="hi-IN"/>
              </w:rPr>
              <w:t xml:space="preserve"> ‘UL’ subframes given by reference TDD pattern) is not the agreed behavior. </w:t>
            </w:r>
          </w:p>
          <w:p w14:paraId="181E7E2F" w14:textId="77777777" w:rsidR="00A35233" w:rsidRPr="00A35233" w:rsidRDefault="00A35233" w:rsidP="0018208C">
            <w:pPr>
              <w:pStyle w:val="a"/>
              <w:numPr>
                <w:ilvl w:val="0"/>
                <w:numId w:val="0"/>
              </w:numPr>
              <w:spacing w:after="160" w:line="259" w:lineRule="auto"/>
              <w:ind w:left="360"/>
              <w:contextualSpacing/>
              <w:rPr>
                <w:rFonts w:eastAsia="MS Mincho"/>
                <w:i/>
                <w:iCs/>
                <w:sz w:val="18"/>
                <w:szCs w:val="18"/>
                <w:highlight w:val="green"/>
              </w:rPr>
            </w:pPr>
            <w:r w:rsidRPr="00A35233">
              <w:rPr>
                <w:rFonts w:eastAsia="MS Mincho"/>
                <w:i/>
                <w:iCs/>
                <w:sz w:val="18"/>
                <w:szCs w:val="18"/>
                <w:highlight w:val="green"/>
              </w:rPr>
              <w:t>Agreements:</w:t>
            </w:r>
          </w:p>
          <w:p w14:paraId="64DB8C7E" w14:textId="77777777" w:rsidR="00A35233" w:rsidRPr="00A35233" w:rsidRDefault="00A35233" w:rsidP="00A35233">
            <w:pPr>
              <w:pStyle w:val="a"/>
              <w:numPr>
                <w:ilvl w:val="0"/>
                <w:numId w:val="44"/>
              </w:numPr>
              <w:spacing w:line="240" w:lineRule="auto"/>
              <w:ind w:left="1080"/>
              <w:rPr>
                <w:rFonts w:eastAsia="MS Mincho"/>
                <w:i/>
                <w:iCs/>
                <w:sz w:val="18"/>
                <w:szCs w:val="18"/>
              </w:rPr>
            </w:pPr>
            <w:r w:rsidRPr="00A35233">
              <w:rPr>
                <w:rFonts w:eastAsia="MS Mincho"/>
                <w:i/>
                <w:iCs/>
                <w:sz w:val="18"/>
                <w:szCs w:val="18"/>
              </w:rPr>
              <w:t>For the single-Tx case, for FDD LTE Pcell,</w:t>
            </w:r>
          </w:p>
          <w:p w14:paraId="55A9992F" w14:textId="77777777" w:rsidR="00A35233" w:rsidRPr="00A35233" w:rsidRDefault="00A35233" w:rsidP="00A35233">
            <w:pPr>
              <w:pStyle w:val="a"/>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666690FD" w14:textId="77777777" w:rsidR="00A35233" w:rsidRPr="00A35233" w:rsidRDefault="00A35233" w:rsidP="00A35233">
            <w:pPr>
              <w:pStyle w:val="a"/>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07D52FDA" w14:textId="77777777" w:rsidR="00A35233" w:rsidRPr="00A35233" w:rsidRDefault="00A35233" w:rsidP="00A35233">
            <w:pPr>
              <w:pStyle w:val="a"/>
              <w:numPr>
                <w:ilvl w:val="2"/>
                <w:numId w:val="44"/>
              </w:numPr>
              <w:spacing w:line="240" w:lineRule="auto"/>
              <w:ind w:left="2520"/>
              <w:rPr>
                <w:rFonts w:eastAsia="MS Mincho"/>
                <w:i/>
                <w:iCs/>
                <w:sz w:val="18"/>
                <w:szCs w:val="18"/>
              </w:rPr>
            </w:pPr>
            <w:r w:rsidRPr="00A35233">
              <w:rPr>
                <w:rFonts w:eastAsia="MS Mincho"/>
                <w:i/>
                <w:iCs/>
                <w:sz w:val="18"/>
                <w:szCs w:val="18"/>
              </w:rPr>
              <w:t>Note: there is no change of UL scheduling timing for LTE</w:t>
            </w:r>
          </w:p>
          <w:p w14:paraId="53795A52" w14:textId="77777777" w:rsidR="00A35233" w:rsidRPr="00A35233" w:rsidRDefault="00A35233" w:rsidP="00A35233">
            <w:pPr>
              <w:ind w:left="360"/>
              <w:rPr>
                <w:i/>
                <w:iCs/>
                <w:sz w:val="18"/>
                <w:szCs w:val="18"/>
                <w:lang w:eastAsia="x-none"/>
              </w:rPr>
            </w:pPr>
            <w:r w:rsidRPr="00A35233">
              <w:rPr>
                <w:i/>
                <w:iCs/>
                <w:sz w:val="18"/>
                <w:szCs w:val="18"/>
                <w:highlight w:val="green"/>
                <w:lang w:eastAsia="x-none"/>
              </w:rPr>
              <w:t>Agreements</w:t>
            </w:r>
            <w:r w:rsidRPr="00A35233">
              <w:rPr>
                <w:i/>
                <w:iCs/>
                <w:sz w:val="18"/>
                <w:szCs w:val="18"/>
                <w:lang w:eastAsia="x-none"/>
              </w:rPr>
              <w:t>:</w:t>
            </w:r>
          </w:p>
          <w:p w14:paraId="718ACE5B" w14:textId="77777777" w:rsidR="00A35233" w:rsidRPr="00A35233" w:rsidRDefault="00A35233" w:rsidP="00A35233">
            <w:pPr>
              <w:pStyle w:val="a"/>
              <w:numPr>
                <w:ilvl w:val="0"/>
                <w:numId w:val="44"/>
              </w:numPr>
              <w:spacing w:line="240" w:lineRule="auto"/>
              <w:ind w:left="1080"/>
              <w:rPr>
                <w:rFonts w:eastAsia="MS Mincho"/>
                <w:i/>
                <w:iCs/>
                <w:sz w:val="18"/>
                <w:szCs w:val="18"/>
              </w:rPr>
            </w:pPr>
            <w:r w:rsidRPr="00A35233">
              <w:rPr>
                <w:rFonts w:eastAsia="MS Mincho"/>
                <w:i/>
                <w:iCs/>
                <w:sz w:val="18"/>
                <w:szCs w:val="18"/>
              </w:rPr>
              <w:t>For the single-Tx case, for TDD LTE Pcell,</w:t>
            </w:r>
          </w:p>
          <w:p w14:paraId="751B7FB4" w14:textId="77777777" w:rsidR="00A35233" w:rsidRPr="00A35233" w:rsidRDefault="00A35233" w:rsidP="00A35233">
            <w:pPr>
              <w:pStyle w:val="a"/>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3AFF05F7" w14:textId="77777777" w:rsidR="00A35233" w:rsidRPr="00A35233" w:rsidRDefault="00A35233" w:rsidP="00A35233">
            <w:pPr>
              <w:pStyle w:val="a"/>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39C3B515" w14:textId="686EA1F3" w:rsidR="00A35233" w:rsidRDefault="00A35233" w:rsidP="006A334D">
            <w:pPr>
              <w:rPr>
                <w:rFonts w:eastAsia="Yu Mincho"/>
                <w:sz w:val="20"/>
                <w:szCs w:val="20"/>
                <w:lang w:eastAsia="ja-JP" w:bidi="hi-IN"/>
              </w:rPr>
            </w:pPr>
          </w:p>
        </w:tc>
      </w:tr>
      <w:tr w:rsidR="00F34FC9" w14:paraId="3DA635ED" w14:textId="77777777" w:rsidTr="006A334D">
        <w:tc>
          <w:tcPr>
            <w:tcW w:w="1435" w:type="dxa"/>
          </w:tcPr>
          <w:p w14:paraId="329833EB" w14:textId="055735F9" w:rsidR="00F34FC9" w:rsidRPr="00F34FC9" w:rsidRDefault="00F34FC9" w:rsidP="006A334D">
            <w:pPr>
              <w:rPr>
                <w:rFonts w:eastAsia="맑은 고딕"/>
                <w:sz w:val="20"/>
                <w:szCs w:val="20"/>
                <w:lang w:eastAsia="ko-KR" w:bidi="hi-IN"/>
              </w:rPr>
            </w:pPr>
            <w:r>
              <w:rPr>
                <w:rFonts w:eastAsia="맑은 고딕" w:hint="eastAsia"/>
                <w:sz w:val="20"/>
                <w:szCs w:val="20"/>
                <w:lang w:eastAsia="ko-KR" w:bidi="hi-IN"/>
              </w:rPr>
              <w:t>Samsung</w:t>
            </w:r>
          </w:p>
        </w:tc>
        <w:tc>
          <w:tcPr>
            <w:tcW w:w="8194" w:type="dxa"/>
          </w:tcPr>
          <w:p w14:paraId="140C79B8" w14:textId="2C9A5544" w:rsidR="00F34FC9" w:rsidRPr="00F34FC9" w:rsidRDefault="00DD63B0" w:rsidP="00DD63B0">
            <w:pPr>
              <w:rPr>
                <w:rFonts w:eastAsia="맑은 고딕"/>
                <w:sz w:val="20"/>
                <w:szCs w:val="20"/>
                <w:lang w:eastAsia="ko-KR" w:bidi="hi-IN"/>
              </w:rPr>
            </w:pPr>
            <w:r>
              <w:rPr>
                <w:rFonts w:eastAsiaTheme="minorEastAsia"/>
                <w:sz w:val="20"/>
                <w:szCs w:val="20"/>
                <w:lang w:bidi="hi-IN"/>
              </w:rPr>
              <w:t xml:space="preserve">Given the discussion so far, </w:t>
            </w:r>
            <w:r w:rsidR="008461FE">
              <w:rPr>
                <w:rFonts w:eastAsiaTheme="minorEastAsia"/>
                <w:sz w:val="20"/>
                <w:szCs w:val="20"/>
                <w:lang w:bidi="hi-IN"/>
              </w:rPr>
              <w:t xml:space="preserve">option </w:t>
            </w:r>
            <w:r>
              <w:rPr>
                <w:rFonts w:eastAsiaTheme="minorEastAsia"/>
                <w:sz w:val="20"/>
                <w:szCs w:val="20"/>
                <w:lang w:bidi="hi-IN"/>
              </w:rPr>
              <w:t>1 is preferred</w:t>
            </w:r>
            <w:bookmarkStart w:id="5" w:name="_GoBack"/>
            <w:bookmarkEnd w:id="5"/>
            <w:r>
              <w:rPr>
                <w:rFonts w:eastAsiaTheme="minorEastAsia"/>
                <w:sz w:val="20"/>
                <w:szCs w:val="20"/>
                <w:lang w:bidi="hi-IN"/>
              </w:rPr>
              <w:t>.</w:t>
            </w:r>
          </w:p>
        </w:tc>
      </w:tr>
    </w:tbl>
    <w:p w14:paraId="59B6D9A1" w14:textId="77777777" w:rsidR="00DA132A" w:rsidRDefault="00DA132A" w:rsidP="00E82C7D">
      <w:pPr>
        <w:rPr>
          <w:sz w:val="20"/>
          <w:szCs w:val="20"/>
          <w:lang w:eastAsia="ja-JP" w:bidi="hi-IN"/>
        </w:rPr>
      </w:pPr>
    </w:p>
    <w:p w14:paraId="644AF011" w14:textId="29E897F7" w:rsidR="00DA132A" w:rsidRDefault="00DA132A" w:rsidP="00E82C7D">
      <w:pPr>
        <w:rPr>
          <w:sz w:val="20"/>
          <w:szCs w:val="20"/>
          <w:lang w:eastAsia="ja-JP" w:bidi="hi-IN"/>
        </w:rPr>
      </w:pPr>
    </w:p>
    <w:p w14:paraId="5B1AA5C3" w14:textId="77777777" w:rsidR="00DA132A" w:rsidRPr="00E82C7D" w:rsidRDefault="00DA132A" w:rsidP="00E82C7D">
      <w:pPr>
        <w:rPr>
          <w:b/>
          <w:bCs/>
          <w:i/>
          <w:iCs/>
          <w:sz w:val="20"/>
          <w:szCs w:val="20"/>
          <w:lang w:eastAsia="ja-JP" w:bidi="hi-IN"/>
        </w:rPr>
      </w:pPr>
    </w:p>
    <w:p w14:paraId="17145C72" w14:textId="77777777" w:rsidR="00E82C7D" w:rsidRDefault="00E82C7D" w:rsidP="00E82C7D">
      <w:pPr>
        <w:rPr>
          <w:sz w:val="20"/>
          <w:szCs w:val="20"/>
          <w:lang w:eastAsia="ja-JP" w:bidi="hi-IN"/>
        </w:rPr>
      </w:pPr>
    </w:p>
    <w:p w14:paraId="587244EA" w14:textId="77777777" w:rsidR="00E82C7D" w:rsidRDefault="00E82C7D" w:rsidP="00650D8D">
      <w:pPr>
        <w:rPr>
          <w:sz w:val="20"/>
          <w:szCs w:val="20"/>
          <w:lang w:bidi="hi-IN"/>
        </w:rPr>
      </w:pPr>
    </w:p>
    <w:p w14:paraId="52D5D95F" w14:textId="16CB8DF8" w:rsidR="00522CA8" w:rsidRDefault="00CD127E" w:rsidP="00522CA8">
      <w:pPr>
        <w:pStyle w:val="1"/>
      </w:pPr>
      <w:r>
        <w:t xml:space="preserve">Type 1 UE capability </w:t>
      </w:r>
      <w:r w:rsidR="007D4383">
        <w:t>with</w:t>
      </w:r>
      <w:r w:rsidR="00A27A34">
        <w:t xml:space="preserve"> semi-static UL transmission </w:t>
      </w:r>
    </w:p>
    <w:p w14:paraId="20F54BDE" w14:textId="77777777" w:rsidR="00A27A34" w:rsidRDefault="00A27A34" w:rsidP="0025790F">
      <w:pPr>
        <w:spacing w:before="120" w:after="120"/>
        <w:rPr>
          <w:sz w:val="20"/>
          <w:szCs w:val="20"/>
          <w:lang w:eastAsia="ja-JP" w:bidi="hi-IN"/>
        </w:rPr>
      </w:pPr>
    </w:p>
    <w:p w14:paraId="1AC52CB9" w14:textId="4386ED94" w:rsidR="00A27A34" w:rsidRDefault="0025790F" w:rsidP="0025790F">
      <w:pPr>
        <w:spacing w:before="120" w:after="120"/>
        <w:rPr>
          <w:sz w:val="20"/>
          <w:szCs w:val="20"/>
          <w:lang w:eastAsia="ja-JP" w:bidi="hi-IN"/>
        </w:rPr>
      </w:pPr>
      <w:r>
        <w:rPr>
          <w:sz w:val="20"/>
          <w:szCs w:val="20"/>
          <w:lang w:eastAsia="ja-JP" w:bidi="hi-IN"/>
        </w:rPr>
        <w:t>In RAN1#9</w:t>
      </w:r>
      <w:r w:rsidR="00A27A34">
        <w:rPr>
          <w:sz w:val="20"/>
          <w:szCs w:val="20"/>
          <w:lang w:eastAsia="ja-JP" w:bidi="hi-IN"/>
        </w:rPr>
        <w:t>9, the following agreements were reached [7].</w:t>
      </w:r>
      <w:r w:rsidR="00412E96">
        <w:rPr>
          <w:sz w:val="20"/>
          <w:szCs w:val="20"/>
          <w:lang w:eastAsia="ja-JP" w:bidi="hi-IN"/>
        </w:rPr>
        <w:t xml:space="preserve"> According to the agreement, whether the semi-static configured UL transmissions are allowed in all UL subframes is subjected to UE capability.  Two text proposals are provided by [2] [6].</w:t>
      </w:r>
    </w:p>
    <w:tbl>
      <w:tblPr>
        <w:tblStyle w:val="ae"/>
        <w:tblW w:w="0" w:type="auto"/>
        <w:tblLook w:val="04A0" w:firstRow="1" w:lastRow="0" w:firstColumn="1" w:lastColumn="0" w:noHBand="0" w:noVBand="1"/>
      </w:tblPr>
      <w:tblGrid>
        <w:gridCol w:w="9628"/>
      </w:tblGrid>
      <w:tr w:rsidR="00A27A34" w:rsidRPr="00A27A34" w14:paraId="60BC40AF" w14:textId="77777777" w:rsidTr="006A334D">
        <w:tc>
          <w:tcPr>
            <w:tcW w:w="9628" w:type="dxa"/>
          </w:tcPr>
          <w:p w14:paraId="2F5A2FA8" w14:textId="77777777" w:rsidR="00A27A34" w:rsidRPr="00A27A34" w:rsidRDefault="00A27A34" w:rsidP="006A334D">
            <w:pPr>
              <w:spacing w:before="0" w:line="240" w:lineRule="auto"/>
              <w:rPr>
                <w:sz w:val="20"/>
                <w:szCs w:val="20"/>
                <w:lang w:eastAsia="x-none"/>
              </w:rPr>
            </w:pPr>
            <w:r w:rsidRPr="00A27A34">
              <w:rPr>
                <w:sz w:val="20"/>
                <w:szCs w:val="20"/>
                <w:highlight w:val="green"/>
                <w:lang w:eastAsia="x-none"/>
              </w:rPr>
              <w:t>Agreements</w:t>
            </w:r>
            <w:r w:rsidRPr="00A27A34">
              <w:rPr>
                <w:sz w:val="20"/>
                <w:szCs w:val="20"/>
                <w:lang w:eastAsia="x-none"/>
              </w:rPr>
              <w:t>:</w:t>
            </w:r>
          </w:p>
          <w:p w14:paraId="31E31F7E" w14:textId="77777777" w:rsidR="00A27A34" w:rsidRPr="00A27A34" w:rsidRDefault="00A27A34" w:rsidP="006A334D">
            <w:pPr>
              <w:spacing w:before="0" w:line="240" w:lineRule="auto"/>
              <w:rPr>
                <w:bCs/>
                <w:sz w:val="20"/>
                <w:szCs w:val="20"/>
              </w:rPr>
            </w:pPr>
            <w:r w:rsidRPr="00A27A34">
              <w:rPr>
                <w:bCs/>
                <w:sz w:val="20"/>
                <w:szCs w:val="20"/>
              </w:rPr>
              <w:t>For a UE configured with DL-reference DL/UL configuration in Rel-16 (including single Tx with LTE TDD PCell or LTE FDD PCell, and dual Tx cases):</w:t>
            </w:r>
          </w:p>
          <w:p w14:paraId="713BE7FB" w14:textId="77777777" w:rsidR="00A27A34" w:rsidRPr="00A27A34" w:rsidRDefault="00A27A34" w:rsidP="00A27A34">
            <w:pPr>
              <w:pStyle w:val="a"/>
              <w:numPr>
                <w:ilvl w:val="0"/>
                <w:numId w:val="8"/>
              </w:numPr>
              <w:spacing w:before="0" w:line="240" w:lineRule="auto"/>
              <w:rPr>
                <w:rFonts w:cs="Times"/>
                <w:bCs/>
                <w:sz w:val="20"/>
                <w:szCs w:val="20"/>
              </w:rPr>
            </w:pPr>
            <w:r w:rsidRPr="00A27A34">
              <w:rPr>
                <w:rFonts w:cs="Times"/>
                <w:bCs/>
                <w:sz w:val="20"/>
                <w:szCs w:val="20"/>
              </w:rPr>
              <w:t>For type 2 UE (i.e., UE without dynamic power sharing capability), any LTE UL transmissions should take place only in UL subframes designated for HARQ-ACK feedback.</w:t>
            </w:r>
          </w:p>
          <w:p w14:paraId="223F85C4" w14:textId="77777777" w:rsidR="00A27A34" w:rsidRPr="00A27A34" w:rsidRDefault="00A27A34" w:rsidP="00A27A34">
            <w:pPr>
              <w:pStyle w:val="a"/>
              <w:numPr>
                <w:ilvl w:val="0"/>
                <w:numId w:val="8"/>
              </w:numPr>
              <w:spacing w:before="0" w:line="240" w:lineRule="auto"/>
              <w:rPr>
                <w:rFonts w:cs="Times"/>
                <w:bCs/>
                <w:sz w:val="20"/>
                <w:szCs w:val="20"/>
              </w:rPr>
            </w:pPr>
            <w:r w:rsidRPr="00A27A34">
              <w:rPr>
                <w:rFonts w:cs="Times"/>
                <w:bCs/>
                <w:sz w:val="20"/>
                <w:szCs w:val="20"/>
              </w:rPr>
              <w:t xml:space="preserve">For type 1 UE (i.e., UE with dynamic power sharing capability), </w:t>
            </w:r>
          </w:p>
          <w:p w14:paraId="79FB7429" w14:textId="77777777" w:rsidR="00A27A34" w:rsidRPr="00A27A34" w:rsidRDefault="00A27A34" w:rsidP="00A27A34">
            <w:pPr>
              <w:pStyle w:val="a"/>
              <w:numPr>
                <w:ilvl w:val="1"/>
                <w:numId w:val="8"/>
              </w:numPr>
              <w:spacing w:before="0" w:line="240" w:lineRule="auto"/>
              <w:rPr>
                <w:rFonts w:cs="Times"/>
                <w:bCs/>
                <w:sz w:val="20"/>
                <w:szCs w:val="20"/>
              </w:rPr>
            </w:pPr>
            <w:r w:rsidRPr="00A27A34">
              <w:rPr>
                <w:rFonts w:cs="Times"/>
                <w:bCs/>
                <w:sz w:val="20"/>
                <w:szCs w:val="20"/>
              </w:rPr>
              <w:t>Confirm that any LTE UL transmissions scheduled/triggered by DCI can take place in UL subframes not designated for HARQ-ACK feedback.</w:t>
            </w:r>
          </w:p>
          <w:p w14:paraId="3EA43F6E" w14:textId="77777777" w:rsidR="00A27A34" w:rsidRPr="00A27A34" w:rsidRDefault="00A27A34" w:rsidP="00A27A34">
            <w:pPr>
              <w:pStyle w:val="a"/>
              <w:numPr>
                <w:ilvl w:val="1"/>
                <w:numId w:val="8"/>
              </w:numPr>
              <w:spacing w:before="0" w:line="240" w:lineRule="auto"/>
              <w:rPr>
                <w:rFonts w:eastAsia="MS Mincho"/>
                <w:bCs/>
                <w:sz w:val="20"/>
                <w:szCs w:val="20"/>
              </w:rPr>
            </w:pPr>
            <w:r w:rsidRPr="00A27A34">
              <w:rPr>
                <w:rFonts w:cs="Times"/>
                <w:bCs/>
                <w:sz w:val="20"/>
                <w:szCs w:val="20"/>
              </w:rPr>
              <w:t>FFS UE is not expected to transmit semi-statically configured LTE UL transmissions in the UL subframes other than those designated as UL in the DL-reference configuration if such transmission collide with NR UL transmissions.</w:t>
            </w:r>
          </w:p>
          <w:p w14:paraId="3E224696" w14:textId="77777777" w:rsidR="00A27A34" w:rsidRPr="00A27A34" w:rsidRDefault="00A27A34" w:rsidP="006A334D">
            <w:pPr>
              <w:spacing w:before="0" w:line="240" w:lineRule="auto"/>
              <w:rPr>
                <w:sz w:val="20"/>
                <w:szCs w:val="20"/>
                <w:highlight w:val="green"/>
                <w:lang w:val="en-GB" w:bidi="hi-IN"/>
              </w:rPr>
            </w:pPr>
          </w:p>
          <w:p w14:paraId="43FACA59" w14:textId="77777777" w:rsidR="00A27A34" w:rsidRPr="00A27A34" w:rsidRDefault="00A27A34" w:rsidP="006A334D">
            <w:pPr>
              <w:spacing w:before="0" w:line="240" w:lineRule="auto"/>
              <w:rPr>
                <w:sz w:val="20"/>
                <w:szCs w:val="20"/>
                <w:highlight w:val="green"/>
                <w:lang w:bidi="hi-IN"/>
              </w:rPr>
            </w:pPr>
            <w:r w:rsidRPr="00A27A34">
              <w:rPr>
                <w:sz w:val="20"/>
                <w:szCs w:val="20"/>
                <w:highlight w:val="green"/>
                <w:lang w:bidi="hi-IN"/>
              </w:rPr>
              <w:t>Agreements</w:t>
            </w:r>
          </w:p>
          <w:p w14:paraId="07319AB7" w14:textId="77777777" w:rsidR="00A27A34" w:rsidRPr="00A27A34" w:rsidRDefault="00A27A34" w:rsidP="006A334D">
            <w:pPr>
              <w:spacing w:before="0" w:line="240" w:lineRule="auto"/>
              <w:rPr>
                <w:i/>
                <w:iCs/>
                <w:sz w:val="20"/>
                <w:szCs w:val="20"/>
                <w:lang w:bidi="hi-IN"/>
              </w:rPr>
            </w:pPr>
            <w:r w:rsidRPr="00A27A34">
              <w:rPr>
                <w:sz w:val="20"/>
                <w:szCs w:val="20"/>
                <w:lang w:bidi="hi-IN"/>
              </w:rPr>
              <w:t xml:space="preserve">For the FFS part in the agreement above, </w:t>
            </w:r>
          </w:p>
          <w:p w14:paraId="150924EA" w14:textId="77777777" w:rsidR="00A27A34" w:rsidRPr="00A27A34" w:rsidRDefault="00A27A34" w:rsidP="00904961">
            <w:pPr>
              <w:pStyle w:val="a"/>
              <w:numPr>
                <w:ilvl w:val="0"/>
                <w:numId w:val="8"/>
              </w:numPr>
              <w:spacing w:before="0" w:line="240" w:lineRule="auto"/>
              <w:rPr>
                <w:rFonts w:eastAsia="Times New Roman"/>
                <w:i/>
                <w:iCs/>
                <w:sz w:val="20"/>
                <w:szCs w:val="20"/>
              </w:rPr>
            </w:pPr>
            <w:r w:rsidRPr="00DD1CA1">
              <w:rPr>
                <w:rFonts w:cs="Times"/>
                <w:bCs/>
                <w:sz w:val="20"/>
                <w:szCs w:val="20"/>
                <w:highlight w:val="yellow"/>
              </w:rPr>
              <w:t>semi-</w:t>
            </w:r>
            <w:r w:rsidRPr="00A27A34">
              <w:rPr>
                <w:rFonts w:cs="Times"/>
                <w:bCs/>
                <w:sz w:val="20"/>
                <w:szCs w:val="20"/>
                <w:highlight w:val="yellow"/>
              </w:rPr>
              <w:t>statically configured LTE UL transmissions are allowed in all UL subframes</w:t>
            </w:r>
            <w:r w:rsidRPr="00A27A34">
              <w:rPr>
                <w:rFonts w:cs="Times"/>
                <w:bCs/>
                <w:sz w:val="20"/>
                <w:szCs w:val="20"/>
              </w:rPr>
              <w:t>.</w:t>
            </w:r>
          </w:p>
          <w:p w14:paraId="1AD9F4F5" w14:textId="77777777" w:rsidR="00A27A34" w:rsidRPr="00A27A34" w:rsidRDefault="00A27A34" w:rsidP="00A27A34">
            <w:pPr>
              <w:pStyle w:val="a"/>
              <w:numPr>
                <w:ilvl w:val="1"/>
                <w:numId w:val="12"/>
              </w:numPr>
              <w:spacing w:before="0" w:line="240" w:lineRule="auto"/>
              <w:jc w:val="left"/>
              <w:rPr>
                <w:rFonts w:eastAsia="Times New Roman"/>
                <w:i/>
                <w:iCs/>
                <w:sz w:val="20"/>
                <w:szCs w:val="20"/>
              </w:rPr>
            </w:pPr>
            <w:r w:rsidRPr="00A27A34">
              <w:rPr>
                <w:rFonts w:cs="Times"/>
                <w:bCs/>
                <w:sz w:val="20"/>
                <w:szCs w:val="20"/>
              </w:rPr>
              <w:t>Note: In case of collision, LTE transmission is prioritized</w:t>
            </w:r>
          </w:p>
          <w:p w14:paraId="36972D93" w14:textId="77777777" w:rsidR="00A27A34" w:rsidRPr="00A27A34" w:rsidRDefault="00A27A34" w:rsidP="00A27A34">
            <w:pPr>
              <w:pStyle w:val="a"/>
              <w:numPr>
                <w:ilvl w:val="1"/>
                <w:numId w:val="12"/>
              </w:numPr>
              <w:spacing w:before="0" w:line="240" w:lineRule="auto"/>
              <w:jc w:val="left"/>
              <w:rPr>
                <w:rFonts w:eastAsia="Times New Roman"/>
                <w:i/>
                <w:iCs/>
                <w:sz w:val="20"/>
                <w:szCs w:val="20"/>
              </w:rPr>
            </w:pPr>
            <w:r w:rsidRPr="00412E96">
              <w:rPr>
                <w:rFonts w:cs="Times"/>
                <w:bCs/>
                <w:sz w:val="20"/>
                <w:szCs w:val="20"/>
                <w:highlight w:val="yellow"/>
              </w:rPr>
              <w:t>Note: this configuration is subject to UE capability</w:t>
            </w:r>
          </w:p>
        </w:tc>
      </w:tr>
    </w:tbl>
    <w:p w14:paraId="2E8427FD" w14:textId="77777777" w:rsidR="0025790F" w:rsidRDefault="0025790F" w:rsidP="0025790F">
      <w:pPr>
        <w:spacing w:before="120" w:line="280" w:lineRule="atLeast"/>
        <w:jc w:val="both"/>
        <w:rPr>
          <w:color w:val="000000"/>
          <w:sz w:val="20"/>
          <w:szCs w:val="20"/>
        </w:rPr>
      </w:pPr>
    </w:p>
    <w:p w14:paraId="65920662" w14:textId="52090285" w:rsidR="0025790F" w:rsidRPr="007D4383" w:rsidRDefault="0025790F" w:rsidP="0025790F">
      <w:pPr>
        <w:spacing w:after="240" w:line="280" w:lineRule="atLeast"/>
        <w:jc w:val="both"/>
        <w:rPr>
          <w:b/>
          <w:bCs/>
          <w:color w:val="000000"/>
          <w:sz w:val="20"/>
          <w:szCs w:val="20"/>
        </w:rPr>
      </w:pPr>
      <w:r w:rsidRPr="001810BD">
        <w:rPr>
          <w:b/>
          <w:bCs/>
          <w:color w:val="000000"/>
          <w:sz w:val="20"/>
          <w:szCs w:val="20"/>
        </w:rPr>
        <w:t>Proposal</w:t>
      </w:r>
      <w:r w:rsidR="00904961">
        <w:rPr>
          <w:b/>
          <w:bCs/>
          <w:color w:val="000000"/>
          <w:sz w:val="20"/>
          <w:szCs w:val="20"/>
        </w:rPr>
        <w:t xml:space="preserve"> 2</w:t>
      </w:r>
      <w:r w:rsidRPr="001810BD">
        <w:rPr>
          <w:b/>
          <w:bCs/>
          <w:color w:val="000000"/>
          <w:sz w:val="20"/>
          <w:szCs w:val="20"/>
        </w:rPr>
        <w:t xml:space="preserve">: </w:t>
      </w:r>
      <w:r w:rsidR="00DD1CA1">
        <w:rPr>
          <w:b/>
          <w:bCs/>
          <w:color w:val="000000"/>
          <w:sz w:val="20"/>
          <w:szCs w:val="20"/>
        </w:rPr>
        <w:t>D</w:t>
      </w:r>
      <w:r w:rsidR="007D4383">
        <w:rPr>
          <w:b/>
          <w:bCs/>
          <w:color w:val="000000"/>
          <w:sz w:val="20"/>
          <w:szCs w:val="20"/>
        </w:rPr>
        <w:t>iscussion further the detailed TP.</w:t>
      </w:r>
    </w:p>
    <w:tbl>
      <w:tblPr>
        <w:tblStyle w:val="ae"/>
        <w:tblW w:w="19258" w:type="dxa"/>
        <w:tblLook w:val="04A0" w:firstRow="1" w:lastRow="0" w:firstColumn="1" w:lastColumn="0" w:noHBand="0" w:noVBand="1"/>
      </w:tblPr>
      <w:tblGrid>
        <w:gridCol w:w="9629"/>
        <w:gridCol w:w="9629"/>
      </w:tblGrid>
      <w:tr w:rsidR="00685C19" w:rsidRPr="00685C19" w14:paraId="0062E47A" w14:textId="77777777" w:rsidTr="00685C19">
        <w:tc>
          <w:tcPr>
            <w:tcW w:w="9629" w:type="dxa"/>
          </w:tcPr>
          <w:p w14:paraId="17DB309F" w14:textId="57BEA2EB"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TP to sub clause 7.6.1 of 38.213v16.</w:t>
            </w:r>
            <w:r>
              <w:rPr>
                <w:sz w:val="20"/>
                <w:szCs w:val="20"/>
              </w:rPr>
              <w:t>1</w:t>
            </w:r>
            <w:r w:rsidRPr="00510185">
              <w:rPr>
                <w:sz w:val="20"/>
                <w:szCs w:val="20"/>
              </w:rPr>
              <w:t>.0 --------------------------------------</w:t>
            </w:r>
          </w:p>
          <w:p w14:paraId="58A4D03B" w14:textId="4EE50C11" w:rsidR="00685C19" w:rsidRPr="00685C19" w:rsidRDefault="00685C19" w:rsidP="00685C19">
            <w:pPr>
              <w:ind w:firstLineChars="50" w:firstLine="100"/>
              <w:rPr>
                <w:sz w:val="20"/>
                <w:szCs w:val="20"/>
                <w:lang w:eastAsia="ja-JP"/>
              </w:rPr>
            </w:pPr>
            <w:r>
              <w:rPr>
                <w:sz w:val="20"/>
                <w:szCs w:val="20"/>
                <w:lang w:eastAsia="ja-JP"/>
              </w:rPr>
              <w:t>I</w:t>
            </w:r>
            <w:r w:rsidRPr="00685C19">
              <w:rPr>
                <w:sz w:val="20"/>
                <w:szCs w:val="20"/>
                <w:lang w:eastAsia="ja-JP"/>
              </w:rPr>
              <w:t xml:space="preserve">f a UE is configured with </w:t>
            </w:r>
            <w:r w:rsidR="00A56938" w:rsidRPr="00CC7E0C">
              <w:rPr>
                <w:noProof/>
                <w:position w:val="-10"/>
                <w:sz w:val="20"/>
                <w:szCs w:val="20"/>
              </w:rPr>
              <w:object w:dxaOrig="1620" w:dyaOrig="340" w14:anchorId="38426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65pt;height:14.6pt;mso-width-percent:0;mso-height-percent:0;mso-width-percent:0;mso-height-percent:0" o:ole="">
                  <v:imagedata r:id="rId31" o:title=""/>
                </v:shape>
                <o:OLEObject Type="Embed" ProgID="Equation.3" ShapeID="_x0000_i1025" DrawAspect="Content" ObjectID="_1649089115" r:id="rId32"/>
              </w:object>
            </w:r>
            <w:r w:rsidRPr="00685C19">
              <w:rPr>
                <w:sz w:val="20"/>
                <w:szCs w:val="20"/>
              </w:rPr>
              <w:t xml:space="preserve">, where </w:t>
            </w:r>
            <w:r w:rsidR="00A56938" w:rsidRPr="00CC7E0C">
              <w:rPr>
                <w:noProof/>
                <w:position w:val="-10"/>
                <w:sz w:val="20"/>
                <w:szCs w:val="20"/>
              </w:rPr>
              <w:object w:dxaOrig="400" w:dyaOrig="340" w14:anchorId="31E0AA80">
                <v:shape id="_x0000_i1026" type="#_x0000_t75" alt="" style="width:22.95pt;height:14.6pt;mso-width-percent:0;mso-height-percent:0;mso-width-percent:0;mso-height-percent:0" o:ole="">
                  <v:imagedata r:id="rId33" o:title=""/>
                </v:shape>
                <o:OLEObject Type="Embed" ProgID="Equation.3" ShapeID="_x0000_i1026" DrawAspect="Content" ObjectID="_1649089116" r:id="rId34"/>
              </w:object>
            </w:r>
            <w:r w:rsidRPr="00685C19">
              <w:rPr>
                <w:rFonts w:hint="eastAsia"/>
                <w:sz w:val="20"/>
                <w:szCs w:val="20"/>
              </w:rPr>
              <w:t xml:space="preserve"> is the linear value</w:t>
            </w:r>
            <w:r w:rsidRPr="00685C19">
              <w:rPr>
                <w:sz w:val="20"/>
                <w:szCs w:val="20"/>
                <w:lang w:eastAsia="ja-JP"/>
              </w:rPr>
              <w:t xml:space="preserve"> of </w:t>
            </w:r>
            <w:r w:rsidR="00A56938" w:rsidRPr="00CC7E0C">
              <w:rPr>
                <w:noProof/>
                <w:position w:val="-10"/>
                <w:sz w:val="20"/>
                <w:szCs w:val="20"/>
              </w:rPr>
              <w:object w:dxaOrig="400" w:dyaOrig="300" w14:anchorId="10AF617E">
                <v:shape id="_x0000_i1027" type="#_x0000_t75" alt="" style="width:22.95pt;height:15.45pt;mso-width-percent:0;mso-height-percent:0;mso-width-percent:0;mso-height-percent:0" o:ole="">
                  <v:imagedata r:id="rId35" o:title=""/>
                </v:shape>
                <o:OLEObject Type="Embed" ProgID="Equation.3" ShapeID="_x0000_i1027" DrawAspect="Content" ObjectID="_1649089117" r:id="rId36"/>
              </w:object>
            </w:r>
            <w:r w:rsidRPr="00685C19">
              <w:rPr>
                <w:sz w:val="20"/>
                <w:szCs w:val="20"/>
              </w:rPr>
              <w:t xml:space="preserve">, </w:t>
            </w:r>
            <w:r w:rsidR="00A56938" w:rsidRPr="00CC7E0C">
              <w:rPr>
                <w:noProof/>
                <w:position w:val="-10"/>
                <w:sz w:val="20"/>
                <w:szCs w:val="20"/>
              </w:rPr>
              <w:object w:dxaOrig="360" w:dyaOrig="340" w14:anchorId="195F6E87">
                <v:shape id="_x0000_i1028" type="#_x0000_t75" alt="" style="width:14.6pt;height:14.6pt;mso-width-percent:0;mso-height-percent:0;mso-width-percent:0;mso-height-percent:0" o:ole="">
                  <v:imagedata r:id="rId37" o:title=""/>
                </v:shape>
                <o:OLEObject Type="Embed" ProgID="Equation.3" ShapeID="_x0000_i1028" DrawAspect="Content" ObjectID="_1649089118" r:id="rId38"/>
              </w:object>
            </w:r>
            <w:r w:rsidRPr="00685C19">
              <w:rPr>
                <w:rFonts w:hint="eastAsia"/>
                <w:sz w:val="20"/>
                <w:szCs w:val="20"/>
              </w:rPr>
              <w:t xml:space="preserve"> is the linear value</w:t>
            </w:r>
            <w:r w:rsidRPr="00685C19">
              <w:rPr>
                <w:sz w:val="20"/>
                <w:szCs w:val="20"/>
                <w:lang w:eastAsia="ja-JP"/>
              </w:rPr>
              <w:t xml:space="preserve"> of </w:t>
            </w:r>
            <w:r w:rsidR="00A56938" w:rsidRPr="00CC7E0C">
              <w:rPr>
                <w:noProof/>
                <w:position w:val="-10"/>
                <w:sz w:val="20"/>
                <w:szCs w:val="20"/>
              </w:rPr>
              <w:object w:dxaOrig="360" w:dyaOrig="300" w14:anchorId="4D7CFDBE">
                <v:shape id="_x0000_i1029" type="#_x0000_t75" alt="" style="width:14.6pt;height:15.45pt;mso-width-percent:0;mso-height-percent:0;mso-width-percent:0;mso-height-percent:0" o:ole="">
                  <v:imagedata r:id="rId39" o:title=""/>
                </v:shape>
                <o:OLEObject Type="Embed" ProgID="Equation.3" ShapeID="_x0000_i1029" DrawAspect="Content" ObjectID="_1649089119" r:id="rId40"/>
              </w:object>
            </w:r>
            <w:r w:rsidRPr="00685C19">
              <w:rPr>
                <w:sz w:val="20"/>
                <w:szCs w:val="20"/>
              </w:rPr>
              <w:t>, and</w:t>
            </w:r>
            <w:r w:rsidRPr="00685C19">
              <w:rPr>
                <w:rFonts w:hint="eastAsia"/>
                <w:sz w:val="20"/>
                <w:szCs w:val="20"/>
              </w:rPr>
              <w:t xml:space="preserve"> </w:t>
            </w:r>
            <w:r w:rsidR="00A56938" w:rsidRPr="00CC7E0C">
              <w:rPr>
                <w:noProof/>
                <w:position w:val="-10"/>
                <w:sz w:val="20"/>
                <w:szCs w:val="20"/>
              </w:rPr>
              <w:object w:dxaOrig="600" w:dyaOrig="340" w14:anchorId="7F3F3CD0">
                <v:shape id="_x0000_i1030" type="#_x0000_t75" alt="" style="width:29.6pt;height:14.6pt;mso-width-percent:0;mso-height-percent:0;mso-width-percent:0;mso-height-percent:0" o:ole="">
                  <v:imagedata r:id="rId41" o:title=""/>
                </v:shape>
                <o:OLEObject Type="Embed" ProgID="Equation.3" ShapeID="_x0000_i1030" DrawAspect="Content" ObjectID="_1649089120" r:id="rId42"/>
              </w:object>
            </w:r>
            <w:r w:rsidRPr="00685C19">
              <w:rPr>
                <w:sz w:val="20"/>
                <w:szCs w:val="20"/>
              </w:rPr>
              <w:t xml:space="preserve"> </w:t>
            </w:r>
            <w:r w:rsidRPr="00685C19">
              <w:rPr>
                <w:rFonts w:hint="eastAsia"/>
                <w:sz w:val="20"/>
                <w:szCs w:val="20"/>
              </w:rPr>
              <w:t xml:space="preserve">is the linear value of </w:t>
            </w:r>
            <w:r w:rsidRPr="00685C19">
              <w:rPr>
                <w:sz w:val="20"/>
                <w:szCs w:val="20"/>
              </w:rPr>
              <w:t>a</w:t>
            </w:r>
            <w:r w:rsidRPr="00685C19">
              <w:rPr>
                <w:rFonts w:hint="eastAsia"/>
                <w:sz w:val="20"/>
                <w:szCs w:val="20"/>
              </w:rPr>
              <w:t xml:space="preserve"> </w:t>
            </w:r>
            <w:r w:rsidRPr="00685C19">
              <w:rPr>
                <w:sz w:val="20"/>
                <w:szCs w:val="20"/>
              </w:rPr>
              <w:t xml:space="preserve">configured </w:t>
            </w:r>
            <w:r w:rsidRPr="00685C19">
              <w:rPr>
                <w:rFonts w:hint="eastAsia"/>
                <w:sz w:val="20"/>
                <w:szCs w:val="20"/>
              </w:rPr>
              <w:t xml:space="preserve">maximum </w:t>
            </w:r>
            <w:r w:rsidRPr="00685C19">
              <w:rPr>
                <w:sz w:val="20"/>
                <w:szCs w:val="20"/>
              </w:rPr>
              <w:t xml:space="preserve">transmission power for EN-DC operation as </w:t>
            </w:r>
            <w:r w:rsidRPr="00685C19">
              <w:rPr>
                <w:iCs/>
                <w:sz w:val="20"/>
                <w:szCs w:val="20"/>
              </w:rPr>
              <w:t xml:space="preserve">defined in </w:t>
            </w:r>
            <w:r w:rsidRPr="00685C19">
              <w:rPr>
                <w:sz w:val="20"/>
                <w:szCs w:val="20"/>
              </w:rPr>
              <w:t xml:space="preserve">[8-3, TS 38.101-3] for FR1, </w:t>
            </w:r>
            <w:r w:rsidRPr="00685C19">
              <w:rPr>
                <w:sz w:val="20"/>
                <w:szCs w:val="20"/>
                <w:lang w:eastAsia="ja-JP"/>
              </w:rPr>
              <w:t>the UE determines a transmission power for the SCG as follows.</w:t>
            </w:r>
          </w:p>
          <w:p w14:paraId="45D553DB" w14:textId="77777777" w:rsidR="00685C19" w:rsidRPr="00685C19" w:rsidRDefault="00685C19" w:rsidP="00685C19">
            <w:pPr>
              <w:pStyle w:val="B1"/>
              <w:rPr>
                <w:sz w:val="20"/>
                <w:szCs w:val="20"/>
              </w:rPr>
            </w:pPr>
            <w:r w:rsidRPr="00685C19">
              <w:rPr>
                <w:sz w:val="20"/>
                <w:szCs w:val="20"/>
                <w:lang w:eastAsia="ja-JP"/>
              </w:rPr>
              <w:t>-</w:t>
            </w:r>
            <w:r w:rsidRPr="00685C19">
              <w:rPr>
                <w:sz w:val="20"/>
                <w:szCs w:val="20"/>
                <w:lang w:eastAsia="ja-JP"/>
              </w:rPr>
              <w:tab/>
              <w:t xml:space="preserve">If the UE is </w:t>
            </w:r>
            <w:r w:rsidRPr="00685C19">
              <w:rPr>
                <w:rFonts w:hint="eastAsia"/>
                <w:sz w:val="20"/>
                <w:szCs w:val="20"/>
              </w:rPr>
              <w:t>configured</w:t>
            </w:r>
            <w:r w:rsidRPr="00685C19">
              <w:rPr>
                <w:sz w:val="20"/>
                <w:szCs w:val="20"/>
              </w:rPr>
              <w:t xml:space="preserve"> </w:t>
            </w:r>
            <w:r w:rsidRPr="00685C19">
              <w:rPr>
                <w:rFonts w:hint="eastAsia"/>
                <w:sz w:val="20"/>
                <w:szCs w:val="20"/>
              </w:rPr>
              <w:t xml:space="preserve">with </w:t>
            </w:r>
            <w:r w:rsidRPr="00685C19">
              <w:rPr>
                <w:sz w:val="20"/>
                <w:szCs w:val="20"/>
              </w:rPr>
              <w:t>reference TDD configuration</w:t>
            </w:r>
            <w:r w:rsidRPr="00685C19">
              <w:rPr>
                <w:rFonts w:hint="eastAsia"/>
                <w:sz w:val="20"/>
                <w:szCs w:val="20"/>
              </w:rPr>
              <w:t xml:space="preserve"> </w:t>
            </w:r>
            <w:r w:rsidRPr="00685C19">
              <w:rPr>
                <w:sz w:val="20"/>
                <w:szCs w:val="20"/>
              </w:rPr>
              <w:t xml:space="preserve">for E-UTRA (by </w:t>
            </w:r>
            <w:r w:rsidRPr="00685C19">
              <w:rPr>
                <w:i/>
                <w:iCs/>
                <w:sz w:val="20"/>
                <w:szCs w:val="20"/>
              </w:rPr>
              <w:t>tdm-PatternConfig-r15</w:t>
            </w:r>
            <w:r w:rsidRPr="00685C19">
              <w:rPr>
                <w:rFonts w:hint="eastAsia"/>
                <w:sz w:val="20"/>
                <w:szCs w:val="20"/>
              </w:rPr>
              <w:t xml:space="preserve"> </w:t>
            </w:r>
            <w:r w:rsidRPr="00685C19">
              <w:rPr>
                <w:sz w:val="20"/>
                <w:szCs w:val="20"/>
              </w:rPr>
              <w:t xml:space="preserve">or by </w:t>
            </w:r>
            <w:r w:rsidRPr="00685C19">
              <w:rPr>
                <w:i/>
                <w:iCs/>
                <w:sz w:val="20"/>
                <w:szCs w:val="20"/>
              </w:rPr>
              <w:t>tdm-PatternConfig-r16</w:t>
            </w:r>
            <w:r w:rsidRPr="00685C19">
              <w:rPr>
                <w:sz w:val="20"/>
                <w:szCs w:val="20"/>
              </w:rPr>
              <w:t xml:space="preserve"> in </w:t>
            </w:r>
            <w:r w:rsidRPr="00685C19">
              <w:rPr>
                <w:rFonts w:hint="eastAsia"/>
                <w:sz w:val="20"/>
                <w:szCs w:val="20"/>
              </w:rPr>
              <w:t>[13, TS</w:t>
            </w:r>
            <w:r w:rsidRPr="00685C19">
              <w:rPr>
                <w:sz w:val="20"/>
                <w:szCs w:val="20"/>
              </w:rPr>
              <w:t xml:space="preserve"> </w:t>
            </w:r>
            <w:r w:rsidRPr="00685C19">
              <w:rPr>
                <w:rFonts w:hint="eastAsia"/>
                <w:sz w:val="20"/>
                <w:szCs w:val="20"/>
              </w:rPr>
              <w:t>36.213]</w:t>
            </w:r>
            <w:r w:rsidRPr="00685C19">
              <w:rPr>
                <w:sz w:val="20"/>
                <w:szCs w:val="20"/>
              </w:rPr>
              <w:t>)</w:t>
            </w:r>
          </w:p>
          <w:p w14:paraId="23FECC08"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does </w:t>
            </w:r>
            <w:r w:rsidRPr="00685C19">
              <w:rPr>
                <w:sz w:val="20"/>
                <w:szCs w:val="20"/>
                <w:lang w:eastAsia="ja-JP"/>
              </w:rPr>
              <w:t xml:space="preserve">not indicate a capability for dynamic power sharing between E-UTRA and NR for EN-DC, </w:t>
            </w:r>
            <w:r w:rsidRPr="00685C19">
              <w:rPr>
                <w:sz w:val="20"/>
                <w:szCs w:val="20"/>
              </w:rPr>
              <w:t>the UE does</w:t>
            </w:r>
            <w:r w:rsidRPr="00685C19">
              <w:rPr>
                <w:rFonts w:hint="eastAsia"/>
                <w:sz w:val="20"/>
                <w:szCs w:val="20"/>
              </w:rPr>
              <w:t xml:space="preserve"> not transmit</w:t>
            </w:r>
            <w:r w:rsidRPr="00685C19">
              <w:rPr>
                <w:sz w:val="20"/>
                <w:szCs w:val="20"/>
              </w:rPr>
              <w:t xml:space="preserve"> in a slot on the SCG in FR1 when a corresponding subframe on the MCG </w:t>
            </w:r>
            <w:r w:rsidRPr="00685C19">
              <w:rPr>
                <w:rFonts w:hint="eastAsia"/>
                <w:sz w:val="20"/>
                <w:szCs w:val="20"/>
              </w:rPr>
              <w:t>is an</w:t>
            </w:r>
            <w:r w:rsidRPr="00685C19">
              <w:rPr>
                <w:sz w:val="20"/>
                <w:szCs w:val="20"/>
              </w:rPr>
              <w:t xml:space="preserve"> UL </w:t>
            </w:r>
            <w:r w:rsidRPr="00685C19">
              <w:rPr>
                <w:rFonts w:hint="eastAsia"/>
                <w:sz w:val="20"/>
                <w:szCs w:val="20"/>
              </w:rPr>
              <w:t xml:space="preserve">subframe </w:t>
            </w:r>
            <w:r w:rsidRPr="00685C19">
              <w:rPr>
                <w:sz w:val="20"/>
                <w:szCs w:val="20"/>
              </w:rPr>
              <w:t>in the reference TDD configuration.</w:t>
            </w:r>
          </w:p>
          <w:p w14:paraId="00E60FB9"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indicates a capability for dynamic power sharing between E-UTRA and NR for EN-DC, and does not indicate a capability </w:t>
            </w:r>
            <w:r w:rsidRPr="00685C19">
              <w:rPr>
                <w:i/>
                <w:iCs/>
                <w:sz w:val="20"/>
                <w:szCs w:val="20"/>
              </w:rPr>
              <w:t>tdm-Pattern-dualTx</w:t>
            </w:r>
            <w:r w:rsidRPr="00685C19">
              <w:rPr>
                <w:sz w:val="20"/>
                <w:szCs w:val="20"/>
              </w:rPr>
              <w:t xml:space="preserve"> in [16, TS 38.306], and is configured with </w:t>
            </w:r>
            <w:r w:rsidRPr="00685C19">
              <w:rPr>
                <w:i/>
                <w:iCs/>
                <w:sz w:val="20"/>
                <w:szCs w:val="20"/>
              </w:rPr>
              <w:t>tdm-PatternConfig-r16</w:t>
            </w:r>
            <w:r w:rsidRPr="00685C19">
              <w:rPr>
                <w:sz w:val="20"/>
                <w:szCs w:val="20"/>
              </w:rPr>
              <w:t>, the UE does not transmit on the SCG in FR1 when the UE has overlapped transmission on a subframe on the MCG.</w:t>
            </w:r>
          </w:p>
          <w:p w14:paraId="4E60652B" w14:textId="14F5E442" w:rsidR="00685C19" w:rsidRPr="00685C19" w:rsidRDefault="00685C19" w:rsidP="00685C19">
            <w:pPr>
              <w:pStyle w:val="B1"/>
              <w:rPr>
                <w:sz w:val="20"/>
                <w:szCs w:val="20"/>
                <w:u w:val="single"/>
              </w:rPr>
            </w:pPr>
            <w:r w:rsidRPr="00685C19">
              <w:rPr>
                <w:color w:val="FF0000"/>
                <w:sz w:val="20"/>
                <w:szCs w:val="20"/>
                <w:u w:val="single"/>
              </w:rPr>
              <w:t>-  If the UE indicates a capability for dynamic power sharing between E-UTRA and NR for EN-DC, and indicates a capability tdm-Pattern-dualTx and a capability semi-staticULTransInAllSubframe in [16, TS 38.306], and is configured with tdm-PatternConfig-r16, the UE does not transmit on the SCG in FR1 when the UE has overlapped transmission that is not associated with a DCI on a subframe on the MCG.</w:t>
            </w:r>
          </w:p>
        </w:tc>
        <w:tc>
          <w:tcPr>
            <w:tcW w:w="9629" w:type="dxa"/>
          </w:tcPr>
          <w:p w14:paraId="5BD7C9BB" w14:textId="516943F1" w:rsidR="00685C19" w:rsidRPr="00685C19" w:rsidRDefault="00685C19" w:rsidP="00685C19">
            <w:pPr>
              <w:pStyle w:val="B1"/>
              <w:rPr>
                <w:sz w:val="20"/>
                <w:szCs w:val="20"/>
              </w:rPr>
            </w:pPr>
          </w:p>
        </w:tc>
      </w:tr>
    </w:tbl>
    <w:p w14:paraId="6B2DD3F6" w14:textId="5A551C77" w:rsidR="0025790F" w:rsidRDefault="0025790F" w:rsidP="0025790F">
      <w:pPr>
        <w:rPr>
          <w:lang w:eastAsia="ja-JP" w:bidi="hi-IN"/>
        </w:rPr>
      </w:pPr>
    </w:p>
    <w:p w14:paraId="0E31E590" w14:textId="05E76695" w:rsidR="0025790F" w:rsidRDefault="0025790F" w:rsidP="0025790F">
      <w:pPr>
        <w:rPr>
          <w:lang w:eastAsia="ja-JP" w:bidi="hi-IN"/>
        </w:rPr>
      </w:pPr>
    </w:p>
    <w:tbl>
      <w:tblPr>
        <w:tblStyle w:val="ae"/>
        <w:tblW w:w="0" w:type="auto"/>
        <w:tblLook w:val="04A0" w:firstRow="1" w:lastRow="0" w:firstColumn="1" w:lastColumn="0" w:noHBand="0" w:noVBand="1"/>
      </w:tblPr>
      <w:tblGrid>
        <w:gridCol w:w="9628"/>
      </w:tblGrid>
      <w:tr w:rsidR="00685C19" w:rsidRPr="00685C19" w14:paraId="138858D5" w14:textId="77777777" w:rsidTr="006A334D">
        <w:tc>
          <w:tcPr>
            <w:tcW w:w="9628" w:type="dxa"/>
          </w:tcPr>
          <w:p w14:paraId="154D636B" w14:textId="34720ABD" w:rsidR="00685C19" w:rsidRDefault="00685C19" w:rsidP="00685C19">
            <w:pPr>
              <w:ind w:firstLineChars="50" w:firstLine="100"/>
              <w:rPr>
                <w:sz w:val="20"/>
                <w:szCs w:val="20"/>
                <w:lang w:eastAsia="ja-JP"/>
              </w:rPr>
            </w:pPr>
            <w:r w:rsidRPr="00510185">
              <w:rPr>
                <w:sz w:val="20"/>
                <w:szCs w:val="20"/>
              </w:rPr>
              <w:lastRenderedPageBreak/>
              <w:t xml:space="preserve">---------------------------- start </w:t>
            </w:r>
            <w:r>
              <w:rPr>
                <w:sz w:val="20"/>
                <w:szCs w:val="20"/>
              </w:rPr>
              <w:t xml:space="preserve">ZTE </w:t>
            </w:r>
            <w:r w:rsidRPr="00510185">
              <w:rPr>
                <w:sz w:val="20"/>
                <w:szCs w:val="20"/>
              </w:rPr>
              <w:t xml:space="preserve">TP to sub clause </w:t>
            </w:r>
            <w:r>
              <w:rPr>
                <w:sz w:val="20"/>
                <w:szCs w:val="20"/>
              </w:rPr>
              <w:t>5</w:t>
            </w:r>
            <w:r w:rsidRPr="00510185">
              <w:rPr>
                <w:sz w:val="20"/>
                <w:szCs w:val="20"/>
              </w:rPr>
              <w:t>.1 of 3</w:t>
            </w:r>
            <w:r>
              <w:rPr>
                <w:sz w:val="20"/>
                <w:szCs w:val="20"/>
              </w:rPr>
              <w:t>6</w:t>
            </w:r>
            <w:r w:rsidRPr="00510185">
              <w:rPr>
                <w:sz w:val="20"/>
                <w:szCs w:val="20"/>
              </w:rPr>
              <w:t>.213v16.</w:t>
            </w:r>
            <w:r>
              <w:rPr>
                <w:sz w:val="20"/>
                <w:szCs w:val="20"/>
              </w:rPr>
              <w:t>1</w:t>
            </w:r>
            <w:r w:rsidRPr="00510185">
              <w:rPr>
                <w:sz w:val="20"/>
                <w:szCs w:val="20"/>
              </w:rPr>
              <w:t>.0 --------------------------------------</w:t>
            </w:r>
          </w:p>
          <w:p w14:paraId="5A8EDAB3" w14:textId="0099FD10" w:rsidR="00685C19" w:rsidRPr="00685C19" w:rsidRDefault="00685C19" w:rsidP="006A334D">
            <w:pPr>
              <w:rPr>
                <w:sz w:val="20"/>
                <w:szCs w:val="20"/>
              </w:rPr>
            </w:pPr>
            <w:r>
              <w:rPr>
                <w:bCs/>
                <w:noProof/>
                <w:sz w:val="20"/>
                <w:szCs w:val="20"/>
              </w:rPr>
              <w:t>F</w:t>
            </w:r>
            <w:r w:rsidRPr="00685C19">
              <w:rPr>
                <w:bCs/>
                <w:noProof/>
                <w:sz w:val="20"/>
                <w:szCs w:val="20"/>
              </w:rPr>
              <w:t xml:space="preserve">or a UE configured with EN-DC, if the UE does not indicate </w:t>
            </w:r>
            <w:r w:rsidRPr="00685C19">
              <w:rPr>
                <w:sz w:val="20"/>
                <w:szCs w:val="20"/>
              </w:rPr>
              <w:t>a capability for dynamic power sharing (as specified in [17])</w:t>
            </w:r>
            <w:r w:rsidRPr="00685C19">
              <w:rPr>
                <w:bCs/>
                <w:noProof/>
                <w:sz w:val="20"/>
                <w:szCs w:val="20"/>
              </w:rPr>
              <w:t xml:space="preserve"> and </w:t>
            </w:r>
            <w:r w:rsidRPr="00685C19">
              <w:rPr>
                <w:sz w:val="20"/>
                <w:szCs w:val="20"/>
              </w:rPr>
              <w:t xml:space="preserve">if the UE is configured with </w:t>
            </w:r>
            <w:r w:rsidRPr="00685C19">
              <w:rPr>
                <w:i/>
                <w:sz w:val="20"/>
                <w:szCs w:val="20"/>
              </w:rPr>
              <w:t xml:space="preserve">subframeAssignment-r16 </w:t>
            </w:r>
            <w:r w:rsidRPr="00685C19">
              <w:rPr>
                <w:sz w:val="20"/>
                <w:szCs w:val="20"/>
              </w:rPr>
              <w:t xml:space="preserve">for a serving cell, the UE </w:t>
            </w:r>
            <w:r w:rsidRPr="00685C19">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sidRPr="00685C19">
              <w:rPr>
                <w:sz w:val="20"/>
                <w:szCs w:val="20"/>
              </w:rPr>
              <w:t xml:space="preserve">offset value given by </w:t>
            </w:r>
            <w:r w:rsidRPr="00685C19">
              <w:rPr>
                <w:bCs/>
                <w:i/>
                <w:sz w:val="20"/>
                <w:szCs w:val="20"/>
                <w:lang w:val="x-none"/>
              </w:rPr>
              <w:t>harq-Offset</w:t>
            </w:r>
            <w:r w:rsidRPr="00685C19">
              <w:rPr>
                <w:bCs/>
                <w:i/>
                <w:sz w:val="20"/>
                <w:szCs w:val="20"/>
              </w:rPr>
              <w:t>-r16</w:t>
            </w:r>
            <w:r w:rsidRPr="00685C19">
              <w:rPr>
                <w:rFonts w:ascii="Times" w:hAnsi="Times"/>
                <w:sz w:val="20"/>
                <w:szCs w:val="20"/>
              </w:rPr>
              <w:t xml:space="preserve"> to the subframes denoted as uplink in the </w:t>
            </w:r>
            <w:r w:rsidRPr="00685C19">
              <w:rPr>
                <w:sz w:val="20"/>
                <w:szCs w:val="20"/>
              </w:rPr>
              <w:t xml:space="preserve">UL/DL configuration </w:t>
            </w:r>
            <w:r w:rsidRPr="00685C19">
              <w:rPr>
                <w:i/>
                <w:sz w:val="20"/>
                <w:szCs w:val="20"/>
              </w:rPr>
              <w:t>subframeAssignment-r16</w:t>
            </w:r>
            <w:r w:rsidRPr="00685C19">
              <w:rPr>
                <w:sz w:val="20"/>
                <w:szCs w:val="20"/>
              </w:rPr>
              <w:t>.</w:t>
            </w:r>
          </w:p>
          <w:p w14:paraId="3568E0E4" w14:textId="77777777" w:rsidR="00685C19" w:rsidRPr="00685C19" w:rsidRDefault="00685C19" w:rsidP="006A334D">
            <w:pPr>
              <w:rPr>
                <w:sz w:val="20"/>
                <w:szCs w:val="20"/>
                <w:u w:val="single"/>
              </w:rPr>
            </w:pPr>
            <w:r w:rsidRPr="00685C19">
              <w:rPr>
                <w:rFonts w:hint="eastAsia"/>
                <w:color w:val="FF0000"/>
                <w:sz w:val="20"/>
                <w:szCs w:val="20"/>
                <w:u w:val="single"/>
                <w:lang w:val="en-GB"/>
              </w:rPr>
              <w:t>F</w:t>
            </w:r>
            <w:r w:rsidRPr="00685C19">
              <w:rPr>
                <w:color w:val="FF0000"/>
                <w:sz w:val="20"/>
                <w:szCs w:val="20"/>
                <w:u w:val="single"/>
                <w:lang w:val="en-GB"/>
              </w:rPr>
              <w:t>or a UE</w:t>
            </w:r>
            <w:r w:rsidRPr="00685C19">
              <w:rPr>
                <w:bCs/>
                <w:noProof/>
                <w:color w:val="FF0000"/>
                <w:sz w:val="20"/>
                <w:szCs w:val="20"/>
                <w:u w:val="single"/>
              </w:rPr>
              <w:t xml:space="preserve"> configured with EN-DC, if the UE indicates </w:t>
            </w:r>
            <w:r w:rsidRPr="00685C19">
              <w:rPr>
                <w:color w:val="FF0000"/>
                <w:sz w:val="20"/>
                <w:szCs w:val="20"/>
                <w:u w:val="single"/>
              </w:rPr>
              <w:t xml:space="preserve">a capability for dynamic power sharing and does not indicate a capability </w:t>
            </w:r>
            <w:r w:rsidRPr="00685C19">
              <w:rPr>
                <w:i/>
                <w:color w:val="FF0000"/>
                <w:sz w:val="20"/>
                <w:szCs w:val="20"/>
                <w:u w:val="single"/>
              </w:rPr>
              <w:t>semi-staticULTransInAllSubframe</w:t>
            </w:r>
            <w:r w:rsidRPr="00685C19">
              <w:rPr>
                <w:color w:val="FF0000"/>
                <w:sz w:val="20"/>
                <w:szCs w:val="20"/>
                <w:u w:val="single"/>
              </w:rPr>
              <w:t xml:space="preserve"> (as specified in [17])</w:t>
            </w:r>
            <w:r w:rsidRPr="00685C19">
              <w:rPr>
                <w:bCs/>
                <w:noProof/>
                <w:color w:val="FF0000"/>
                <w:sz w:val="20"/>
                <w:szCs w:val="20"/>
                <w:u w:val="single"/>
              </w:rPr>
              <w:t xml:space="preserve"> and </w:t>
            </w:r>
            <w:r w:rsidRPr="00685C19">
              <w:rPr>
                <w:color w:val="FF0000"/>
                <w:sz w:val="20"/>
                <w:szCs w:val="20"/>
                <w:u w:val="single"/>
              </w:rPr>
              <w:t xml:space="preserve">if the UE is configured with </w:t>
            </w:r>
            <w:r w:rsidRPr="00685C19">
              <w:rPr>
                <w:i/>
                <w:color w:val="FF0000"/>
                <w:sz w:val="20"/>
                <w:szCs w:val="20"/>
                <w:u w:val="single"/>
              </w:rPr>
              <w:t xml:space="preserve">subframeAssignment-r16 </w:t>
            </w:r>
            <w:r w:rsidRPr="00685C19">
              <w:rPr>
                <w:color w:val="FF0000"/>
                <w:sz w:val="20"/>
                <w:szCs w:val="20"/>
                <w:u w:val="single"/>
              </w:rPr>
              <w:t xml:space="preserve">for a serving cell, the UE is not expected to transmit any uplink physical channel or signal without associated DCI in the serving cell on subframes other than offset-UL </w:t>
            </w:r>
            <w:r w:rsidRPr="00685C19">
              <w:rPr>
                <w:rFonts w:ascii="Times" w:hAnsi="Times"/>
                <w:color w:val="FF0000"/>
                <w:sz w:val="20"/>
                <w:szCs w:val="20"/>
                <w:u w:val="single"/>
              </w:rPr>
              <w:t xml:space="preserve">subframes, where the offset-UL subframes are determined by applying an </w:t>
            </w:r>
            <w:r w:rsidRPr="00685C19">
              <w:rPr>
                <w:color w:val="FF0000"/>
                <w:sz w:val="20"/>
                <w:szCs w:val="20"/>
                <w:u w:val="single"/>
              </w:rPr>
              <w:t xml:space="preserve">offset value given by </w:t>
            </w:r>
            <w:r w:rsidRPr="00685C19">
              <w:rPr>
                <w:bCs/>
                <w:i/>
                <w:color w:val="FF0000"/>
                <w:sz w:val="20"/>
                <w:szCs w:val="20"/>
                <w:u w:val="single"/>
                <w:lang w:val="x-none"/>
              </w:rPr>
              <w:t>harq-Offset</w:t>
            </w:r>
            <w:r w:rsidRPr="00685C19">
              <w:rPr>
                <w:bCs/>
                <w:i/>
                <w:color w:val="FF0000"/>
                <w:sz w:val="20"/>
                <w:szCs w:val="20"/>
                <w:u w:val="single"/>
              </w:rPr>
              <w:t>-r16</w:t>
            </w:r>
            <w:r w:rsidRPr="00685C19">
              <w:rPr>
                <w:rFonts w:ascii="Times" w:hAnsi="Times"/>
                <w:color w:val="FF0000"/>
                <w:sz w:val="20"/>
                <w:szCs w:val="20"/>
                <w:u w:val="single"/>
              </w:rPr>
              <w:t xml:space="preserve"> to the subframes denoted as uplink in the </w:t>
            </w:r>
            <w:r w:rsidRPr="00685C19">
              <w:rPr>
                <w:color w:val="FF0000"/>
                <w:sz w:val="20"/>
                <w:szCs w:val="20"/>
                <w:u w:val="single"/>
              </w:rPr>
              <w:t xml:space="preserve">UL/DL configuration </w:t>
            </w:r>
            <w:r w:rsidRPr="00685C19">
              <w:rPr>
                <w:i/>
                <w:color w:val="FF0000"/>
                <w:sz w:val="20"/>
                <w:szCs w:val="20"/>
                <w:u w:val="single"/>
              </w:rPr>
              <w:t>subframeAssignment-r16</w:t>
            </w:r>
            <w:r w:rsidRPr="00685C19">
              <w:rPr>
                <w:color w:val="FF0000"/>
                <w:sz w:val="20"/>
                <w:szCs w:val="20"/>
                <w:u w:val="single"/>
              </w:rPr>
              <w:t>.</w:t>
            </w:r>
          </w:p>
        </w:tc>
      </w:tr>
    </w:tbl>
    <w:p w14:paraId="19571322" w14:textId="77777777" w:rsidR="00685C19" w:rsidRDefault="00685C19" w:rsidP="0025790F">
      <w:pPr>
        <w:rPr>
          <w:lang w:eastAsia="ja-JP" w:bidi="hi-IN"/>
        </w:rPr>
      </w:pPr>
    </w:p>
    <w:tbl>
      <w:tblPr>
        <w:tblStyle w:val="ae"/>
        <w:tblW w:w="0" w:type="auto"/>
        <w:tblLook w:val="04A0" w:firstRow="1" w:lastRow="0" w:firstColumn="1" w:lastColumn="0" w:noHBand="0" w:noVBand="1"/>
      </w:tblPr>
      <w:tblGrid>
        <w:gridCol w:w="9629"/>
      </w:tblGrid>
      <w:tr w:rsidR="0062765A" w:rsidRPr="0062765A" w14:paraId="5E1BEF11" w14:textId="77777777" w:rsidTr="006A334D">
        <w:tc>
          <w:tcPr>
            <w:tcW w:w="9962" w:type="dxa"/>
          </w:tcPr>
          <w:p w14:paraId="1EEBE089" w14:textId="66CECBC2" w:rsidR="0062765A" w:rsidRDefault="0062765A" w:rsidP="0062765A">
            <w:pPr>
              <w:ind w:firstLineChars="50" w:firstLine="100"/>
              <w:rPr>
                <w:sz w:val="20"/>
                <w:szCs w:val="20"/>
                <w:lang w:eastAsia="ja-JP"/>
              </w:rPr>
            </w:pPr>
            <w:r w:rsidRPr="00510185">
              <w:rPr>
                <w:sz w:val="20"/>
                <w:szCs w:val="20"/>
              </w:rPr>
              <w:t xml:space="preserve">---------------------------- start </w:t>
            </w:r>
            <w:r>
              <w:rPr>
                <w:sz w:val="20"/>
                <w:szCs w:val="20"/>
              </w:rPr>
              <w:t>Qualcom</w:t>
            </w:r>
            <w:r w:rsidR="00F2489F">
              <w:rPr>
                <w:sz w:val="20"/>
                <w:szCs w:val="20"/>
              </w:rPr>
              <w:t>m</w:t>
            </w:r>
            <w:r>
              <w:rPr>
                <w:sz w:val="20"/>
                <w:szCs w:val="20"/>
              </w:rPr>
              <w:t xml:space="preserve"> </w:t>
            </w:r>
            <w:r w:rsidRPr="00510185">
              <w:rPr>
                <w:sz w:val="20"/>
                <w:szCs w:val="20"/>
              </w:rPr>
              <w:t xml:space="preserve">TP to clause </w:t>
            </w:r>
            <w:r w:rsidR="00F2489F">
              <w:rPr>
                <w:sz w:val="20"/>
                <w:szCs w:val="20"/>
              </w:rPr>
              <w:t>6 or 8</w:t>
            </w:r>
            <w:r w:rsidRPr="00510185">
              <w:rPr>
                <w:sz w:val="20"/>
                <w:szCs w:val="20"/>
              </w:rPr>
              <w:t xml:space="preserve"> of 3</w:t>
            </w:r>
            <w:r>
              <w:rPr>
                <w:sz w:val="20"/>
                <w:szCs w:val="20"/>
              </w:rPr>
              <w:t>6</w:t>
            </w:r>
            <w:r w:rsidRPr="00510185">
              <w:rPr>
                <w:sz w:val="20"/>
                <w:szCs w:val="20"/>
              </w:rPr>
              <w:t>.213v16.</w:t>
            </w:r>
            <w:r>
              <w:rPr>
                <w:sz w:val="20"/>
                <w:szCs w:val="20"/>
              </w:rPr>
              <w:t>1</w:t>
            </w:r>
            <w:r w:rsidRPr="00510185">
              <w:rPr>
                <w:sz w:val="20"/>
                <w:szCs w:val="20"/>
              </w:rPr>
              <w:t>.0 --------------------------------------</w:t>
            </w:r>
          </w:p>
          <w:p w14:paraId="5DE8992F" w14:textId="4A75A947" w:rsidR="0062765A" w:rsidRPr="0062765A" w:rsidRDefault="0062765A" w:rsidP="006A334D">
            <w:pPr>
              <w:rPr>
                <w:sz w:val="20"/>
                <w:szCs w:val="20"/>
                <w:lang w:val="en-GB" w:eastAsia="en-GB"/>
              </w:rPr>
            </w:pPr>
            <w:r>
              <w:rPr>
                <w:bCs/>
                <w:noProof/>
                <w:sz w:val="20"/>
                <w:szCs w:val="20"/>
                <w:lang w:val="en-GB" w:eastAsia="en-GB"/>
              </w:rPr>
              <w:t>F</w:t>
            </w:r>
            <w:r w:rsidRPr="0062765A">
              <w:rPr>
                <w:bCs/>
                <w:noProof/>
                <w:sz w:val="20"/>
                <w:szCs w:val="20"/>
                <w:lang w:val="en-GB" w:eastAsia="en-GB"/>
              </w:rPr>
              <w:t xml:space="preserve">or a UE configured with EN-DC/NE-DC and serving cell frame structure type 1, </w:t>
            </w:r>
            <w:r w:rsidRPr="0062765A">
              <w:rPr>
                <w:sz w:val="20"/>
                <w:szCs w:val="20"/>
                <w:lang w:val="en-GB" w:eastAsia="en-GB"/>
              </w:rPr>
              <w:t xml:space="preserve">if the UE is configured with </w:t>
            </w:r>
            <w:r w:rsidRPr="0062765A">
              <w:rPr>
                <w:i/>
                <w:sz w:val="20"/>
                <w:szCs w:val="20"/>
                <w:lang w:val="en-GB" w:eastAsia="en-GB"/>
              </w:rPr>
              <w:t xml:space="preserve">subframeAssignment-r15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eastAsia="en-GB"/>
              </w:rPr>
              <w:t>-r15</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subframeAssignment-r15</w:t>
            </w:r>
            <w:r w:rsidRPr="0062765A">
              <w:rPr>
                <w:sz w:val="20"/>
                <w:szCs w:val="20"/>
                <w:lang w:val="en-GB" w:eastAsia="en-GB"/>
              </w:rPr>
              <w:t>.</w:t>
            </w:r>
          </w:p>
          <w:p w14:paraId="3F499710" w14:textId="77777777" w:rsidR="0062765A" w:rsidRPr="0062765A" w:rsidRDefault="0062765A" w:rsidP="006A334D">
            <w:pPr>
              <w:rPr>
                <w:sz w:val="20"/>
                <w:szCs w:val="20"/>
                <w:lang w:val="en-GB" w:eastAsia="en-GB"/>
              </w:rPr>
            </w:pPr>
            <w:r w:rsidRPr="0062765A">
              <w:rPr>
                <w:bCs/>
                <w:noProof/>
                <w:sz w:val="20"/>
                <w:szCs w:val="20"/>
                <w:lang w:val="en-GB" w:eastAsia="en-GB"/>
              </w:rPr>
              <w:t xml:space="preserve">For a UE configured with EN-DC, if the UE does not indicate </w:t>
            </w:r>
            <w:r w:rsidRPr="0062765A">
              <w:rPr>
                <w:sz w:val="20"/>
                <w:szCs w:val="20"/>
                <w:lang w:val="en-GB" w:eastAsia="en-GB"/>
              </w:rPr>
              <w:t>a capability for dynamic power sharing (as specified in [17])</w:t>
            </w:r>
            <w:r w:rsidRPr="0062765A">
              <w:rPr>
                <w:bCs/>
                <w:noProof/>
                <w:sz w:val="20"/>
                <w:szCs w:val="20"/>
                <w:lang w:val="en-GB" w:eastAsia="en-GB"/>
              </w:rPr>
              <w:t xml:space="preserve"> and </w:t>
            </w:r>
            <w:r w:rsidRPr="0062765A">
              <w:rPr>
                <w:sz w:val="20"/>
                <w:szCs w:val="20"/>
                <w:lang w:val="en-GB" w:eastAsia="en-GB"/>
              </w:rPr>
              <w:t xml:space="preserve">if the UE is configured with </w:t>
            </w:r>
            <w:r w:rsidRPr="0062765A">
              <w:rPr>
                <w:i/>
                <w:sz w:val="20"/>
                <w:szCs w:val="20"/>
                <w:lang w:val="en-GB" w:eastAsia="en-GB"/>
              </w:rPr>
              <w:t xml:space="preserve">subframeAssignment-r16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val="en-GB" w:eastAsia="en-GB"/>
              </w:rPr>
              <w:t>-r16</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subframeAssignment-r16</w:t>
            </w:r>
            <w:r w:rsidRPr="0062765A">
              <w:rPr>
                <w:sz w:val="20"/>
                <w:szCs w:val="20"/>
                <w:lang w:val="en-GB" w:eastAsia="en-GB"/>
              </w:rPr>
              <w:t>.</w:t>
            </w:r>
          </w:p>
          <w:p w14:paraId="05350560" w14:textId="77777777" w:rsidR="0062765A" w:rsidRPr="0062765A" w:rsidRDefault="0062765A" w:rsidP="006A334D">
            <w:pPr>
              <w:rPr>
                <w:sz w:val="20"/>
                <w:szCs w:val="20"/>
                <w:u w:val="single"/>
                <w:lang w:val="en-GB" w:eastAsia="en-GB"/>
              </w:rPr>
            </w:pPr>
            <w:r w:rsidRPr="0062765A">
              <w:rPr>
                <w:rFonts w:hint="eastAsia"/>
                <w:color w:val="FF0000"/>
                <w:sz w:val="20"/>
                <w:szCs w:val="20"/>
                <w:u w:val="single"/>
                <w:lang w:val="en-GB"/>
              </w:rPr>
              <w:t>F</w:t>
            </w:r>
            <w:r w:rsidRPr="0062765A">
              <w:rPr>
                <w:color w:val="FF0000"/>
                <w:sz w:val="20"/>
                <w:szCs w:val="20"/>
                <w:u w:val="single"/>
                <w:lang w:val="en-GB"/>
              </w:rPr>
              <w:t xml:space="preserve">or a UE configured with EN-DC, if the UE indicates a capability for dynamic power sharing (as specified in [17]) and if the UE is configured with </w:t>
            </w:r>
            <w:r w:rsidRPr="0062765A">
              <w:rPr>
                <w:i/>
                <w:iCs/>
                <w:color w:val="FF0000"/>
                <w:sz w:val="20"/>
                <w:szCs w:val="20"/>
                <w:u w:val="single"/>
                <w:lang w:val="en-GB"/>
              </w:rPr>
              <w:t>subframeAssignment-r16</w:t>
            </w:r>
            <w:r w:rsidRPr="0062765A">
              <w:rPr>
                <w:color w:val="FF0000"/>
                <w:sz w:val="20"/>
                <w:szCs w:val="20"/>
                <w:u w:val="single"/>
                <w:lang w:val="en-GB"/>
              </w:rPr>
              <w:t xml:space="preserve"> for the serving cell, the UE is not expected to be configured or indicated to transmit any uplink physical channel or signal, in the serving cell on subframes other than offset-UL subframes</w:t>
            </w:r>
            <w:r w:rsidRPr="0062765A">
              <w:rPr>
                <w:rFonts w:ascii="Times" w:hAnsi="Times"/>
                <w:color w:val="FF0000"/>
                <w:sz w:val="20"/>
                <w:szCs w:val="20"/>
                <w:u w:val="single"/>
                <w:lang w:val="en-GB" w:eastAsia="en-GB"/>
              </w:rPr>
              <w:t xml:space="preserve">, where the offset-UL subframes are determined by applying an </w:t>
            </w:r>
            <w:r w:rsidRPr="0062765A">
              <w:rPr>
                <w:color w:val="FF0000"/>
                <w:sz w:val="20"/>
                <w:szCs w:val="20"/>
                <w:u w:val="single"/>
                <w:lang w:val="en-GB" w:eastAsia="en-GB"/>
              </w:rPr>
              <w:t xml:space="preserve">offset value given by </w:t>
            </w:r>
            <w:r w:rsidRPr="0062765A">
              <w:rPr>
                <w:bCs/>
                <w:i/>
                <w:color w:val="FF0000"/>
                <w:sz w:val="20"/>
                <w:szCs w:val="20"/>
                <w:u w:val="single"/>
                <w:lang w:val="x-none" w:eastAsia="en-GB"/>
              </w:rPr>
              <w:t>harq-Offset</w:t>
            </w:r>
            <w:r w:rsidRPr="0062765A">
              <w:rPr>
                <w:bCs/>
                <w:i/>
                <w:color w:val="FF0000"/>
                <w:sz w:val="20"/>
                <w:szCs w:val="20"/>
                <w:u w:val="single"/>
                <w:lang w:eastAsia="en-GB"/>
              </w:rPr>
              <w:t>-r16</w:t>
            </w:r>
            <w:r w:rsidRPr="0062765A">
              <w:rPr>
                <w:rFonts w:ascii="Times" w:hAnsi="Times"/>
                <w:color w:val="FF0000"/>
                <w:sz w:val="20"/>
                <w:szCs w:val="20"/>
                <w:u w:val="single"/>
                <w:lang w:val="en-GB" w:eastAsia="en-GB"/>
              </w:rPr>
              <w:t xml:space="preserve"> to the subframes denoted as uplink in the </w:t>
            </w:r>
            <w:r w:rsidRPr="0062765A">
              <w:rPr>
                <w:color w:val="FF0000"/>
                <w:sz w:val="20"/>
                <w:szCs w:val="20"/>
                <w:u w:val="single"/>
                <w:lang w:val="en-GB" w:eastAsia="en-GB"/>
              </w:rPr>
              <w:t xml:space="preserve">UL/DL configuration </w:t>
            </w:r>
            <w:r w:rsidRPr="0062765A">
              <w:rPr>
                <w:i/>
                <w:color w:val="FF0000"/>
                <w:sz w:val="20"/>
                <w:szCs w:val="20"/>
                <w:u w:val="single"/>
                <w:lang w:val="en-GB" w:eastAsia="en-GB"/>
              </w:rPr>
              <w:t>subframeAssignment-r16</w:t>
            </w:r>
            <w:r w:rsidRPr="0062765A">
              <w:rPr>
                <w:iCs/>
                <w:color w:val="FF0000"/>
                <w:sz w:val="20"/>
                <w:szCs w:val="20"/>
                <w:u w:val="single"/>
                <w:lang w:val="en-GB" w:eastAsia="en-GB"/>
              </w:rPr>
              <w:t>, if the UE does not</w:t>
            </w:r>
            <w:r w:rsidRPr="0062765A">
              <w:rPr>
                <w:rFonts w:hint="eastAsia"/>
                <w:iCs/>
                <w:color w:val="FF0000"/>
                <w:sz w:val="20"/>
                <w:szCs w:val="20"/>
                <w:u w:val="single"/>
                <w:lang w:val="en-GB"/>
              </w:rPr>
              <w:t xml:space="preserve"> </w:t>
            </w:r>
            <w:r w:rsidRPr="0062765A">
              <w:rPr>
                <w:iCs/>
                <w:color w:val="FF0000"/>
                <w:sz w:val="20"/>
                <w:szCs w:val="20"/>
                <w:u w:val="single"/>
                <w:lang w:val="en-GB"/>
              </w:rPr>
              <w:t>indicate</w:t>
            </w:r>
            <w:r w:rsidRPr="0062765A">
              <w:rPr>
                <w:iCs/>
                <w:color w:val="FF0000"/>
                <w:sz w:val="20"/>
                <w:szCs w:val="20"/>
                <w:u w:val="single"/>
                <w:lang w:val="en-GB" w:eastAsia="en-GB"/>
              </w:rPr>
              <w:t xml:space="preserve"> the UE capability </w:t>
            </w:r>
            <w:r w:rsidRPr="0062765A">
              <w:rPr>
                <w:i/>
                <w:color w:val="FF0000"/>
                <w:sz w:val="20"/>
                <w:szCs w:val="20"/>
                <w:u w:val="single"/>
                <w:lang w:val="en-GB" w:eastAsia="en-GB"/>
              </w:rPr>
              <w:t>[FG18-2a or FG18-3a]</w:t>
            </w:r>
            <w:r w:rsidRPr="0062765A">
              <w:rPr>
                <w:iCs/>
                <w:color w:val="FF0000"/>
                <w:sz w:val="20"/>
                <w:szCs w:val="20"/>
                <w:u w:val="single"/>
                <w:lang w:val="en-GB" w:eastAsia="en-GB"/>
              </w:rPr>
              <w:t xml:space="preserve"> (as specified in [17]).</w:t>
            </w:r>
          </w:p>
        </w:tc>
      </w:tr>
    </w:tbl>
    <w:p w14:paraId="01622E0F" w14:textId="52EE0E5E" w:rsidR="0025790F" w:rsidRDefault="0025790F" w:rsidP="0025790F">
      <w:pPr>
        <w:rPr>
          <w:lang w:eastAsia="ja-JP" w:bidi="hi-IN"/>
        </w:rPr>
      </w:pPr>
    </w:p>
    <w:p w14:paraId="11AA1C18" w14:textId="0B16E6B7" w:rsidR="00E82C7D" w:rsidRDefault="00E82C7D" w:rsidP="00E82C7D">
      <w:pPr>
        <w:jc w:val="both"/>
        <w:rPr>
          <w:sz w:val="20"/>
          <w:szCs w:val="20"/>
          <w:lang w:eastAsia="ja-JP" w:bidi="hi-IN"/>
        </w:rPr>
      </w:pPr>
      <w:r w:rsidRPr="00E82C7D">
        <w:rPr>
          <w:sz w:val="20"/>
          <w:szCs w:val="20"/>
          <w:lang w:eastAsia="ja-JP" w:bidi="hi-IN"/>
        </w:rPr>
        <w:t>As the exact definition of the corresponding UE capability will be discussed in this meeting, and there are different proposals, it might be desirable to wait until the corresponding UE feature discussed is concluded.</w:t>
      </w:r>
    </w:p>
    <w:p w14:paraId="089DAF02" w14:textId="244F9FDE" w:rsidR="00E82C7D" w:rsidRDefault="00E82C7D" w:rsidP="00E82C7D">
      <w:pPr>
        <w:jc w:val="both"/>
        <w:rPr>
          <w:sz w:val="20"/>
          <w:szCs w:val="20"/>
          <w:lang w:eastAsia="ja-JP" w:bidi="hi-IN"/>
        </w:rPr>
      </w:pPr>
    </w:p>
    <w:p w14:paraId="1DB4CDB5" w14:textId="3D8AD8F4" w:rsidR="00E82C7D" w:rsidRPr="00E82C7D" w:rsidRDefault="00E82C7D" w:rsidP="00E82C7D">
      <w:pPr>
        <w:jc w:val="both"/>
        <w:rPr>
          <w:i/>
          <w:iCs/>
          <w:sz w:val="20"/>
          <w:szCs w:val="20"/>
          <w:lang w:eastAsia="ja-JP" w:bidi="hi-IN"/>
        </w:rPr>
      </w:pPr>
      <w:r w:rsidRPr="00E82C7D">
        <w:rPr>
          <w:b/>
          <w:bCs/>
          <w:i/>
          <w:iCs/>
          <w:sz w:val="20"/>
          <w:szCs w:val="20"/>
          <w:u w:val="single"/>
          <w:lang w:eastAsia="ja-JP" w:bidi="hi-IN"/>
        </w:rPr>
        <w:t>FL proposal 2</w:t>
      </w:r>
      <w:r w:rsidRPr="00E82C7D">
        <w:rPr>
          <w:i/>
          <w:iCs/>
          <w:sz w:val="20"/>
          <w:szCs w:val="20"/>
          <w:lang w:eastAsia="ja-JP" w:bidi="hi-IN"/>
        </w:rPr>
        <w:t xml:space="preserve">: </w:t>
      </w:r>
      <w:r w:rsidR="00A439B1">
        <w:rPr>
          <w:i/>
          <w:iCs/>
          <w:sz w:val="20"/>
          <w:szCs w:val="20"/>
          <w:lang w:eastAsia="ja-JP" w:bidi="hi-IN"/>
        </w:rPr>
        <w:t>The related TP discussion could be delayed</w:t>
      </w:r>
      <w:r w:rsidRPr="00E82C7D">
        <w:rPr>
          <w:i/>
          <w:iCs/>
          <w:sz w:val="20"/>
          <w:szCs w:val="20"/>
          <w:lang w:eastAsia="ja-JP" w:bidi="hi-IN"/>
        </w:rPr>
        <w:t xml:space="preserve"> until the corresponding UE feature discussion is completed.</w:t>
      </w:r>
    </w:p>
    <w:p w14:paraId="100F8A31" w14:textId="6D0BCD8C" w:rsidR="00F87160" w:rsidRPr="00F87160" w:rsidRDefault="00F87160" w:rsidP="005677CE">
      <w:pPr>
        <w:pStyle w:val="1"/>
      </w:pPr>
      <w:r>
        <w:t>Clarifications on Type 2 UE behavior</w:t>
      </w:r>
    </w:p>
    <w:p w14:paraId="61D66657" w14:textId="193D8D44" w:rsidR="00F87160" w:rsidRPr="00D95ACF" w:rsidRDefault="00F87160" w:rsidP="00F87160">
      <w:pPr>
        <w:pStyle w:val="2"/>
        <w:rPr>
          <w:szCs w:val="24"/>
        </w:rPr>
      </w:pPr>
      <w:r>
        <w:rPr>
          <w:szCs w:val="24"/>
        </w:rPr>
        <w:t>Clarification on T</w:t>
      </w:r>
      <w:r w:rsidRPr="00B03F36">
        <w:rPr>
          <w:szCs w:val="24"/>
        </w:rPr>
        <w:t>ype 2 UE</w:t>
      </w:r>
      <w:r>
        <w:rPr>
          <w:szCs w:val="24"/>
        </w:rPr>
        <w:t xml:space="preserve"> </w:t>
      </w:r>
      <w:r w:rsidR="00B3022F">
        <w:rPr>
          <w:szCs w:val="24"/>
        </w:rPr>
        <w:t>behavior</w:t>
      </w:r>
    </w:p>
    <w:p w14:paraId="7921091E" w14:textId="509B342E" w:rsidR="00F87160" w:rsidRPr="00C754BE" w:rsidRDefault="00E82C7D" w:rsidP="00F87160">
      <w:pPr>
        <w:rPr>
          <w:rFonts w:eastAsia="MS Mincho"/>
          <w:sz w:val="20"/>
          <w:szCs w:val="20"/>
          <w:lang w:eastAsia="ja-JP" w:bidi="hi-IN"/>
        </w:rPr>
      </w:pPr>
      <w:r w:rsidRPr="00E82C7D">
        <w:rPr>
          <w:rFonts w:eastAsia="MS Mincho"/>
          <w:sz w:val="20"/>
          <w:szCs w:val="20"/>
          <w:u w:val="single"/>
          <w:lang w:eastAsia="ja-JP" w:bidi="hi-IN"/>
        </w:rPr>
        <w:t>Background</w:t>
      </w:r>
      <w:r>
        <w:rPr>
          <w:rFonts w:eastAsia="MS Mincho"/>
          <w:sz w:val="20"/>
          <w:szCs w:val="20"/>
          <w:lang w:eastAsia="ja-JP" w:bidi="hi-IN"/>
        </w:rPr>
        <w:t xml:space="preserve">: </w:t>
      </w:r>
      <w:r w:rsidR="00F87160">
        <w:rPr>
          <w:rFonts w:eastAsia="MS Mincho"/>
          <w:sz w:val="20"/>
          <w:szCs w:val="20"/>
          <w:lang w:eastAsia="ja-JP" w:bidi="hi-IN"/>
        </w:rPr>
        <w:t xml:space="preserve">The type 2 UE behavior is not </w:t>
      </w:r>
      <w:r w:rsidR="0040326F">
        <w:rPr>
          <w:rFonts w:eastAsia="MS Mincho"/>
          <w:sz w:val="20"/>
          <w:szCs w:val="20"/>
          <w:lang w:eastAsia="ja-JP" w:bidi="hi-IN"/>
        </w:rPr>
        <w:t xml:space="preserve">fully </w:t>
      </w:r>
      <w:r w:rsidR="00F87160">
        <w:rPr>
          <w:rFonts w:eastAsia="MS Mincho"/>
          <w:sz w:val="20"/>
          <w:szCs w:val="20"/>
          <w:lang w:eastAsia="ja-JP" w:bidi="hi-IN"/>
        </w:rPr>
        <w:t>specified in the specification</w:t>
      </w:r>
      <w:r w:rsidR="0040326F">
        <w:rPr>
          <w:rFonts w:eastAsia="MS Mincho"/>
          <w:sz w:val="20"/>
          <w:szCs w:val="20"/>
          <w:lang w:eastAsia="ja-JP" w:bidi="hi-IN"/>
        </w:rPr>
        <w:t xml:space="preserve"> TS38.213</w:t>
      </w:r>
      <w:r w:rsidR="00F87160">
        <w:rPr>
          <w:rFonts w:eastAsia="MS Mincho"/>
          <w:sz w:val="20"/>
          <w:szCs w:val="20"/>
          <w:lang w:eastAsia="ja-JP" w:bidi="hi-IN"/>
        </w:rPr>
        <w:t xml:space="preserve"> for the case of </w:t>
      </w:r>
      <w:r w:rsidR="00F87160" w:rsidRPr="00C754BE">
        <w:rPr>
          <w:sz w:val="20"/>
          <w:szCs w:val="20"/>
        </w:rPr>
        <w:t>P_LTE+P_NR &lt;= P_total</w:t>
      </w:r>
      <w:r w:rsidR="00F87160">
        <w:rPr>
          <w:sz w:val="20"/>
          <w:szCs w:val="20"/>
        </w:rPr>
        <w:t xml:space="preserve">. </w:t>
      </w:r>
      <w:r w:rsidR="0040326F">
        <w:rPr>
          <w:sz w:val="20"/>
          <w:szCs w:val="20"/>
        </w:rPr>
        <w:t>Specifically, the following proposal on clarification of type 2</w:t>
      </w:r>
      <w:r w:rsidR="00F87160">
        <w:rPr>
          <w:sz w:val="20"/>
          <w:szCs w:val="20"/>
        </w:rPr>
        <w:t xml:space="preserve"> UE behavior</w:t>
      </w:r>
      <w:r w:rsidR="0040326F">
        <w:rPr>
          <w:sz w:val="20"/>
          <w:szCs w:val="20"/>
        </w:rPr>
        <w:t xml:space="preserve"> is made</w:t>
      </w:r>
      <w:r w:rsidR="00F87160">
        <w:rPr>
          <w:sz w:val="20"/>
          <w:szCs w:val="20"/>
        </w:rPr>
        <w:t xml:space="preserve"> in [3]</w:t>
      </w:r>
      <w:r w:rsidR="00A439B1">
        <w:rPr>
          <w:sz w:val="20"/>
          <w:szCs w:val="20"/>
        </w:rPr>
        <w:t xml:space="preserve"> as follows:</w:t>
      </w:r>
    </w:p>
    <w:p w14:paraId="0367CB39" w14:textId="77777777" w:rsidR="00F87160" w:rsidRDefault="00F87160" w:rsidP="00F87160">
      <w:pPr>
        <w:rPr>
          <w:rFonts w:eastAsia="MS Mincho"/>
          <w:sz w:val="20"/>
          <w:szCs w:val="20"/>
          <w:lang w:eastAsia="ja-JP" w:bidi="hi-IN"/>
        </w:rPr>
      </w:pPr>
    </w:p>
    <w:p w14:paraId="3FEBFEFB" w14:textId="729D8C0E" w:rsidR="00F87160" w:rsidRPr="000A628E" w:rsidRDefault="00F87160" w:rsidP="00F87160">
      <w:pPr>
        <w:jc w:val="both"/>
        <w:rPr>
          <w:bCs/>
          <w:sz w:val="20"/>
          <w:szCs w:val="20"/>
          <w:u w:val="single"/>
        </w:rPr>
      </w:pPr>
      <w:r w:rsidRPr="000A628E">
        <w:rPr>
          <w:bCs/>
          <w:sz w:val="20"/>
          <w:szCs w:val="20"/>
          <w:u w:val="single"/>
        </w:rPr>
        <w:t xml:space="preserve">Proposal : Clarify the </w:t>
      </w:r>
      <w:r w:rsidRPr="000A628E">
        <w:rPr>
          <w:rFonts w:hint="eastAsia"/>
          <w:bCs/>
          <w:sz w:val="20"/>
          <w:szCs w:val="20"/>
          <w:u w:val="single"/>
          <w:lang w:eastAsia="zh-TW"/>
        </w:rPr>
        <w:t xml:space="preserve">whether </w:t>
      </w:r>
      <w:r w:rsidRPr="000A628E">
        <w:rPr>
          <w:bCs/>
          <w:sz w:val="20"/>
          <w:szCs w:val="20"/>
          <w:u w:val="single"/>
        </w:rPr>
        <w:t>the following UE behaviour is matching the Rel-16 agreement for UL collision handling:</w:t>
      </w:r>
    </w:p>
    <w:p w14:paraId="5BA1C2A4" w14:textId="77777777" w:rsidR="00F87160" w:rsidRPr="000A628E" w:rsidRDefault="00F87160" w:rsidP="00F87160">
      <w:pPr>
        <w:numPr>
          <w:ilvl w:val="0"/>
          <w:numId w:val="26"/>
        </w:numPr>
        <w:tabs>
          <w:tab w:val="clear" w:pos="720"/>
          <w:tab w:val="num" w:pos="360"/>
        </w:tabs>
        <w:spacing w:after="180"/>
        <w:ind w:left="360"/>
        <w:jc w:val="both"/>
        <w:rPr>
          <w:bCs/>
          <w:sz w:val="20"/>
          <w:szCs w:val="20"/>
        </w:rPr>
      </w:pPr>
      <w:r w:rsidRPr="000A628E">
        <w:rPr>
          <w:bCs/>
          <w:sz w:val="20"/>
          <w:szCs w:val="20"/>
        </w:rPr>
        <w:t xml:space="preserve">For Type 2 UE, NR UL can collide with LTE UL under “P_LTE+P_NR &lt;= P_total” and the corresponding transmission behavior is up to UE implementation </w:t>
      </w:r>
    </w:p>
    <w:p w14:paraId="67B4F726" w14:textId="77777777" w:rsidR="00F87160" w:rsidRPr="000A628E" w:rsidRDefault="00F87160" w:rsidP="00F87160">
      <w:pPr>
        <w:numPr>
          <w:ilvl w:val="0"/>
          <w:numId w:val="27"/>
        </w:numPr>
        <w:spacing w:after="180"/>
        <w:jc w:val="both"/>
        <w:rPr>
          <w:bCs/>
          <w:sz w:val="20"/>
          <w:szCs w:val="20"/>
        </w:rPr>
      </w:pPr>
      <w:r w:rsidRPr="000A628E">
        <w:rPr>
          <w:bCs/>
          <w:sz w:val="20"/>
          <w:szCs w:val="20"/>
        </w:rPr>
        <w:t xml:space="preserve">since all slots can be scheduled for NR UL </w:t>
      </w:r>
      <w:r w:rsidRPr="000A628E">
        <w:rPr>
          <w:bCs/>
          <w:sz w:val="20"/>
          <w:szCs w:val="20"/>
          <w:u w:val="single"/>
        </w:rPr>
        <w:t>(no restriction)</w:t>
      </w:r>
      <w:r w:rsidRPr="000A628E">
        <w:rPr>
          <w:bCs/>
          <w:sz w:val="20"/>
          <w:szCs w:val="20"/>
        </w:rPr>
        <w:t xml:space="preserve"> when tdm-PatternConfig-r15 or </w:t>
      </w:r>
      <w:r w:rsidRPr="000A628E">
        <w:rPr>
          <w:bCs/>
          <w:i/>
          <w:iCs/>
          <w:sz w:val="20"/>
          <w:szCs w:val="20"/>
        </w:rPr>
        <w:t>tdm-PatternConfig-r15</w:t>
      </w:r>
      <w:r w:rsidRPr="000A628E">
        <w:rPr>
          <w:bCs/>
          <w:sz w:val="20"/>
          <w:szCs w:val="20"/>
        </w:rPr>
        <w:t xml:space="preserve"> is configured according to current spec of 38.213 Rel-16 spec 7.6.1 EN-DC.</w:t>
      </w:r>
    </w:p>
    <w:p w14:paraId="247A6A63" w14:textId="300AB9AD" w:rsidR="00F87160" w:rsidRDefault="00B3022F" w:rsidP="00F87160">
      <w:pPr>
        <w:spacing w:after="120"/>
        <w:rPr>
          <w:sz w:val="20"/>
          <w:szCs w:val="20"/>
          <w:lang w:bidi="hi-IN"/>
        </w:rPr>
      </w:pPr>
      <w:r>
        <w:rPr>
          <w:sz w:val="20"/>
          <w:szCs w:val="20"/>
          <w:lang w:bidi="hi-IN"/>
        </w:rPr>
        <w:lastRenderedPageBreak/>
        <w:t xml:space="preserve">FL summary: </w:t>
      </w:r>
      <w:r w:rsidR="0040326F">
        <w:rPr>
          <w:sz w:val="20"/>
          <w:szCs w:val="20"/>
          <w:lang w:bidi="hi-IN"/>
        </w:rPr>
        <w:t>In general, type 2 UE (i.e., without fast communication between LTE and NR modems) has been quite clear from existing agreements:</w:t>
      </w:r>
    </w:p>
    <w:p w14:paraId="057C5942" w14:textId="7FFF27A3" w:rsidR="0040326F" w:rsidRDefault="0040326F" w:rsidP="00F87160">
      <w:pPr>
        <w:spacing w:after="120"/>
        <w:rPr>
          <w:sz w:val="20"/>
          <w:szCs w:val="20"/>
          <w:lang w:bidi="hi-IN"/>
        </w:rPr>
      </w:pPr>
      <w:r>
        <w:rPr>
          <w:sz w:val="20"/>
          <w:szCs w:val="20"/>
          <w:lang w:bidi="hi-IN"/>
        </w:rPr>
        <w:t xml:space="preserve">- LTE UL is only transmitted </w:t>
      </w:r>
    </w:p>
    <w:p w14:paraId="7AA09651" w14:textId="2681DFE4" w:rsidR="0040326F" w:rsidRDefault="0040326F" w:rsidP="00F87160">
      <w:pPr>
        <w:spacing w:after="120"/>
        <w:rPr>
          <w:sz w:val="20"/>
          <w:szCs w:val="20"/>
          <w:lang w:bidi="hi-IN"/>
        </w:rPr>
      </w:pPr>
      <w:r>
        <w:rPr>
          <w:sz w:val="20"/>
          <w:szCs w:val="20"/>
          <w:lang w:bidi="hi-IN"/>
        </w:rPr>
        <w:t xml:space="preserve">- </w:t>
      </w:r>
      <w:r w:rsidR="00B3022F">
        <w:rPr>
          <w:sz w:val="20"/>
          <w:szCs w:val="20"/>
          <w:lang w:bidi="hi-IN"/>
        </w:rPr>
        <w:t>Colliding UL Tx is considered as error case, and it is up to UE implementation.</w:t>
      </w:r>
    </w:p>
    <w:p w14:paraId="392B4969" w14:textId="4774CB76" w:rsidR="00B3022F" w:rsidRDefault="00991DFC" w:rsidP="00F87160">
      <w:pPr>
        <w:spacing w:after="120"/>
        <w:rPr>
          <w:sz w:val="20"/>
          <w:szCs w:val="20"/>
          <w:lang w:bidi="hi-IN"/>
        </w:rPr>
      </w:pPr>
      <w:r>
        <w:rPr>
          <w:sz w:val="20"/>
          <w:szCs w:val="20"/>
          <w:lang w:bidi="hi-IN"/>
        </w:rPr>
        <w:t>However, i</w:t>
      </w:r>
      <w:r w:rsidR="00B3022F">
        <w:rPr>
          <w:sz w:val="20"/>
          <w:szCs w:val="20"/>
          <w:lang w:bidi="hi-IN"/>
        </w:rPr>
        <w:t xml:space="preserve">t seems that existing 38.213 does not explicitly capture this for type 2 UE in the </w:t>
      </w:r>
      <w:r w:rsidR="00B3022F">
        <w:rPr>
          <w:rFonts w:eastAsia="MS Mincho"/>
          <w:sz w:val="20"/>
          <w:szCs w:val="20"/>
          <w:lang w:eastAsia="ja-JP" w:bidi="hi-IN"/>
        </w:rPr>
        <w:t xml:space="preserve">case of </w:t>
      </w:r>
      <w:r w:rsidR="00B3022F" w:rsidRPr="00C754BE">
        <w:rPr>
          <w:sz w:val="20"/>
          <w:szCs w:val="20"/>
        </w:rPr>
        <w:t>P_LTE+P_NR &lt;= P_total</w:t>
      </w:r>
      <w:r w:rsidR="00B3022F">
        <w:rPr>
          <w:sz w:val="20"/>
          <w:szCs w:val="20"/>
          <w:lang w:bidi="hi-IN"/>
        </w:rPr>
        <w:t>.</w:t>
      </w:r>
      <w:r>
        <w:rPr>
          <w:sz w:val="20"/>
          <w:szCs w:val="20"/>
          <w:lang w:bidi="hi-IN"/>
        </w:rPr>
        <w:t xml:space="preserve"> </w:t>
      </w:r>
    </w:p>
    <w:p w14:paraId="672D4C40" w14:textId="77777777" w:rsidR="00B3022F" w:rsidRDefault="00B3022F" w:rsidP="00F87160">
      <w:pPr>
        <w:spacing w:after="120"/>
        <w:rPr>
          <w:sz w:val="20"/>
          <w:szCs w:val="20"/>
          <w:lang w:bidi="hi-IN"/>
        </w:rPr>
      </w:pPr>
    </w:p>
    <w:p w14:paraId="19F054E1" w14:textId="77777777" w:rsidR="00DA132A" w:rsidRPr="00DA132A" w:rsidRDefault="00DA132A" w:rsidP="00DA132A">
      <w:pPr>
        <w:numPr>
          <w:ilvl w:val="0"/>
          <w:numId w:val="33"/>
        </w:numPr>
        <w:spacing w:after="120"/>
        <w:rPr>
          <w:b/>
          <w:bCs/>
          <w:sz w:val="20"/>
          <w:szCs w:val="20"/>
          <w:lang w:bidi="hi-IN"/>
        </w:rPr>
      </w:pPr>
      <w:r w:rsidRPr="00DA132A">
        <w:rPr>
          <w:b/>
          <w:bCs/>
          <w:sz w:val="20"/>
          <w:szCs w:val="20"/>
          <w:lang w:bidi="hi-IN"/>
        </w:rPr>
        <w:t>Q2-1: Do we need a TP to explicitly clarify in 38.213 type 2 UE assumption/behavior when P_lte + P_nr &lt;= P_total and the UE is configured with Reference HARQ timing? (e.g. up to UE implementation)</w:t>
      </w:r>
    </w:p>
    <w:p w14:paraId="2EF1F58B" w14:textId="1B2ED1D6" w:rsidR="00F87160" w:rsidRPr="00041146" w:rsidRDefault="00F87160" w:rsidP="00F87160">
      <w:pPr>
        <w:spacing w:after="120"/>
        <w:rPr>
          <w:b/>
          <w:bCs/>
          <w:sz w:val="20"/>
          <w:szCs w:val="20"/>
          <w:lang w:bidi="hi-IN"/>
        </w:rPr>
      </w:pPr>
    </w:p>
    <w:tbl>
      <w:tblPr>
        <w:tblStyle w:val="ae"/>
        <w:tblW w:w="0" w:type="auto"/>
        <w:tblLook w:val="04A0" w:firstRow="1" w:lastRow="0" w:firstColumn="1" w:lastColumn="0" w:noHBand="0" w:noVBand="1"/>
      </w:tblPr>
      <w:tblGrid>
        <w:gridCol w:w="1435"/>
        <w:gridCol w:w="8194"/>
      </w:tblGrid>
      <w:tr w:rsidR="00DA132A" w14:paraId="5E1EFADC" w14:textId="77777777" w:rsidTr="006A334D">
        <w:tc>
          <w:tcPr>
            <w:tcW w:w="1435" w:type="dxa"/>
          </w:tcPr>
          <w:p w14:paraId="5EC5687C"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564632FD" w14:textId="77777777" w:rsidR="00DA132A" w:rsidRDefault="00DA132A" w:rsidP="006A334D">
            <w:pPr>
              <w:rPr>
                <w:sz w:val="20"/>
                <w:szCs w:val="20"/>
                <w:lang w:eastAsia="ja-JP" w:bidi="hi-IN"/>
              </w:rPr>
            </w:pPr>
            <w:r>
              <w:rPr>
                <w:sz w:val="20"/>
                <w:szCs w:val="20"/>
                <w:lang w:eastAsia="ja-JP" w:bidi="hi-IN"/>
              </w:rPr>
              <w:t>Comments</w:t>
            </w:r>
          </w:p>
        </w:tc>
      </w:tr>
      <w:tr w:rsidR="00DA132A" w14:paraId="0CF0B3D6" w14:textId="77777777" w:rsidTr="006A334D">
        <w:tc>
          <w:tcPr>
            <w:tcW w:w="1435" w:type="dxa"/>
          </w:tcPr>
          <w:p w14:paraId="658AB9CA" w14:textId="3B065BF8" w:rsidR="00DA132A" w:rsidRPr="00820F31" w:rsidRDefault="00820F31"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E67569E" w14:textId="57725972" w:rsidR="00DA132A" w:rsidRDefault="00820F31" w:rsidP="006A334D">
            <w:pPr>
              <w:rPr>
                <w:rFonts w:eastAsiaTheme="minorEastAsia"/>
                <w:sz w:val="20"/>
                <w:szCs w:val="20"/>
                <w:lang w:bidi="hi-IN"/>
              </w:rPr>
            </w:pPr>
            <w:r>
              <w:rPr>
                <w:rFonts w:eastAsiaTheme="minorEastAsia"/>
                <w:sz w:val="20"/>
                <w:szCs w:val="20"/>
                <w:lang w:bidi="hi-IN"/>
              </w:rPr>
              <w:t xml:space="preserve">Our view is that we may first discuss what’s the intended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And then we could discuss whether a TP is needed or not.</w:t>
            </w:r>
          </w:p>
          <w:p w14:paraId="16065B7E" w14:textId="18BAAD8D" w:rsidR="00820F31" w:rsidRPr="00820F31" w:rsidRDefault="00820F31" w:rsidP="006A334D">
            <w:pPr>
              <w:rPr>
                <w:rFonts w:eastAsiaTheme="minorEastAsia"/>
                <w:sz w:val="20"/>
                <w:szCs w:val="20"/>
                <w:lang w:bidi="hi-IN"/>
              </w:rPr>
            </w:pPr>
            <w:r>
              <w:rPr>
                <w:rFonts w:eastAsiaTheme="minorEastAsia"/>
                <w:sz w:val="20"/>
                <w:szCs w:val="20"/>
                <w:lang w:bidi="hi-IN"/>
              </w:rPr>
              <w:t xml:space="preserve">Our preliminary understanding is the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could be the same as that in case of P_lte + P_nr &gt;</w:t>
            </w:r>
            <w:r w:rsidRPr="00820F31">
              <w:rPr>
                <w:rFonts w:eastAsiaTheme="minorEastAsia"/>
                <w:sz w:val="20"/>
                <w:szCs w:val="20"/>
                <w:lang w:bidi="hi-IN"/>
              </w:rPr>
              <w:t xml:space="preserve"> P_total</w:t>
            </w:r>
            <w:r>
              <w:rPr>
                <w:rFonts w:eastAsiaTheme="minorEastAsia"/>
                <w:sz w:val="20"/>
                <w:szCs w:val="20"/>
                <w:lang w:bidi="hi-IN"/>
              </w:rPr>
              <w:t>. We are open to further discuss the intended UE behavior.</w:t>
            </w:r>
          </w:p>
        </w:tc>
      </w:tr>
      <w:tr w:rsidR="00DA132A" w14:paraId="25F39B07" w14:textId="77777777" w:rsidTr="006A334D">
        <w:tc>
          <w:tcPr>
            <w:tcW w:w="1435" w:type="dxa"/>
          </w:tcPr>
          <w:p w14:paraId="092FE207" w14:textId="51CD1A01" w:rsidR="00DA132A" w:rsidRDefault="00531639" w:rsidP="006A334D">
            <w:pPr>
              <w:rPr>
                <w:sz w:val="20"/>
                <w:szCs w:val="20"/>
                <w:lang w:eastAsia="ja-JP" w:bidi="hi-IN"/>
              </w:rPr>
            </w:pPr>
            <w:r>
              <w:rPr>
                <w:sz w:val="20"/>
                <w:szCs w:val="20"/>
                <w:lang w:eastAsia="ja-JP" w:bidi="hi-IN"/>
              </w:rPr>
              <w:t>Apple</w:t>
            </w:r>
          </w:p>
        </w:tc>
        <w:tc>
          <w:tcPr>
            <w:tcW w:w="8194" w:type="dxa"/>
          </w:tcPr>
          <w:p w14:paraId="703A9DCC" w14:textId="77777777" w:rsidR="006F3431" w:rsidRDefault="00531639" w:rsidP="00531639">
            <w:pPr>
              <w:rPr>
                <w:rFonts w:eastAsia="맑은 고딕"/>
                <w:sz w:val="20"/>
              </w:rPr>
            </w:pPr>
            <w:r>
              <w:rPr>
                <w:rFonts w:eastAsia="맑은 고딕"/>
                <w:sz w:val="20"/>
              </w:rPr>
              <w:t xml:space="preserve">Copy/paste our above comments. </w:t>
            </w:r>
          </w:p>
          <w:p w14:paraId="1483A405" w14:textId="03019EED" w:rsidR="00531639" w:rsidRDefault="00531639" w:rsidP="00531639">
            <w:pPr>
              <w:rPr>
                <w:sz w:val="20"/>
              </w:rPr>
            </w:pPr>
            <w:r>
              <w:rPr>
                <w:rFonts w:eastAsia="맑은 고딕"/>
                <w:sz w:val="20"/>
              </w:rPr>
              <w:t xml:space="preserve">And for the case of </w:t>
            </w:r>
            <w:r w:rsidRPr="00331FA2">
              <w:rPr>
                <w:sz w:val="20"/>
              </w:rPr>
              <w:t>P_LTE + P_NR &lt;= Pcmax</w:t>
            </w:r>
            <w:r>
              <w:rPr>
                <w:sz w:val="20"/>
              </w:rPr>
              <w:t>, the network can configure the TMD pattern as well, this was agreed in RAN1#91 meeting, but it was not captured in the spec.</w:t>
            </w:r>
          </w:p>
          <w:p w14:paraId="19381C20" w14:textId="77777777" w:rsidR="00531639" w:rsidRPr="00331FA2" w:rsidRDefault="00531639" w:rsidP="00531639">
            <w:pPr>
              <w:pStyle w:val="bullet2"/>
              <w:rPr>
                <w:sz w:val="20"/>
              </w:rPr>
            </w:pPr>
            <w:r w:rsidRPr="00331FA2">
              <w:rPr>
                <w:sz w:val="20"/>
                <w:lang w:val="en-US"/>
              </w:rPr>
              <w:t xml:space="preserve">Operation B with Case1: P_LTE + P_NR &lt;= Pcmax, in which case NR UL can be scheduled in any UL subframe/slot (while </w:t>
            </w:r>
            <w:r w:rsidRPr="00331FA2">
              <w:rPr>
                <w:sz w:val="20"/>
              </w:rPr>
              <w:t xml:space="preserve">the UE behaviour in case of being simultaneously scheduled on LTE and NR uplinks is not specified) </w:t>
            </w:r>
          </w:p>
          <w:p w14:paraId="0CFECC63" w14:textId="3802E9F0" w:rsidR="00DA132A" w:rsidRPr="00531639" w:rsidRDefault="00531639" w:rsidP="006A334D">
            <w:pPr>
              <w:rPr>
                <w:sz w:val="20"/>
                <w:szCs w:val="20"/>
                <w:lang w:val="en-GB" w:eastAsia="ja-JP" w:bidi="hi-IN"/>
              </w:rPr>
            </w:pPr>
            <w:r>
              <w:rPr>
                <w:sz w:val="20"/>
                <w:szCs w:val="20"/>
                <w:lang w:val="en-GB" w:eastAsia="ja-JP" w:bidi="hi-IN"/>
              </w:rPr>
              <w:t>We are open to clarify this in the spec.</w:t>
            </w:r>
          </w:p>
        </w:tc>
      </w:tr>
      <w:tr w:rsidR="00DA132A" w14:paraId="4AE3329F" w14:textId="77777777" w:rsidTr="006A334D">
        <w:tc>
          <w:tcPr>
            <w:tcW w:w="1435" w:type="dxa"/>
          </w:tcPr>
          <w:p w14:paraId="0D8F23B4" w14:textId="7ED6372C" w:rsidR="00DA132A" w:rsidRDefault="00703E70" w:rsidP="006A334D">
            <w:pPr>
              <w:rPr>
                <w:sz w:val="20"/>
                <w:szCs w:val="20"/>
                <w:lang w:eastAsia="ja-JP" w:bidi="hi-IN"/>
              </w:rPr>
            </w:pPr>
            <w:r>
              <w:rPr>
                <w:sz w:val="20"/>
                <w:szCs w:val="20"/>
                <w:lang w:eastAsia="ja-JP" w:bidi="hi-IN"/>
              </w:rPr>
              <w:t>MTK</w:t>
            </w:r>
          </w:p>
        </w:tc>
        <w:tc>
          <w:tcPr>
            <w:tcW w:w="8194" w:type="dxa"/>
          </w:tcPr>
          <w:p w14:paraId="55BF2951" w14:textId="77777777" w:rsidR="00703E70" w:rsidRDefault="00703E70" w:rsidP="00703E70">
            <w:pPr>
              <w:rPr>
                <w:sz w:val="20"/>
                <w:szCs w:val="20"/>
                <w:lang w:eastAsia="ja-JP" w:bidi="hi-IN"/>
              </w:rPr>
            </w:pPr>
            <w:r>
              <w:rPr>
                <w:sz w:val="20"/>
                <w:szCs w:val="20"/>
                <w:lang w:eastAsia="ja-JP" w:bidi="hi-IN"/>
              </w:rPr>
              <w:t xml:space="preserve">We agree with FL’s summary that for type 2 UE </w:t>
            </w:r>
            <w:r>
              <w:rPr>
                <w:sz w:val="20"/>
                <w:szCs w:val="20"/>
                <w:lang w:bidi="hi-IN"/>
              </w:rPr>
              <w:t xml:space="preserve">in the </w:t>
            </w:r>
            <w:r>
              <w:rPr>
                <w:rFonts w:eastAsia="MS Mincho"/>
                <w:sz w:val="20"/>
                <w:szCs w:val="20"/>
                <w:lang w:eastAsia="ja-JP" w:bidi="hi-IN"/>
              </w:rPr>
              <w:t xml:space="preserve">case of </w:t>
            </w:r>
            <w:r w:rsidRPr="00C754BE">
              <w:rPr>
                <w:sz w:val="20"/>
                <w:szCs w:val="20"/>
              </w:rPr>
              <w:t>P_LTE+P_NR &lt;= P_total</w:t>
            </w:r>
            <w:r>
              <w:rPr>
                <w:sz w:val="20"/>
                <w:szCs w:val="20"/>
                <w:lang w:eastAsia="ja-JP" w:bidi="hi-IN"/>
              </w:rPr>
              <w:t>,</w:t>
            </w:r>
          </w:p>
          <w:p w14:paraId="21A0F4A9" w14:textId="77777777" w:rsidR="00703E70" w:rsidRPr="00A91529" w:rsidRDefault="00703E70" w:rsidP="00703E70">
            <w:pPr>
              <w:spacing w:after="120"/>
              <w:rPr>
                <w:i/>
                <w:sz w:val="20"/>
                <w:szCs w:val="20"/>
                <w:lang w:bidi="hi-IN"/>
              </w:rPr>
            </w:pPr>
            <w:r>
              <w:rPr>
                <w:sz w:val="20"/>
                <w:szCs w:val="20"/>
                <w:lang w:bidi="hi-IN"/>
              </w:rPr>
              <w:t xml:space="preserve">- LTE UL is only transmitted in designated UL subframes in </w:t>
            </w:r>
            <w:r w:rsidRPr="00A91529">
              <w:rPr>
                <w:i/>
                <w:sz w:val="20"/>
                <w:szCs w:val="20"/>
                <w:lang w:bidi="hi-IN"/>
              </w:rPr>
              <w:t>tdm-pattern</w:t>
            </w:r>
          </w:p>
          <w:p w14:paraId="36D6CCAA" w14:textId="77777777" w:rsidR="00703E70" w:rsidRDefault="00703E70" w:rsidP="00703E70">
            <w:pPr>
              <w:spacing w:after="120"/>
              <w:rPr>
                <w:sz w:val="20"/>
                <w:szCs w:val="20"/>
                <w:lang w:bidi="hi-IN"/>
              </w:rPr>
            </w:pPr>
            <w:r>
              <w:rPr>
                <w:sz w:val="20"/>
                <w:szCs w:val="20"/>
                <w:lang w:bidi="hi-IN"/>
              </w:rPr>
              <w:t>- Colliding UL Tx is considered as error case, and it is up to UE implementation.</w:t>
            </w:r>
          </w:p>
          <w:p w14:paraId="475960CB" w14:textId="6976645B" w:rsidR="00DA132A" w:rsidRDefault="00703E70" w:rsidP="00703E70">
            <w:pPr>
              <w:rPr>
                <w:sz w:val="20"/>
                <w:szCs w:val="20"/>
                <w:lang w:eastAsia="ja-JP" w:bidi="hi-IN"/>
              </w:rPr>
            </w:pPr>
            <w:r>
              <w:rPr>
                <w:sz w:val="20"/>
                <w:szCs w:val="20"/>
                <w:lang w:eastAsia="ja-JP" w:bidi="hi-IN"/>
              </w:rPr>
              <w:t>Constructing a TP to clarify these behaviors seems like a good idea.</w:t>
            </w:r>
          </w:p>
        </w:tc>
      </w:tr>
      <w:tr w:rsidR="00DA132A" w14:paraId="027AAAD1" w14:textId="77777777" w:rsidTr="006A334D">
        <w:tc>
          <w:tcPr>
            <w:tcW w:w="1435" w:type="dxa"/>
          </w:tcPr>
          <w:p w14:paraId="0919E6AA" w14:textId="2FC6BDCB" w:rsidR="00DA132A" w:rsidRPr="00902DFE" w:rsidRDefault="00902DFE"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41B2C69F" w14:textId="158B3E1F" w:rsidR="00DA132A" w:rsidRPr="00902DFE" w:rsidRDefault="00902DFE" w:rsidP="006A334D">
            <w:pPr>
              <w:rPr>
                <w:rFonts w:eastAsiaTheme="minorEastAsia"/>
                <w:sz w:val="20"/>
                <w:szCs w:val="20"/>
                <w:lang w:bidi="hi-IN"/>
              </w:rPr>
            </w:pPr>
            <w:r>
              <w:rPr>
                <w:rFonts w:eastAsiaTheme="minorEastAsia" w:hint="eastAsia"/>
                <w:sz w:val="20"/>
                <w:szCs w:val="20"/>
                <w:lang w:bidi="hi-IN"/>
              </w:rPr>
              <w:t>T</w:t>
            </w:r>
            <w:r>
              <w:rPr>
                <w:rFonts w:eastAsiaTheme="minorEastAsia"/>
                <w:sz w:val="20"/>
                <w:szCs w:val="20"/>
                <w:lang w:bidi="hi-IN"/>
              </w:rPr>
              <w:t>he target case has been covered by the TP Option2 in issue#1. If it is agreed, no additional text change is needed.</w:t>
            </w:r>
          </w:p>
        </w:tc>
      </w:tr>
      <w:tr w:rsidR="00DA132A" w14:paraId="419445C6" w14:textId="77777777" w:rsidTr="006A334D">
        <w:tc>
          <w:tcPr>
            <w:tcW w:w="1435" w:type="dxa"/>
          </w:tcPr>
          <w:p w14:paraId="36F7BA5D" w14:textId="0298F693" w:rsidR="00DA132A" w:rsidRDefault="00A900DF" w:rsidP="006A334D">
            <w:pPr>
              <w:rPr>
                <w:sz w:val="20"/>
                <w:szCs w:val="20"/>
                <w:lang w:eastAsia="ja-JP" w:bidi="hi-IN"/>
              </w:rPr>
            </w:pPr>
            <w:r>
              <w:rPr>
                <w:sz w:val="20"/>
                <w:szCs w:val="20"/>
                <w:lang w:eastAsia="ja-JP" w:bidi="hi-IN"/>
              </w:rPr>
              <w:t>Ericsson</w:t>
            </w:r>
          </w:p>
        </w:tc>
        <w:tc>
          <w:tcPr>
            <w:tcW w:w="8194" w:type="dxa"/>
          </w:tcPr>
          <w:p w14:paraId="58B56298" w14:textId="670D63A4" w:rsidR="00DA132A" w:rsidRDefault="00A900DF" w:rsidP="006A334D">
            <w:pPr>
              <w:rPr>
                <w:sz w:val="20"/>
                <w:szCs w:val="20"/>
                <w:lang w:eastAsia="ja-JP" w:bidi="hi-IN"/>
              </w:rPr>
            </w:pPr>
            <w:r>
              <w:rPr>
                <w:sz w:val="20"/>
                <w:szCs w:val="20"/>
                <w:lang w:eastAsia="ja-JP" w:bidi="hi-IN"/>
              </w:rPr>
              <w:t>We don’t see the need for additional spec text. The Rel15 agreement is clear that behavior is “</w:t>
            </w:r>
            <w:r>
              <w:rPr>
                <w:i/>
                <w:iCs/>
                <w:sz w:val="20"/>
                <w:szCs w:val="20"/>
                <w:lang w:eastAsia="ja-JP" w:bidi="hi-IN"/>
              </w:rPr>
              <w:t>not specified”</w:t>
            </w:r>
            <w:r>
              <w:rPr>
                <w:sz w:val="20"/>
                <w:szCs w:val="20"/>
                <w:lang w:eastAsia="ja-JP" w:bidi="hi-IN"/>
              </w:rPr>
              <w:t xml:space="preserve"> and specs are aligned with that.</w:t>
            </w:r>
          </w:p>
        </w:tc>
      </w:tr>
      <w:tr w:rsidR="00D27C31" w14:paraId="00F57B18" w14:textId="77777777" w:rsidTr="006A334D">
        <w:tc>
          <w:tcPr>
            <w:tcW w:w="1435" w:type="dxa"/>
          </w:tcPr>
          <w:p w14:paraId="67EBD901" w14:textId="2C768E2B" w:rsidR="00D27C31" w:rsidRPr="00D27C31" w:rsidRDefault="00D27C31" w:rsidP="006A334D">
            <w:pPr>
              <w:rPr>
                <w:rFonts w:eastAsia="맑은 고딕"/>
                <w:sz w:val="20"/>
                <w:szCs w:val="20"/>
                <w:lang w:eastAsia="ko-KR" w:bidi="hi-IN"/>
              </w:rPr>
            </w:pPr>
            <w:r>
              <w:rPr>
                <w:rFonts w:eastAsia="맑은 고딕" w:hint="eastAsia"/>
                <w:sz w:val="20"/>
                <w:szCs w:val="20"/>
                <w:lang w:eastAsia="ko-KR" w:bidi="hi-IN"/>
              </w:rPr>
              <w:t>Samsung</w:t>
            </w:r>
          </w:p>
        </w:tc>
        <w:tc>
          <w:tcPr>
            <w:tcW w:w="8194" w:type="dxa"/>
          </w:tcPr>
          <w:p w14:paraId="5DF0FBB7" w14:textId="20EF8DF9" w:rsidR="00D27C31" w:rsidRPr="00D27C31" w:rsidRDefault="00D27C31" w:rsidP="00D27C31">
            <w:pPr>
              <w:rPr>
                <w:rFonts w:eastAsia="맑은 고딕"/>
                <w:sz w:val="20"/>
                <w:szCs w:val="20"/>
                <w:lang w:eastAsia="ko-KR" w:bidi="hi-IN"/>
              </w:rPr>
            </w:pPr>
            <w:r>
              <w:rPr>
                <w:rFonts w:eastAsia="맑은 고딕" w:hint="eastAsia"/>
                <w:sz w:val="20"/>
                <w:szCs w:val="20"/>
                <w:lang w:eastAsia="ko-KR" w:bidi="hi-IN"/>
              </w:rPr>
              <w:t xml:space="preserve">No need to </w:t>
            </w:r>
            <w:r>
              <w:rPr>
                <w:rFonts w:eastAsia="맑은 고딕"/>
                <w:sz w:val="20"/>
                <w:szCs w:val="20"/>
                <w:lang w:eastAsia="ko-KR" w:bidi="hi-IN"/>
              </w:rPr>
              <w:t>capture</w:t>
            </w:r>
            <w:r>
              <w:rPr>
                <w:rFonts w:eastAsia="맑은 고딕" w:hint="eastAsia"/>
                <w:sz w:val="20"/>
                <w:szCs w:val="20"/>
                <w:lang w:eastAsia="ko-KR" w:bidi="hi-IN"/>
              </w:rPr>
              <w:t xml:space="preserve"> a TP because it is up to UE implementation.</w:t>
            </w:r>
          </w:p>
        </w:tc>
      </w:tr>
    </w:tbl>
    <w:p w14:paraId="6E34AEB2" w14:textId="761EC617" w:rsidR="00DA132A" w:rsidRDefault="00DA132A" w:rsidP="00F87160">
      <w:pPr>
        <w:spacing w:after="120"/>
        <w:rPr>
          <w:b/>
          <w:bCs/>
          <w:i/>
          <w:iCs/>
          <w:sz w:val="20"/>
          <w:szCs w:val="20"/>
          <w:u w:val="single"/>
          <w:lang w:bidi="hi-IN"/>
        </w:rPr>
      </w:pPr>
    </w:p>
    <w:p w14:paraId="06DD8978" w14:textId="3F353452" w:rsidR="00B03F36" w:rsidRPr="00F8486E" w:rsidRDefault="00DE24CC" w:rsidP="00F87160">
      <w:pPr>
        <w:pStyle w:val="2"/>
      </w:pPr>
      <w:r w:rsidRPr="00DE24CC">
        <w:t xml:space="preserve">Type 2 UE’s assumption on “other than offset-UL subframes” </w:t>
      </w:r>
    </w:p>
    <w:p w14:paraId="4260F566" w14:textId="70CA9AFB" w:rsidR="00F8486E" w:rsidRDefault="009359BA"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In Rel.15, the following agreements made in RAN1#90bis</w:t>
      </w:r>
      <w:r w:rsidR="00F8486E">
        <w:rPr>
          <w:rFonts w:eastAsia="MS Mincho"/>
          <w:bCs/>
          <w:sz w:val="20"/>
          <w:szCs w:val="20"/>
        </w:rPr>
        <w:t>.</w:t>
      </w:r>
    </w:p>
    <w:p w14:paraId="523E8E31" w14:textId="77777777" w:rsidR="00F8486E" w:rsidRDefault="00F8486E" w:rsidP="00F8486E">
      <w:pPr>
        <w:overflowPunct w:val="0"/>
        <w:autoSpaceDE w:val="0"/>
        <w:autoSpaceDN w:val="0"/>
        <w:adjustRightInd w:val="0"/>
        <w:jc w:val="both"/>
        <w:textAlignment w:val="baseline"/>
        <w:rPr>
          <w:rFonts w:eastAsia="MS Mincho"/>
          <w:bCs/>
          <w:sz w:val="20"/>
          <w:szCs w:val="20"/>
        </w:rPr>
      </w:pPr>
    </w:p>
    <w:p w14:paraId="44E1DCC5" w14:textId="77777777" w:rsidR="00F8486E" w:rsidRPr="009359BA" w:rsidRDefault="00F8486E" w:rsidP="00F8486E">
      <w:pPr>
        <w:rPr>
          <w:rFonts w:ascii="Calibri" w:hAnsi="Calibri"/>
          <w:sz w:val="20"/>
          <w:szCs w:val="20"/>
        </w:rPr>
      </w:pPr>
      <w:r w:rsidRPr="009359BA">
        <w:rPr>
          <w:sz w:val="20"/>
          <w:szCs w:val="20"/>
          <w:highlight w:val="green"/>
        </w:rPr>
        <w:t>Agreements:</w:t>
      </w:r>
    </w:p>
    <w:p w14:paraId="27DF4BC8" w14:textId="77777777" w:rsidR="00F8486E" w:rsidRPr="009359BA" w:rsidRDefault="00F8486E" w:rsidP="00F8486E">
      <w:pPr>
        <w:numPr>
          <w:ilvl w:val="0"/>
          <w:numId w:val="23"/>
        </w:numPr>
        <w:rPr>
          <w:sz w:val="20"/>
          <w:szCs w:val="20"/>
        </w:rPr>
      </w:pPr>
      <w:r w:rsidRPr="009359BA">
        <w:rPr>
          <w:sz w:val="20"/>
          <w:szCs w:val="20"/>
        </w:rPr>
        <w:t xml:space="preserve">In Case 1, LTE TDD UL HARQ timing is supported and the UE is allowed to transmit only in the subframes designated as UL in the reference TDD configuration. Additionally, a UE-specific HARQ subframe offset can be configured.                   </w:t>
      </w:r>
    </w:p>
    <w:p w14:paraId="089B0D53" w14:textId="77777777" w:rsidR="00F8486E" w:rsidRDefault="00F8486E" w:rsidP="005677CE">
      <w:pPr>
        <w:overflowPunct w:val="0"/>
        <w:autoSpaceDE w:val="0"/>
        <w:autoSpaceDN w:val="0"/>
        <w:adjustRightInd w:val="0"/>
        <w:jc w:val="both"/>
        <w:textAlignment w:val="baseline"/>
        <w:rPr>
          <w:rFonts w:eastAsia="MS Mincho"/>
          <w:bCs/>
          <w:sz w:val="20"/>
          <w:szCs w:val="20"/>
        </w:rPr>
      </w:pPr>
    </w:p>
    <w:p w14:paraId="4384B281" w14:textId="1F1AF080" w:rsidR="009359BA" w:rsidRDefault="00F8486E" w:rsidP="00F8486E">
      <w:pPr>
        <w:overflowPunct w:val="0"/>
        <w:autoSpaceDE w:val="0"/>
        <w:autoSpaceDN w:val="0"/>
        <w:adjustRightInd w:val="0"/>
        <w:spacing w:after="120"/>
        <w:jc w:val="both"/>
        <w:textAlignment w:val="baseline"/>
        <w:rPr>
          <w:rFonts w:eastAsia="MS Mincho"/>
          <w:bCs/>
          <w:sz w:val="20"/>
          <w:szCs w:val="20"/>
        </w:rPr>
      </w:pPr>
      <w:r>
        <w:rPr>
          <w:rFonts w:eastAsia="MS Mincho"/>
          <w:bCs/>
          <w:sz w:val="20"/>
          <w:szCs w:val="20"/>
        </w:rPr>
        <w:t>The agreement was</w:t>
      </w:r>
      <w:r w:rsidR="009359BA">
        <w:rPr>
          <w:rFonts w:eastAsia="MS Mincho"/>
          <w:bCs/>
          <w:sz w:val="20"/>
          <w:szCs w:val="20"/>
        </w:rPr>
        <w:t xml:space="preserve"> captured in </w:t>
      </w:r>
      <w:r w:rsidR="00B3022F">
        <w:rPr>
          <w:rFonts w:eastAsia="MS Mincho"/>
          <w:bCs/>
          <w:sz w:val="20"/>
          <w:szCs w:val="20"/>
        </w:rPr>
        <w:t xml:space="preserve">three places, i.e., </w:t>
      </w:r>
      <w:r w:rsidR="009359BA">
        <w:rPr>
          <w:rFonts w:eastAsia="MS Mincho"/>
          <w:bCs/>
          <w:sz w:val="20"/>
          <w:szCs w:val="20"/>
        </w:rPr>
        <w:t>section 5.1, section 6 and section 8 of TS36.213</w:t>
      </w:r>
      <w:r w:rsidR="00B3022F">
        <w:rPr>
          <w:rFonts w:eastAsia="MS Mincho"/>
          <w:bCs/>
          <w:sz w:val="20"/>
          <w:szCs w:val="20"/>
        </w:rPr>
        <w:t>,</w:t>
      </w:r>
      <w:r>
        <w:rPr>
          <w:rFonts w:eastAsia="MS Mincho"/>
          <w:bCs/>
          <w:sz w:val="20"/>
          <w:szCs w:val="20"/>
        </w:rPr>
        <w:t xml:space="preserve"> with the same contents.</w:t>
      </w:r>
    </w:p>
    <w:tbl>
      <w:tblPr>
        <w:tblStyle w:val="ae"/>
        <w:tblW w:w="0" w:type="auto"/>
        <w:tblLook w:val="04A0" w:firstRow="1" w:lastRow="0" w:firstColumn="1" w:lastColumn="0" w:noHBand="0" w:noVBand="1"/>
      </w:tblPr>
      <w:tblGrid>
        <w:gridCol w:w="9629"/>
      </w:tblGrid>
      <w:tr w:rsidR="00F8486E" w14:paraId="0D92B231" w14:textId="77777777" w:rsidTr="006A334D">
        <w:tc>
          <w:tcPr>
            <w:tcW w:w="9629" w:type="dxa"/>
          </w:tcPr>
          <w:p w14:paraId="1D0CC29D" w14:textId="31386845" w:rsidR="00F8486E" w:rsidRPr="00F8486E" w:rsidRDefault="00F8486E" w:rsidP="00F8486E">
            <w:pPr>
              <w:pStyle w:val="af6"/>
              <w:rPr>
                <w:rFonts w:ascii="TimesNewRomanPSMT" w:hAnsi="TimesNewRomanPSMT"/>
                <w:sz w:val="20"/>
                <w:szCs w:val="20"/>
              </w:rPr>
            </w:pPr>
            <w:r>
              <w:rPr>
                <w:rFonts w:ascii="TimesNewRomanPSMT" w:hAnsi="TimesNewRomanPSMT"/>
                <w:sz w:val="20"/>
                <w:szCs w:val="20"/>
              </w:rPr>
              <w:lastRenderedPageBreak/>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w:t>
            </w:r>
          </w:p>
        </w:tc>
      </w:tr>
    </w:tbl>
    <w:p w14:paraId="76DEBC2B" w14:textId="77777777" w:rsidR="00F8486E" w:rsidRPr="00F8486E" w:rsidRDefault="00F8486E" w:rsidP="005677CE">
      <w:pPr>
        <w:overflowPunct w:val="0"/>
        <w:autoSpaceDE w:val="0"/>
        <w:autoSpaceDN w:val="0"/>
        <w:adjustRightInd w:val="0"/>
        <w:jc w:val="both"/>
        <w:textAlignment w:val="baseline"/>
        <w:rPr>
          <w:rFonts w:eastAsia="MS Mincho"/>
          <w:bCs/>
          <w:sz w:val="20"/>
          <w:szCs w:val="20"/>
        </w:rPr>
      </w:pPr>
    </w:p>
    <w:p w14:paraId="5172F461" w14:textId="7F252A54" w:rsidR="007D4383" w:rsidRPr="00DE24CC" w:rsidRDefault="00F8486E"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 xml:space="preserve">In </w:t>
      </w:r>
      <w:r w:rsidR="00DE24CC">
        <w:rPr>
          <w:rFonts w:eastAsia="MS Mincho"/>
          <w:bCs/>
          <w:sz w:val="20"/>
          <w:szCs w:val="20"/>
        </w:rPr>
        <w:t>Rel. 16</w:t>
      </w:r>
      <w:r>
        <w:rPr>
          <w:rFonts w:eastAsia="MS Mincho"/>
          <w:bCs/>
          <w:sz w:val="20"/>
          <w:szCs w:val="20"/>
        </w:rPr>
        <w:t>, the similar agreements were reached in</w:t>
      </w:r>
      <w:r w:rsidR="00DE24CC">
        <w:rPr>
          <w:rFonts w:eastAsia="MS Mincho"/>
          <w:bCs/>
          <w:sz w:val="20"/>
          <w:szCs w:val="20"/>
        </w:rPr>
        <w:t xml:space="preserve"> EN-DC enhancement</w:t>
      </w:r>
      <w:r w:rsidR="00B3022F">
        <w:rPr>
          <w:rFonts w:eastAsia="MS Mincho"/>
          <w:bCs/>
          <w:sz w:val="20"/>
          <w:szCs w:val="20"/>
        </w:rPr>
        <w:t>, as shown below</w:t>
      </w:r>
      <w:r>
        <w:rPr>
          <w:rFonts w:eastAsia="MS Mincho"/>
          <w:bCs/>
          <w:sz w:val="20"/>
          <w:szCs w:val="20"/>
        </w:rPr>
        <w:t>.</w:t>
      </w:r>
      <w:r w:rsidR="00DE24CC">
        <w:rPr>
          <w:rFonts w:eastAsia="MS Mincho"/>
          <w:bCs/>
          <w:sz w:val="20"/>
          <w:szCs w:val="20"/>
        </w:rPr>
        <w:t xml:space="preserve"> </w:t>
      </w:r>
      <w:r w:rsidR="00B3022F">
        <w:rPr>
          <w:rFonts w:eastAsia="MS Mincho"/>
          <w:bCs/>
          <w:sz w:val="20"/>
          <w:szCs w:val="20"/>
        </w:rPr>
        <w:t xml:space="preserve">The </w:t>
      </w:r>
      <w:r w:rsidR="00DE24CC">
        <w:rPr>
          <w:rFonts w:eastAsia="MS Mincho"/>
          <w:bCs/>
          <w:sz w:val="20"/>
          <w:szCs w:val="20"/>
        </w:rPr>
        <w:t xml:space="preserve">agreements were captured in </w:t>
      </w:r>
      <w:r w:rsidR="00B3022F">
        <w:rPr>
          <w:rFonts w:eastAsia="MS Mincho"/>
          <w:bCs/>
          <w:sz w:val="20"/>
          <w:szCs w:val="20"/>
        </w:rPr>
        <w:t xml:space="preserve">both </w:t>
      </w:r>
      <w:r w:rsidR="00DE24CC">
        <w:rPr>
          <w:rFonts w:eastAsia="MS Mincho"/>
          <w:bCs/>
          <w:sz w:val="20"/>
          <w:szCs w:val="20"/>
        </w:rPr>
        <w:t>section 6 and section 8 of TS36.213</w:t>
      </w:r>
      <w:r w:rsidR="00904961">
        <w:rPr>
          <w:rFonts w:eastAsia="MS Mincho"/>
          <w:bCs/>
          <w:sz w:val="20"/>
          <w:szCs w:val="20"/>
        </w:rPr>
        <w:t xml:space="preserve">, </w:t>
      </w:r>
      <w:r w:rsidR="00904961" w:rsidRPr="00B3022F">
        <w:rPr>
          <w:rFonts w:eastAsia="MS Mincho"/>
          <w:bCs/>
          <w:sz w:val="20"/>
          <w:szCs w:val="20"/>
          <w:u w:val="single"/>
        </w:rPr>
        <w:t xml:space="preserve">but not </w:t>
      </w:r>
      <w:r w:rsidR="00B3022F" w:rsidRPr="00B3022F">
        <w:rPr>
          <w:rFonts w:eastAsia="MS Mincho"/>
          <w:bCs/>
          <w:sz w:val="20"/>
          <w:szCs w:val="20"/>
          <w:u w:val="single"/>
        </w:rPr>
        <w:t xml:space="preserve">in </w:t>
      </w:r>
      <w:r w:rsidR="00904961" w:rsidRPr="00B3022F">
        <w:rPr>
          <w:rFonts w:eastAsia="MS Mincho"/>
          <w:bCs/>
          <w:sz w:val="20"/>
          <w:szCs w:val="20"/>
          <w:u w:val="single"/>
        </w:rPr>
        <w:t>section 5.1</w:t>
      </w:r>
      <w:r w:rsidR="00904961">
        <w:rPr>
          <w:rFonts w:eastAsia="MS Mincho"/>
          <w:bCs/>
          <w:sz w:val="20"/>
          <w:szCs w:val="20"/>
        </w:rPr>
        <w:t>. To avoid confusi</w:t>
      </w:r>
      <w:r w:rsidR="00B3022F">
        <w:rPr>
          <w:rFonts w:eastAsia="MS Mincho"/>
          <w:bCs/>
          <w:sz w:val="20"/>
          <w:szCs w:val="20"/>
        </w:rPr>
        <w:t>on</w:t>
      </w:r>
      <w:r w:rsidR="00904961">
        <w:rPr>
          <w:rFonts w:eastAsia="MS Mincho"/>
          <w:bCs/>
          <w:sz w:val="20"/>
          <w:szCs w:val="20"/>
        </w:rPr>
        <w:t xml:space="preserve"> between Rel.15 and Rel.16, It was proposed to capture the same contents in section 5.1 as these in section 6 and section 8 by [4]. But according to [1], this alignment is not necessary.</w:t>
      </w:r>
    </w:p>
    <w:p w14:paraId="6111E7D5" w14:textId="7F1AA98E" w:rsidR="007D4383" w:rsidRPr="00904961" w:rsidRDefault="007D4383" w:rsidP="005677CE">
      <w:pPr>
        <w:overflowPunct w:val="0"/>
        <w:autoSpaceDE w:val="0"/>
        <w:autoSpaceDN w:val="0"/>
        <w:adjustRightInd w:val="0"/>
        <w:jc w:val="both"/>
        <w:textAlignment w:val="baseline"/>
        <w:rPr>
          <w:rFonts w:eastAsia="MS Mincho"/>
          <w:bCs/>
          <w:sz w:val="20"/>
          <w:szCs w:val="20"/>
        </w:rPr>
      </w:pPr>
    </w:p>
    <w:p w14:paraId="42C75F1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highlight w:val="green"/>
          <w:lang w:val="en-GB" w:eastAsia="ja-JP"/>
        </w:rPr>
        <w:t>Agreements</w:t>
      </w:r>
      <w:r w:rsidRPr="00627A15">
        <w:rPr>
          <w:rFonts w:cs="+mn-cs"/>
          <w:color w:val="13171F"/>
          <w:kern w:val="24"/>
          <w:sz w:val="20"/>
          <w:szCs w:val="20"/>
          <w:lang w:val="en-GB" w:eastAsia="ja-JP"/>
        </w:rPr>
        <w:t>:</w:t>
      </w:r>
    </w:p>
    <w:p w14:paraId="7599138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lang w:val="en-GB" w:eastAsia="ja-JP"/>
        </w:rPr>
        <w:t>For a UE configured with DL-reference DL/UL configuration in Rel-16 (including single Tx with LTE TDD PCell or LTE FDD PCell, and dual Tx cases):</w:t>
      </w:r>
    </w:p>
    <w:p w14:paraId="5BDBBC14" w14:textId="3F3FF607" w:rsidR="007D4383" w:rsidRPr="00904961" w:rsidRDefault="00904961" w:rsidP="00904961">
      <w:pPr>
        <w:numPr>
          <w:ilvl w:val="0"/>
          <w:numId w:val="24"/>
        </w:numPr>
        <w:tabs>
          <w:tab w:val="left" w:pos="720"/>
        </w:tabs>
        <w:spacing w:line="256" w:lineRule="auto"/>
        <w:ind w:left="1267"/>
        <w:jc w:val="both"/>
        <w:rPr>
          <w:rFonts w:ascii="MS PGothic" w:eastAsia="MS PGothic" w:hAnsi="MS PGothic" w:cs="MS PGothic"/>
          <w:sz w:val="20"/>
          <w:szCs w:val="20"/>
          <w:lang w:eastAsia="ja-JP"/>
        </w:rPr>
      </w:pPr>
      <w:r w:rsidRPr="00904961">
        <w:rPr>
          <w:rFonts w:cs="Times"/>
          <w:color w:val="13171F"/>
          <w:kern w:val="24"/>
          <w:sz w:val="20"/>
          <w:szCs w:val="20"/>
          <w:lang w:eastAsia="ja-JP"/>
        </w:rPr>
        <w:t>For type 2 UE</w:t>
      </w:r>
      <w:r w:rsidRPr="00627A15">
        <w:rPr>
          <w:rFonts w:cs="Times"/>
          <w:color w:val="13171F"/>
          <w:kern w:val="24"/>
          <w:sz w:val="20"/>
          <w:szCs w:val="20"/>
          <w:lang w:eastAsia="ja-JP"/>
        </w:rPr>
        <w:t xml:space="preserve"> (i.e., UE without dynamic power sharing capability), any LTE UL transmissions should take place only in UL subframes designated for HARQ-ACK feedback.</w:t>
      </w:r>
    </w:p>
    <w:p w14:paraId="17CB2735" w14:textId="53E1FD00" w:rsidR="007D4383" w:rsidRPr="008F7D1A" w:rsidRDefault="007D4383" w:rsidP="007D4383">
      <w:pPr>
        <w:spacing w:before="120" w:after="240"/>
        <w:rPr>
          <w:b/>
          <w:bCs/>
          <w:color w:val="000000"/>
          <w:sz w:val="20"/>
          <w:szCs w:val="20"/>
        </w:rPr>
      </w:pPr>
      <w:r w:rsidRPr="00BA5C02">
        <w:rPr>
          <w:b/>
          <w:bCs/>
          <w:color w:val="000000"/>
          <w:sz w:val="20"/>
          <w:szCs w:val="20"/>
        </w:rPr>
        <w:t xml:space="preserve">Proposal </w:t>
      </w:r>
      <w:r w:rsidR="00904961">
        <w:rPr>
          <w:b/>
          <w:bCs/>
          <w:color w:val="000000"/>
          <w:sz w:val="20"/>
          <w:szCs w:val="20"/>
        </w:rPr>
        <w:t>3</w:t>
      </w:r>
      <w:r w:rsidRPr="00BA5C02">
        <w:rPr>
          <w:b/>
          <w:bCs/>
          <w:color w:val="000000"/>
          <w:sz w:val="20"/>
          <w:szCs w:val="20"/>
        </w:rPr>
        <w:t xml:space="preserve">: </w:t>
      </w:r>
      <w:r w:rsidR="00904961">
        <w:rPr>
          <w:b/>
          <w:bCs/>
          <w:color w:val="000000"/>
          <w:sz w:val="20"/>
          <w:szCs w:val="20"/>
        </w:rPr>
        <w:t>Discuss further whether a</w:t>
      </w:r>
      <w:r w:rsidRPr="00BA5C02">
        <w:rPr>
          <w:b/>
          <w:bCs/>
          <w:color w:val="000000"/>
          <w:sz w:val="20"/>
          <w:szCs w:val="20"/>
        </w:rPr>
        <w:t>dopt the</w:t>
      </w:r>
      <w:r>
        <w:rPr>
          <w:b/>
          <w:bCs/>
          <w:color w:val="000000"/>
          <w:sz w:val="20"/>
          <w:szCs w:val="20"/>
        </w:rPr>
        <w:t xml:space="preserve"> proposed</w:t>
      </w:r>
      <w:r w:rsidRPr="00BA5C02">
        <w:rPr>
          <w:b/>
          <w:bCs/>
          <w:color w:val="000000"/>
          <w:sz w:val="20"/>
          <w:szCs w:val="20"/>
        </w:rPr>
        <w:t xml:space="preserve"> text proposal on uplink power control</w:t>
      </w:r>
      <w:r>
        <w:rPr>
          <w:b/>
          <w:bCs/>
          <w:color w:val="000000"/>
          <w:sz w:val="20"/>
          <w:szCs w:val="20"/>
        </w:rPr>
        <w:t xml:space="preserve"> section in TS36.213</w:t>
      </w:r>
      <w:r w:rsidRPr="00BA5C02">
        <w:rPr>
          <w:b/>
          <w:bCs/>
          <w:color w:val="000000"/>
          <w:sz w:val="20"/>
          <w:szCs w:val="20"/>
        </w:rPr>
        <w:t>.</w:t>
      </w:r>
    </w:p>
    <w:tbl>
      <w:tblPr>
        <w:tblStyle w:val="ae"/>
        <w:tblW w:w="0" w:type="auto"/>
        <w:tblLook w:val="04A0" w:firstRow="1" w:lastRow="0" w:firstColumn="1" w:lastColumn="0" w:noHBand="0" w:noVBand="1"/>
      </w:tblPr>
      <w:tblGrid>
        <w:gridCol w:w="9629"/>
      </w:tblGrid>
      <w:tr w:rsidR="007D4383" w14:paraId="4E1B9C35" w14:textId="77777777" w:rsidTr="006A334D">
        <w:tc>
          <w:tcPr>
            <w:tcW w:w="9629" w:type="dxa"/>
          </w:tcPr>
          <w:p w14:paraId="67ABCADB" w14:textId="77777777" w:rsidR="007D4383" w:rsidRDefault="007D4383" w:rsidP="006A334D">
            <w:pPr>
              <w:pStyle w:val="af6"/>
            </w:pPr>
            <w:r>
              <w:rPr>
                <w:rFonts w:ascii="ArialMT" w:hAnsi="ArialMT"/>
                <w:sz w:val="32"/>
                <w:szCs w:val="32"/>
              </w:rPr>
              <w:t xml:space="preserve">5.1 Uplink power control </w:t>
            </w:r>
          </w:p>
          <w:p w14:paraId="44923303" w14:textId="77777777" w:rsidR="007D4383" w:rsidRPr="001810BD" w:rsidRDefault="007D4383" w:rsidP="006A334D">
            <w:pPr>
              <w:pStyle w:val="3"/>
              <w:numPr>
                <w:ilvl w:val="0"/>
                <w:numId w:val="0"/>
              </w:numPr>
              <w:tabs>
                <w:tab w:val="center" w:pos="4819"/>
              </w:tabs>
              <w:spacing w:before="120" w:after="120"/>
              <w:ind w:left="720"/>
              <w:jc w:val="center"/>
              <w:outlineLvl w:val="2"/>
              <w:rPr>
                <w:color w:val="FF0000"/>
                <w:sz w:val="20"/>
                <w:lang w:eastAsia="zh-CN"/>
              </w:rPr>
            </w:pPr>
            <w:r w:rsidRPr="00B43A15">
              <w:rPr>
                <w:color w:val="FF0000"/>
                <w:sz w:val="20"/>
                <w:lang w:eastAsia="zh-CN"/>
              </w:rPr>
              <w:t xml:space="preserve">&lt; </w:t>
            </w:r>
            <w:r w:rsidRPr="00B43A15">
              <w:rPr>
                <w:color w:val="FF0000"/>
                <w:sz w:val="20"/>
              </w:rPr>
              <w:t>Unchanged parts are omitted</w:t>
            </w:r>
            <w:r w:rsidRPr="00B43A15">
              <w:rPr>
                <w:color w:val="FF0000"/>
                <w:sz w:val="20"/>
                <w:lang w:eastAsia="zh-CN"/>
              </w:rPr>
              <w:t xml:space="preserve"> &gt;</w:t>
            </w:r>
          </w:p>
          <w:p w14:paraId="37BBD2CE" w14:textId="77777777" w:rsidR="007D4383" w:rsidRDefault="007D4383" w:rsidP="006A334D">
            <w:pPr>
              <w:pStyle w:val="af6"/>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 xml:space="preserve">. </w:t>
            </w:r>
          </w:p>
          <w:p w14:paraId="3B930513" w14:textId="77777777" w:rsidR="007D4383" w:rsidRPr="007D4383" w:rsidRDefault="007D4383" w:rsidP="006A334D">
            <w:pPr>
              <w:rPr>
                <w:color w:val="FF0000"/>
                <w:sz w:val="20"/>
                <w:szCs w:val="20"/>
                <w:u w:val="single"/>
              </w:rPr>
            </w:pPr>
            <w:r w:rsidRPr="007D4383">
              <w:rPr>
                <w:bCs/>
                <w:noProof/>
                <w:color w:val="FF0000"/>
                <w:sz w:val="20"/>
                <w:szCs w:val="20"/>
                <w:u w:val="single"/>
              </w:rPr>
              <w:t xml:space="preserve">For a UE configured with EN-DC, if the UE does not indicate </w:t>
            </w:r>
            <w:r w:rsidRPr="007D4383">
              <w:rPr>
                <w:color w:val="FF0000"/>
                <w:sz w:val="20"/>
                <w:szCs w:val="20"/>
                <w:u w:val="single"/>
              </w:rPr>
              <w:t>a capability for dynamic power sharing (as specified in [17])</w:t>
            </w:r>
            <w:r w:rsidRPr="007D4383">
              <w:rPr>
                <w:bCs/>
                <w:noProof/>
                <w:color w:val="FF0000"/>
                <w:sz w:val="20"/>
                <w:szCs w:val="20"/>
                <w:u w:val="single"/>
              </w:rPr>
              <w:t xml:space="preserve"> and </w:t>
            </w:r>
            <w:r w:rsidRPr="007D4383">
              <w:rPr>
                <w:color w:val="FF0000"/>
                <w:sz w:val="20"/>
                <w:szCs w:val="20"/>
                <w:u w:val="single"/>
              </w:rPr>
              <w:t xml:space="preserve">if the UE is configured with </w:t>
            </w:r>
            <w:r w:rsidRPr="007D4383">
              <w:rPr>
                <w:i/>
                <w:color w:val="FF0000"/>
                <w:sz w:val="20"/>
                <w:szCs w:val="20"/>
                <w:u w:val="single"/>
              </w:rPr>
              <w:t xml:space="preserve">subframeAssignment-r16 </w:t>
            </w:r>
            <w:r w:rsidRPr="007D4383">
              <w:rPr>
                <w:color w:val="FF0000"/>
                <w:sz w:val="20"/>
                <w:szCs w:val="20"/>
                <w:u w:val="single"/>
              </w:rPr>
              <w:t xml:space="preserve">for the serving cell, the UE </w:t>
            </w:r>
            <w:r w:rsidRPr="007D4383">
              <w:rPr>
                <w:rFonts w:ascii="Times" w:hAnsi="Times"/>
                <w:color w:val="FF0000"/>
                <w:sz w:val="20"/>
                <w:szCs w:val="20"/>
                <w:u w:val="single"/>
              </w:rPr>
              <w:t xml:space="preserve">is not expected to transmit any uplink physical channel or signal in the serving cell on subframes other than offset-UL subframes, where the offset-UL subframes are determined by applying an </w:t>
            </w:r>
            <w:r w:rsidRPr="007D4383">
              <w:rPr>
                <w:color w:val="FF0000"/>
                <w:sz w:val="20"/>
                <w:szCs w:val="20"/>
                <w:u w:val="single"/>
              </w:rPr>
              <w:t xml:space="preserve">offset value given by </w:t>
            </w:r>
            <w:r w:rsidRPr="007D4383">
              <w:rPr>
                <w:bCs/>
                <w:i/>
                <w:color w:val="FF0000"/>
                <w:sz w:val="20"/>
                <w:szCs w:val="20"/>
                <w:u w:val="single"/>
                <w:lang w:val="x-none"/>
              </w:rPr>
              <w:t>harq-Offset</w:t>
            </w:r>
            <w:r w:rsidRPr="007D4383">
              <w:rPr>
                <w:bCs/>
                <w:i/>
                <w:color w:val="FF0000"/>
                <w:sz w:val="20"/>
                <w:szCs w:val="20"/>
                <w:u w:val="single"/>
              </w:rPr>
              <w:t>-r16</w:t>
            </w:r>
            <w:r w:rsidRPr="007D4383">
              <w:rPr>
                <w:rFonts w:ascii="Times" w:hAnsi="Times"/>
                <w:color w:val="FF0000"/>
                <w:sz w:val="20"/>
                <w:szCs w:val="20"/>
                <w:u w:val="single"/>
              </w:rPr>
              <w:t xml:space="preserve"> to the subframes denoted as uplink in the </w:t>
            </w:r>
            <w:r w:rsidRPr="007D4383">
              <w:rPr>
                <w:color w:val="FF0000"/>
                <w:sz w:val="20"/>
                <w:szCs w:val="20"/>
                <w:u w:val="single"/>
              </w:rPr>
              <w:t xml:space="preserve">UL/DL configuration </w:t>
            </w:r>
            <w:r w:rsidRPr="007D4383">
              <w:rPr>
                <w:i/>
                <w:color w:val="FF0000"/>
                <w:sz w:val="20"/>
                <w:szCs w:val="20"/>
                <w:u w:val="single"/>
              </w:rPr>
              <w:t>subframeAssignment-r16</w:t>
            </w:r>
            <w:r w:rsidRPr="007D4383">
              <w:rPr>
                <w:color w:val="FF0000"/>
                <w:sz w:val="20"/>
                <w:szCs w:val="20"/>
                <w:u w:val="single"/>
              </w:rPr>
              <w:t>.</w:t>
            </w:r>
          </w:p>
          <w:p w14:paraId="12367462" w14:textId="77777777" w:rsidR="007D4383" w:rsidRPr="006A3F97" w:rsidRDefault="007D4383" w:rsidP="006A334D">
            <w:pPr>
              <w:rPr>
                <w:sz w:val="20"/>
                <w:szCs w:val="20"/>
              </w:rPr>
            </w:pPr>
          </w:p>
        </w:tc>
      </w:tr>
    </w:tbl>
    <w:p w14:paraId="5819E058" w14:textId="2F834F68" w:rsidR="00D95ACF" w:rsidRDefault="00D95ACF" w:rsidP="00B03F36">
      <w:pPr>
        <w:rPr>
          <w:rFonts w:eastAsia="MS Mincho"/>
          <w:lang w:val="en-GB" w:eastAsia="ja-JP" w:bidi="hi-IN"/>
        </w:rPr>
      </w:pPr>
    </w:p>
    <w:p w14:paraId="7D7B11CA" w14:textId="75666326" w:rsidR="00041146" w:rsidRPr="00041146" w:rsidRDefault="00041146" w:rsidP="00041146">
      <w:pPr>
        <w:rPr>
          <w:b/>
          <w:bCs/>
          <w:lang w:val="en-GB" w:eastAsia="en-US"/>
        </w:rPr>
      </w:pPr>
    </w:p>
    <w:p w14:paraId="61C99177" w14:textId="429A9816" w:rsidR="00041146" w:rsidRPr="00041146" w:rsidRDefault="00041146" w:rsidP="00041146">
      <w:pPr>
        <w:numPr>
          <w:ilvl w:val="0"/>
          <w:numId w:val="34"/>
        </w:numPr>
        <w:rPr>
          <w:b/>
          <w:bCs/>
          <w:sz w:val="20"/>
          <w:szCs w:val="20"/>
          <w:lang w:eastAsia="en-US"/>
        </w:rPr>
      </w:pPr>
      <w:r w:rsidRPr="00041146">
        <w:rPr>
          <w:b/>
          <w:bCs/>
          <w:sz w:val="20"/>
          <w:szCs w:val="20"/>
          <w:lang w:eastAsia="en-US"/>
        </w:rPr>
        <w:t>Q2-2: Do we need to copy the same text on R16 UE behavior from section 6 &amp; 8 to section 5.1 as well in 36.213? (Note that we indeed have the same text in section 6 &amp; 8 &amp; 5.1 on R15 UE behavior)</w:t>
      </w:r>
    </w:p>
    <w:p w14:paraId="3FC9591C" w14:textId="77777777" w:rsidR="00041146" w:rsidRPr="00041146" w:rsidRDefault="00041146" w:rsidP="00041146">
      <w:pPr>
        <w:rPr>
          <w:sz w:val="20"/>
          <w:szCs w:val="20"/>
          <w:lang w:eastAsia="en-US"/>
        </w:rPr>
      </w:pPr>
    </w:p>
    <w:tbl>
      <w:tblPr>
        <w:tblStyle w:val="ae"/>
        <w:tblW w:w="0" w:type="auto"/>
        <w:tblLook w:val="04A0" w:firstRow="1" w:lastRow="0" w:firstColumn="1" w:lastColumn="0" w:noHBand="0" w:noVBand="1"/>
      </w:tblPr>
      <w:tblGrid>
        <w:gridCol w:w="1435"/>
        <w:gridCol w:w="8194"/>
      </w:tblGrid>
      <w:tr w:rsidR="00041146" w14:paraId="2C065131" w14:textId="77777777" w:rsidTr="006A334D">
        <w:tc>
          <w:tcPr>
            <w:tcW w:w="1435" w:type="dxa"/>
          </w:tcPr>
          <w:p w14:paraId="5C2BD2F2" w14:textId="77777777" w:rsidR="00041146" w:rsidRDefault="00041146" w:rsidP="006A334D">
            <w:pPr>
              <w:rPr>
                <w:sz w:val="20"/>
                <w:szCs w:val="20"/>
                <w:lang w:eastAsia="ja-JP" w:bidi="hi-IN"/>
              </w:rPr>
            </w:pPr>
            <w:r>
              <w:rPr>
                <w:sz w:val="20"/>
                <w:szCs w:val="20"/>
                <w:lang w:eastAsia="ja-JP" w:bidi="hi-IN"/>
              </w:rPr>
              <w:t>Company</w:t>
            </w:r>
          </w:p>
        </w:tc>
        <w:tc>
          <w:tcPr>
            <w:tcW w:w="8194" w:type="dxa"/>
          </w:tcPr>
          <w:p w14:paraId="184862E3" w14:textId="77777777" w:rsidR="00041146" w:rsidRDefault="00041146" w:rsidP="006A334D">
            <w:pPr>
              <w:rPr>
                <w:sz w:val="20"/>
                <w:szCs w:val="20"/>
                <w:lang w:eastAsia="ja-JP" w:bidi="hi-IN"/>
              </w:rPr>
            </w:pPr>
            <w:r>
              <w:rPr>
                <w:sz w:val="20"/>
                <w:szCs w:val="20"/>
                <w:lang w:eastAsia="ja-JP" w:bidi="hi-IN"/>
              </w:rPr>
              <w:t>Comments</w:t>
            </w:r>
          </w:p>
        </w:tc>
      </w:tr>
      <w:tr w:rsidR="00041146" w14:paraId="56F8FB47" w14:textId="77777777" w:rsidTr="006A334D">
        <w:tc>
          <w:tcPr>
            <w:tcW w:w="1435" w:type="dxa"/>
          </w:tcPr>
          <w:p w14:paraId="09659D85" w14:textId="4F7391EE" w:rsidR="00041146" w:rsidRPr="00820F31" w:rsidRDefault="00820F31"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A58AD31" w14:textId="7633AF87" w:rsidR="00041146" w:rsidRPr="00820F31" w:rsidRDefault="00820F31" w:rsidP="006A334D">
            <w:pPr>
              <w:rPr>
                <w:rFonts w:eastAsiaTheme="minorEastAsia"/>
                <w:sz w:val="20"/>
                <w:szCs w:val="20"/>
                <w:lang w:bidi="hi-IN"/>
              </w:rPr>
            </w:pPr>
            <w:r>
              <w:rPr>
                <w:rFonts w:eastAsiaTheme="minorEastAsia"/>
                <w:sz w:val="20"/>
                <w:szCs w:val="20"/>
                <w:lang w:bidi="hi-IN"/>
              </w:rPr>
              <w:t>Copying the same text seems fine to us.</w:t>
            </w:r>
          </w:p>
        </w:tc>
      </w:tr>
      <w:tr w:rsidR="00041146" w14:paraId="6A6A573C" w14:textId="77777777" w:rsidTr="006A334D">
        <w:tc>
          <w:tcPr>
            <w:tcW w:w="1435" w:type="dxa"/>
          </w:tcPr>
          <w:p w14:paraId="28CCC1C3" w14:textId="043FAF4A" w:rsidR="00041146" w:rsidRDefault="00E4543C" w:rsidP="006A334D">
            <w:pPr>
              <w:rPr>
                <w:sz w:val="20"/>
                <w:szCs w:val="20"/>
                <w:lang w:eastAsia="ja-JP" w:bidi="hi-IN"/>
              </w:rPr>
            </w:pPr>
            <w:r>
              <w:rPr>
                <w:sz w:val="20"/>
                <w:szCs w:val="20"/>
                <w:lang w:eastAsia="ja-JP" w:bidi="hi-IN"/>
              </w:rPr>
              <w:t>Apple</w:t>
            </w:r>
          </w:p>
        </w:tc>
        <w:tc>
          <w:tcPr>
            <w:tcW w:w="8194" w:type="dxa"/>
          </w:tcPr>
          <w:p w14:paraId="5232300D" w14:textId="4E515D9D" w:rsidR="00041146" w:rsidRDefault="00E4543C" w:rsidP="006A334D">
            <w:pPr>
              <w:rPr>
                <w:sz w:val="20"/>
                <w:szCs w:val="20"/>
                <w:lang w:eastAsia="ja-JP" w:bidi="hi-IN"/>
              </w:rPr>
            </w:pPr>
            <w:r>
              <w:rPr>
                <w:sz w:val="20"/>
                <w:szCs w:val="20"/>
                <w:lang w:eastAsia="ja-JP" w:bidi="hi-IN"/>
              </w:rPr>
              <w:t>We prefer to capture the TP in the spec, otherwise it could cause confusion why it is different from Rel.15.</w:t>
            </w:r>
          </w:p>
        </w:tc>
      </w:tr>
      <w:tr w:rsidR="00703E70" w14:paraId="2A607299" w14:textId="77777777" w:rsidTr="006A334D">
        <w:tc>
          <w:tcPr>
            <w:tcW w:w="1435" w:type="dxa"/>
          </w:tcPr>
          <w:p w14:paraId="0CA183F3" w14:textId="6D3D3B7B" w:rsidR="00703E70" w:rsidRDefault="00703E70" w:rsidP="00703E70">
            <w:pPr>
              <w:rPr>
                <w:sz w:val="20"/>
                <w:szCs w:val="20"/>
                <w:lang w:eastAsia="ja-JP" w:bidi="hi-IN"/>
              </w:rPr>
            </w:pPr>
            <w:r w:rsidRPr="00446017">
              <w:rPr>
                <w:rFonts w:eastAsiaTheme="minorEastAsia"/>
                <w:sz w:val="20"/>
                <w:szCs w:val="20"/>
                <w:lang w:bidi="hi-IN"/>
              </w:rPr>
              <w:t>MTK</w:t>
            </w:r>
          </w:p>
        </w:tc>
        <w:tc>
          <w:tcPr>
            <w:tcW w:w="8194" w:type="dxa"/>
          </w:tcPr>
          <w:p w14:paraId="2B4FAB04" w14:textId="611FCFDF" w:rsidR="00703E70" w:rsidRDefault="00703E70" w:rsidP="00703E70">
            <w:pPr>
              <w:rPr>
                <w:sz w:val="20"/>
                <w:szCs w:val="20"/>
                <w:lang w:eastAsia="ja-JP" w:bidi="hi-IN"/>
              </w:rPr>
            </w:pPr>
            <w:r>
              <w:rPr>
                <w:rFonts w:eastAsiaTheme="minorEastAsia"/>
                <w:sz w:val="20"/>
                <w:szCs w:val="20"/>
                <w:lang w:bidi="hi-IN"/>
              </w:rPr>
              <w:t xml:space="preserve">We think it is better to copy the same text to </w:t>
            </w:r>
            <w:r w:rsidRPr="00446017">
              <w:rPr>
                <w:rFonts w:eastAsiaTheme="minorEastAsia"/>
                <w:sz w:val="20"/>
                <w:szCs w:val="20"/>
                <w:lang w:bidi="hi-IN"/>
              </w:rPr>
              <w:t>section 5.1.</w:t>
            </w:r>
          </w:p>
        </w:tc>
      </w:tr>
      <w:tr w:rsidR="00703E70" w14:paraId="4113294C" w14:textId="77777777" w:rsidTr="006A334D">
        <w:tc>
          <w:tcPr>
            <w:tcW w:w="1435" w:type="dxa"/>
          </w:tcPr>
          <w:p w14:paraId="51192F9F" w14:textId="317D3DBB" w:rsidR="00703E70" w:rsidRPr="00DA00AA" w:rsidRDefault="00DA00AA" w:rsidP="00703E70">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4E44D102" w14:textId="73D7D285" w:rsidR="00703E70" w:rsidRPr="00DA00AA" w:rsidRDefault="00DA00AA" w:rsidP="00DA00AA">
            <w:pPr>
              <w:rPr>
                <w:rFonts w:eastAsiaTheme="minorEastAsia"/>
                <w:sz w:val="20"/>
                <w:szCs w:val="20"/>
                <w:lang w:bidi="hi-IN"/>
              </w:rPr>
            </w:pPr>
            <w:r>
              <w:rPr>
                <w:rFonts w:eastAsiaTheme="minorEastAsia" w:hint="eastAsia"/>
                <w:sz w:val="20"/>
                <w:szCs w:val="20"/>
                <w:lang w:bidi="hi-IN"/>
              </w:rPr>
              <w:t>I</w:t>
            </w:r>
            <w:r>
              <w:rPr>
                <w:rFonts w:eastAsiaTheme="minorEastAsia"/>
                <w:sz w:val="20"/>
                <w:szCs w:val="20"/>
                <w:lang w:bidi="hi-IN"/>
              </w:rPr>
              <w:t>t is not necessary. Because such UE behavior has been captured at multiple sections for all PHY UL channels, the specification 36.213 is clear, no need to duplicate them into the section of power control. Or please clarify which PHY UL channel is missing.</w:t>
            </w:r>
          </w:p>
        </w:tc>
      </w:tr>
      <w:tr w:rsidR="00703E70" w14:paraId="2BCBC03C" w14:textId="77777777" w:rsidTr="006A334D">
        <w:tc>
          <w:tcPr>
            <w:tcW w:w="1435" w:type="dxa"/>
          </w:tcPr>
          <w:p w14:paraId="17240DD9" w14:textId="17660588" w:rsidR="00703E70" w:rsidRDefault="00EB2FA8" w:rsidP="00703E70">
            <w:pPr>
              <w:rPr>
                <w:sz w:val="20"/>
                <w:szCs w:val="20"/>
                <w:lang w:eastAsia="ja-JP" w:bidi="hi-IN"/>
              </w:rPr>
            </w:pPr>
            <w:r>
              <w:rPr>
                <w:sz w:val="20"/>
                <w:szCs w:val="20"/>
                <w:lang w:eastAsia="ja-JP" w:bidi="hi-IN"/>
              </w:rPr>
              <w:lastRenderedPageBreak/>
              <w:t>Qualcomm</w:t>
            </w:r>
          </w:p>
        </w:tc>
        <w:tc>
          <w:tcPr>
            <w:tcW w:w="8194" w:type="dxa"/>
          </w:tcPr>
          <w:p w14:paraId="79C42C51" w14:textId="14976583" w:rsidR="00651F1A" w:rsidRPr="00651F1A" w:rsidRDefault="00EB2FA8" w:rsidP="00703E70">
            <w:pPr>
              <w:rPr>
                <w:rFonts w:eastAsia="Yu Mincho"/>
                <w:sz w:val="20"/>
                <w:szCs w:val="20"/>
                <w:lang w:eastAsia="ja-JP" w:bidi="hi-IN"/>
              </w:rPr>
            </w:pPr>
            <w:r>
              <w:rPr>
                <w:rFonts w:eastAsia="Yu Mincho" w:hint="eastAsia"/>
                <w:sz w:val="20"/>
                <w:szCs w:val="20"/>
                <w:lang w:eastAsia="ja-JP" w:bidi="hi-IN"/>
              </w:rPr>
              <w:t>A</w:t>
            </w:r>
            <w:r>
              <w:rPr>
                <w:rFonts w:eastAsia="Yu Mincho"/>
                <w:sz w:val="20"/>
                <w:szCs w:val="20"/>
                <w:lang w:eastAsia="ja-JP" w:bidi="hi-IN"/>
              </w:rPr>
              <w:t>s we propose in R1-</w:t>
            </w:r>
            <w:r w:rsidR="00056E02">
              <w:rPr>
                <w:rFonts w:eastAsia="Yu Mincho"/>
                <w:sz w:val="20"/>
                <w:szCs w:val="20"/>
                <w:lang w:eastAsia="ja-JP" w:bidi="hi-IN"/>
              </w:rPr>
              <w:t xml:space="preserve">2002524 and R1-2002559, </w:t>
            </w:r>
            <w:r w:rsidR="0065657D">
              <w:rPr>
                <w:rFonts w:eastAsia="Yu Mincho"/>
                <w:sz w:val="20"/>
                <w:szCs w:val="20"/>
                <w:lang w:eastAsia="ja-JP" w:bidi="hi-IN"/>
              </w:rPr>
              <w:t xml:space="preserve">“the UE is not expected to transmit” should be corrected </w:t>
            </w:r>
            <w:r w:rsidR="0082530C">
              <w:rPr>
                <w:rFonts w:eastAsia="Yu Mincho"/>
                <w:sz w:val="20"/>
                <w:szCs w:val="20"/>
                <w:lang w:eastAsia="ja-JP" w:bidi="hi-IN"/>
              </w:rPr>
              <w:t xml:space="preserve">to “the UE is not expected to be configured or indicated to transmit” </w:t>
            </w:r>
            <w:r w:rsidR="0065657D">
              <w:rPr>
                <w:rFonts w:eastAsia="Yu Mincho"/>
                <w:sz w:val="20"/>
                <w:szCs w:val="20"/>
                <w:lang w:eastAsia="ja-JP" w:bidi="hi-IN"/>
              </w:rPr>
              <w:t>overall.</w:t>
            </w:r>
            <w:r w:rsidR="0093508B">
              <w:rPr>
                <w:rFonts w:eastAsia="Yu Mincho"/>
                <w:sz w:val="20"/>
                <w:szCs w:val="20"/>
                <w:lang w:eastAsia="ja-JP" w:bidi="hi-IN"/>
              </w:rPr>
              <w:t xml:space="preserve"> According to R1-200</w:t>
            </w:r>
            <w:r w:rsidR="00DA6BDD">
              <w:rPr>
                <w:rFonts w:eastAsia="Yu Mincho"/>
                <w:sz w:val="20"/>
                <w:szCs w:val="20"/>
                <w:lang w:eastAsia="ja-JP" w:bidi="hi-IN"/>
              </w:rPr>
              <w:t xml:space="preserve">1391, </w:t>
            </w:r>
            <w:r w:rsidR="00662BF0">
              <w:rPr>
                <w:rFonts w:eastAsia="Yu Mincho"/>
                <w:sz w:val="20"/>
                <w:szCs w:val="20"/>
                <w:lang w:eastAsia="ja-JP" w:bidi="hi-IN"/>
              </w:rPr>
              <w:t xml:space="preserve">for semi-static LTE UL transmission, following </w:t>
            </w:r>
            <w:r w:rsidR="00DB4102">
              <w:rPr>
                <w:rFonts w:eastAsia="Yu Mincho"/>
                <w:sz w:val="20"/>
                <w:szCs w:val="20"/>
                <w:lang w:eastAsia="ja-JP" w:bidi="hi-IN"/>
              </w:rPr>
              <w:t xml:space="preserve">description by ZTE </w:t>
            </w:r>
            <w:r w:rsidR="001E4640">
              <w:rPr>
                <w:rFonts w:eastAsia="Yu Mincho"/>
                <w:sz w:val="20"/>
                <w:szCs w:val="20"/>
                <w:lang w:eastAsia="ja-JP" w:bidi="hi-IN"/>
              </w:rPr>
              <w:t>was</w:t>
            </w:r>
            <w:r w:rsidR="00662BF0">
              <w:rPr>
                <w:rFonts w:eastAsia="Yu Mincho"/>
                <w:sz w:val="20"/>
                <w:szCs w:val="20"/>
                <w:lang w:eastAsia="ja-JP" w:bidi="hi-IN"/>
              </w:rPr>
              <w:t xml:space="preserve"> a common understanding</w:t>
            </w:r>
            <w:r w:rsidR="008113D7">
              <w:rPr>
                <w:rFonts w:eastAsia="Yu Mincho"/>
                <w:sz w:val="20"/>
                <w:szCs w:val="20"/>
                <w:lang w:eastAsia="ja-JP" w:bidi="hi-IN"/>
              </w:rPr>
              <w:t xml:space="preserve"> among many companies</w:t>
            </w:r>
            <w:r w:rsidR="00662BF0">
              <w:rPr>
                <w:rFonts w:eastAsia="Yu Mincho"/>
                <w:sz w:val="20"/>
                <w:szCs w:val="20"/>
                <w:lang w:eastAsia="ja-JP" w:bidi="hi-IN"/>
              </w:rPr>
              <w:t>.</w:t>
            </w:r>
            <w:r w:rsidR="008113D7">
              <w:rPr>
                <w:rFonts w:eastAsia="Yu Mincho"/>
                <w:sz w:val="20"/>
                <w:szCs w:val="20"/>
                <w:lang w:eastAsia="ja-JP" w:bidi="hi-IN"/>
              </w:rPr>
              <w:t xml:space="preserve"> This implies that </w:t>
            </w:r>
            <w:r w:rsidR="007D3427">
              <w:rPr>
                <w:rFonts w:eastAsia="Yu Mincho"/>
                <w:sz w:val="20"/>
                <w:szCs w:val="20"/>
                <w:lang w:eastAsia="ja-JP" w:bidi="hi-IN"/>
              </w:rPr>
              <w:t>at least for semi-static LTE UL transmission, the NW</w:t>
            </w:r>
            <w:r w:rsidR="001E4640">
              <w:rPr>
                <w:rFonts w:eastAsia="Yu Mincho"/>
                <w:sz w:val="20"/>
                <w:szCs w:val="20"/>
                <w:lang w:eastAsia="ja-JP" w:bidi="hi-IN"/>
              </w:rPr>
              <w:t xml:space="preserve"> will take care of it.</w:t>
            </w:r>
            <w:r w:rsidR="002A44FE">
              <w:rPr>
                <w:rFonts w:eastAsia="Yu Mincho"/>
                <w:sz w:val="20"/>
                <w:szCs w:val="20"/>
                <w:lang w:eastAsia="ja-JP" w:bidi="hi-IN"/>
              </w:rPr>
              <w:t xml:space="preserve"> Just copy and paste means that we will carry over the ambiguity from Rel.15 to Rel.16</w:t>
            </w:r>
            <w:r w:rsidR="00973B47">
              <w:rPr>
                <w:rFonts w:eastAsia="Yu Mincho"/>
                <w:sz w:val="20"/>
                <w:szCs w:val="20"/>
                <w:lang w:eastAsia="ja-JP" w:bidi="hi-IN"/>
              </w:rPr>
              <w:t>.</w:t>
            </w:r>
          </w:p>
          <w:p w14:paraId="19AC24D0" w14:textId="065DC3E2" w:rsidR="00651F1A" w:rsidRPr="00651F1A" w:rsidRDefault="00651F1A" w:rsidP="00703E70">
            <w:pPr>
              <w:rPr>
                <w:rFonts w:eastAsiaTheme="minorEastAsia"/>
                <w:color w:val="4472C4" w:themeColor="accent1"/>
              </w:rPr>
            </w:pPr>
            <w:r w:rsidRPr="00651F1A">
              <w:rPr>
                <w:color w:val="4472C4" w:themeColor="accent1"/>
              </w:rPr>
              <w:t>Our understanding is as below.</w:t>
            </w:r>
          </w:p>
          <w:p w14:paraId="4EE3B5A5" w14:textId="77777777" w:rsidR="00662BF0" w:rsidRPr="00651F1A" w:rsidRDefault="00662BF0" w:rsidP="00662BF0">
            <w:pPr>
              <w:numPr>
                <w:ilvl w:val="0"/>
                <w:numId w:val="42"/>
              </w:numPr>
              <w:rPr>
                <w:color w:val="4472C4" w:themeColor="accent1"/>
              </w:rPr>
            </w:pPr>
            <w:r w:rsidRPr="00651F1A">
              <w:rPr>
                <w:color w:val="4472C4" w:themeColor="accent1"/>
              </w:rPr>
              <w:t>The semi-statically configured LTE UL transmissions include periodic SR, configured grant, periodic SRS.</w:t>
            </w:r>
          </w:p>
          <w:p w14:paraId="10BC5070" w14:textId="77777777" w:rsidR="00662BF0" w:rsidRPr="00651F1A" w:rsidRDefault="00662BF0" w:rsidP="00662BF0">
            <w:pPr>
              <w:numPr>
                <w:ilvl w:val="0"/>
                <w:numId w:val="42"/>
              </w:numPr>
              <w:rPr>
                <w:color w:val="4472C4" w:themeColor="accent1"/>
              </w:rPr>
            </w:pPr>
            <w:r w:rsidRPr="00651F1A">
              <w:rPr>
                <w:color w:val="4472C4" w:themeColor="accent1"/>
              </w:rPr>
              <w:t>If a UE indicates support of semi-static-for-all-subframes, network can configure the semi-static LTE UL transmissions in all UL subframes (i.e., not restricted by the TDM U subframes). Of course, network can also configure the semi-static LTE UL transmissions only in the TDM U subframes.</w:t>
            </w:r>
          </w:p>
          <w:p w14:paraId="236695D5" w14:textId="77777777" w:rsidR="00662BF0" w:rsidRPr="00651F1A" w:rsidRDefault="00662BF0" w:rsidP="00662BF0">
            <w:pPr>
              <w:numPr>
                <w:ilvl w:val="0"/>
                <w:numId w:val="42"/>
              </w:numPr>
              <w:rPr>
                <w:color w:val="4472C4" w:themeColor="accent1"/>
              </w:rPr>
            </w:pPr>
            <w:r w:rsidRPr="00651F1A">
              <w:rPr>
                <w:color w:val="4472C4" w:themeColor="accent1"/>
              </w:rPr>
              <w:t>If a UE does NOT indicate support of semi-static-for-all-subframes, network has to configure the semi-static LTE UL transmissions only in the TDM U subframes.</w:t>
            </w:r>
          </w:p>
          <w:p w14:paraId="5D33EB03" w14:textId="3CB357DA" w:rsidR="0082530C" w:rsidRPr="00662BF0" w:rsidRDefault="0082530C" w:rsidP="00703E70">
            <w:pPr>
              <w:rPr>
                <w:rFonts w:eastAsia="Yu Mincho"/>
                <w:sz w:val="20"/>
                <w:szCs w:val="20"/>
                <w:lang w:eastAsia="ja-JP" w:bidi="hi-IN"/>
              </w:rPr>
            </w:pPr>
          </w:p>
        </w:tc>
      </w:tr>
      <w:tr w:rsidR="00A900DF" w14:paraId="7508C989" w14:textId="77777777" w:rsidTr="006A334D">
        <w:tc>
          <w:tcPr>
            <w:tcW w:w="1435" w:type="dxa"/>
          </w:tcPr>
          <w:p w14:paraId="6DB7FC48" w14:textId="3E278E80" w:rsidR="00A900DF" w:rsidRDefault="00A900DF" w:rsidP="00703E70">
            <w:pPr>
              <w:rPr>
                <w:sz w:val="20"/>
                <w:szCs w:val="20"/>
                <w:lang w:eastAsia="ja-JP" w:bidi="hi-IN"/>
              </w:rPr>
            </w:pPr>
            <w:r>
              <w:rPr>
                <w:sz w:val="20"/>
                <w:szCs w:val="20"/>
                <w:lang w:eastAsia="ja-JP" w:bidi="hi-IN"/>
              </w:rPr>
              <w:t>Ericsson</w:t>
            </w:r>
          </w:p>
        </w:tc>
        <w:tc>
          <w:tcPr>
            <w:tcW w:w="8194" w:type="dxa"/>
          </w:tcPr>
          <w:p w14:paraId="46563A56" w14:textId="05E86767" w:rsidR="00A900DF" w:rsidRDefault="00A900DF" w:rsidP="00703E70">
            <w:pPr>
              <w:rPr>
                <w:rFonts w:eastAsia="Yu Mincho"/>
                <w:sz w:val="20"/>
                <w:szCs w:val="20"/>
                <w:lang w:eastAsia="ja-JP" w:bidi="hi-IN"/>
              </w:rPr>
            </w:pPr>
            <w:r>
              <w:rPr>
                <w:rFonts w:eastAsia="Yu Mincho"/>
                <w:sz w:val="20"/>
                <w:szCs w:val="20"/>
                <w:lang w:eastAsia="ja-JP" w:bidi="hi-IN"/>
              </w:rPr>
              <w:t xml:space="preserve">No strong view but OK to match Rel15 formulation. </w:t>
            </w:r>
          </w:p>
        </w:tc>
      </w:tr>
      <w:tr w:rsidR="00A2316F" w14:paraId="1A1B9792" w14:textId="77777777" w:rsidTr="006A334D">
        <w:tc>
          <w:tcPr>
            <w:tcW w:w="1435" w:type="dxa"/>
          </w:tcPr>
          <w:p w14:paraId="3CD4B7C5" w14:textId="6C92E42D" w:rsidR="00A2316F" w:rsidRPr="00A2316F" w:rsidRDefault="00A2316F" w:rsidP="00703E70">
            <w:pPr>
              <w:rPr>
                <w:rFonts w:eastAsia="맑은 고딕"/>
                <w:sz w:val="20"/>
                <w:szCs w:val="20"/>
                <w:lang w:eastAsia="ko-KR" w:bidi="hi-IN"/>
              </w:rPr>
            </w:pPr>
            <w:r>
              <w:rPr>
                <w:rFonts w:eastAsia="맑은 고딕" w:hint="eastAsia"/>
                <w:sz w:val="20"/>
                <w:szCs w:val="20"/>
                <w:lang w:eastAsia="ko-KR" w:bidi="hi-IN"/>
              </w:rPr>
              <w:t>S</w:t>
            </w:r>
            <w:r>
              <w:rPr>
                <w:rFonts w:eastAsia="맑은 고딕"/>
                <w:sz w:val="20"/>
                <w:szCs w:val="20"/>
                <w:lang w:eastAsia="ko-KR" w:bidi="hi-IN"/>
              </w:rPr>
              <w:t>amsung</w:t>
            </w:r>
          </w:p>
        </w:tc>
        <w:tc>
          <w:tcPr>
            <w:tcW w:w="8194" w:type="dxa"/>
          </w:tcPr>
          <w:p w14:paraId="479AD649" w14:textId="3EC3D6D1" w:rsidR="00A2316F" w:rsidRPr="00A2316F" w:rsidRDefault="00A2316F" w:rsidP="00703E70">
            <w:pPr>
              <w:rPr>
                <w:rFonts w:eastAsia="맑은 고딕"/>
                <w:sz w:val="20"/>
                <w:szCs w:val="20"/>
                <w:lang w:eastAsia="ko-KR" w:bidi="hi-IN"/>
              </w:rPr>
            </w:pPr>
            <w:r>
              <w:rPr>
                <w:rFonts w:eastAsia="맑은 고딕" w:hint="eastAsia"/>
                <w:sz w:val="20"/>
                <w:szCs w:val="20"/>
                <w:lang w:eastAsia="ko-KR" w:bidi="hi-IN"/>
              </w:rPr>
              <w:t xml:space="preserve">OK with capturing </w:t>
            </w:r>
            <w:r>
              <w:rPr>
                <w:rFonts w:eastAsia="맑은 고딕"/>
                <w:sz w:val="20"/>
                <w:szCs w:val="20"/>
                <w:lang w:eastAsia="ko-KR" w:bidi="hi-IN"/>
              </w:rPr>
              <w:t>the TP in the spec.</w:t>
            </w:r>
          </w:p>
        </w:tc>
      </w:tr>
    </w:tbl>
    <w:p w14:paraId="73F690E1" w14:textId="7F828123" w:rsidR="00041146" w:rsidRDefault="00041146" w:rsidP="00041146">
      <w:pPr>
        <w:rPr>
          <w:sz w:val="20"/>
          <w:szCs w:val="20"/>
          <w:lang w:eastAsia="en-US"/>
        </w:rPr>
      </w:pPr>
    </w:p>
    <w:p w14:paraId="4CA11EEA" w14:textId="77777777" w:rsidR="00041146" w:rsidRPr="00041146" w:rsidRDefault="00041146" w:rsidP="00041146">
      <w:pPr>
        <w:rPr>
          <w:sz w:val="20"/>
          <w:szCs w:val="20"/>
          <w:lang w:eastAsia="en-US"/>
        </w:rPr>
      </w:pPr>
    </w:p>
    <w:p w14:paraId="47BA569A" w14:textId="70458DA0" w:rsidR="0017048A" w:rsidRPr="00342BBF" w:rsidRDefault="0017048A" w:rsidP="00342BBF">
      <w:pPr>
        <w:pStyle w:val="1"/>
      </w:pPr>
      <w:r w:rsidRPr="00342BBF">
        <w:t>References</w:t>
      </w:r>
    </w:p>
    <w:p w14:paraId="0904D4DD" w14:textId="3FF1EA46" w:rsidR="007712B7" w:rsidRPr="00531B7F" w:rsidRDefault="007712B7" w:rsidP="007712B7">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6" w:name="_Ref5027430"/>
      <w:r>
        <w:rPr>
          <w:sz w:val="22"/>
          <w:szCs w:val="22"/>
        </w:rPr>
        <w:t>R1-</w:t>
      </w:r>
      <w:r w:rsidR="0090513A">
        <w:rPr>
          <w:sz w:val="22"/>
          <w:szCs w:val="22"/>
        </w:rPr>
        <w:t>200</w:t>
      </w:r>
      <w:r w:rsidR="00531B7F">
        <w:rPr>
          <w:sz w:val="22"/>
          <w:szCs w:val="22"/>
        </w:rPr>
        <w:t>1529</w:t>
      </w:r>
      <w:r>
        <w:rPr>
          <w:sz w:val="22"/>
          <w:szCs w:val="22"/>
        </w:rPr>
        <w:t>, “</w:t>
      </w:r>
      <w:r w:rsidR="00531B7F" w:rsidRPr="00531B7F">
        <w:rPr>
          <w:sz w:val="22"/>
          <w:szCs w:val="22"/>
        </w:rPr>
        <w:t>Enhancements for single UL operation for EN-DC</w:t>
      </w:r>
      <w:r>
        <w:rPr>
          <w:sz w:val="22"/>
          <w:szCs w:val="22"/>
        </w:rPr>
        <w:t xml:space="preserve">”, </w:t>
      </w:r>
      <w:r w:rsidR="00531B7F" w:rsidRPr="00531B7F">
        <w:rPr>
          <w:sz w:val="22"/>
          <w:szCs w:val="22"/>
        </w:rPr>
        <w:t>Huawei, HiSilicon</w:t>
      </w:r>
      <w:r>
        <w:rPr>
          <w:sz w:val="22"/>
          <w:szCs w:val="22"/>
        </w:rPr>
        <w:t>, 3GPP RAN1#</w:t>
      </w:r>
      <w:r w:rsidR="0090513A">
        <w:rPr>
          <w:sz w:val="22"/>
          <w:szCs w:val="22"/>
        </w:rPr>
        <w:t>100</w:t>
      </w:r>
      <w:r w:rsidR="00531B7F">
        <w:rPr>
          <w:sz w:val="22"/>
          <w:szCs w:val="22"/>
        </w:rPr>
        <w:t xml:space="preserve"> bis </w:t>
      </w:r>
      <w:r w:rsidR="0090513A">
        <w:rPr>
          <w:sz w:val="22"/>
          <w:szCs w:val="22"/>
        </w:rPr>
        <w:t>e</w:t>
      </w:r>
      <w:r w:rsidR="00531B7F">
        <w:rPr>
          <w:sz w:val="22"/>
          <w:szCs w:val="22"/>
        </w:rPr>
        <w:t>-meeting</w:t>
      </w:r>
      <w:r>
        <w:rPr>
          <w:sz w:val="22"/>
          <w:szCs w:val="22"/>
        </w:rPr>
        <w:t xml:space="preserve">, </w:t>
      </w:r>
      <w:bookmarkEnd w:id="6"/>
      <w:r w:rsidR="00531B7F" w:rsidRPr="00531B7F">
        <w:rPr>
          <w:bCs/>
          <w:sz w:val="22"/>
          <w:szCs w:val="22"/>
        </w:rPr>
        <w:t>April 20</w:t>
      </w:r>
      <w:r w:rsidR="00531B7F" w:rsidRPr="00531B7F">
        <w:rPr>
          <w:bCs/>
          <w:sz w:val="22"/>
          <w:szCs w:val="22"/>
          <w:vertAlign w:val="superscript"/>
        </w:rPr>
        <w:t>th</w:t>
      </w:r>
      <w:r w:rsidR="00531B7F" w:rsidRPr="00531B7F">
        <w:rPr>
          <w:bCs/>
          <w:sz w:val="22"/>
          <w:szCs w:val="22"/>
        </w:rPr>
        <w:t xml:space="preserve"> – 30</w:t>
      </w:r>
      <w:r w:rsidR="00531B7F" w:rsidRPr="00531B7F">
        <w:rPr>
          <w:bCs/>
          <w:sz w:val="22"/>
          <w:szCs w:val="22"/>
          <w:vertAlign w:val="superscript"/>
        </w:rPr>
        <w:t>th</w:t>
      </w:r>
      <w:r w:rsidR="00531B7F" w:rsidRPr="00531B7F">
        <w:rPr>
          <w:rFonts w:hint="eastAsia"/>
          <w:bCs/>
          <w:sz w:val="22"/>
          <w:szCs w:val="22"/>
        </w:rPr>
        <w:t>,</w:t>
      </w:r>
      <w:r w:rsidR="00531B7F" w:rsidRPr="00531B7F">
        <w:rPr>
          <w:bCs/>
          <w:sz w:val="22"/>
          <w:szCs w:val="22"/>
        </w:rPr>
        <w:t xml:space="preserve"> 2020</w:t>
      </w:r>
    </w:p>
    <w:p w14:paraId="25436F64" w14:textId="41F88D2E"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R1-2001619, “</w:t>
      </w:r>
      <w:r w:rsidRPr="00531B7F">
        <w:rPr>
          <w:sz w:val="22"/>
          <w:szCs w:val="22"/>
        </w:rPr>
        <w:t>Remaining Issues on Single Tx Switched Uplink Solution for EN-DC</w:t>
      </w:r>
      <w:r>
        <w:rPr>
          <w:sz w:val="22"/>
          <w:szCs w:val="22"/>
        </w:rPr>
        <w:t xml:space="preserve">”, ZTE,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5EC2C08F" w14:textId="54C10178"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R1-2001835, “</w:t>
      </w:r>
      <w:r w:rsidRPr="00531B7F">
        <w:rPr>
          <w:sz w:val="22"/>
          <w:szCs w:val="22"/>
        </w:rPr>
        <w:t>Remaining issues on single Tx switched UL solution for EN-DC</w:t>
      </w:r>
      <w:r>
        <w:rPr>
          <w:sz w:val="22"/>
          <w:szCs w:val="22"/>
        </w:rPr>
        <w:t xml:space="preserve">”, MediaTek Inc.,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706223F5" w14:textId="21BA7769"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R1-2002347, “</w:t>
      </w:r>
      <w:r w:rsidRPr="00531B7F">
        <w:rPr>
          <w:sz w:val="22"/>
          <w:szCs w:val="22"/>
        </w:rPr>
        <w:t>Remaining issues on single Tx operation for EN-DC</w:t>
      </w:r>
      <w:r>
        <w:rPr>
          <w:sz w:val="22"/>
          <w:szCs w:val="22"/>
        </w:rPr>
        <w:t xml:space="preserve">”, Apple,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000A716F" w14:textId="36EF90F2"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R1-2002419, “</w:t>
      </w:r>
      <w:r w:rsidRPr="00531B7F">
        <w:rPr>
          <w:sz w:val="22"/>
          <w:szCs w:val="22"/>
        </w:rPr>
        <w:t>Remaining issues for single Tx UL enhancements</w:t>
      </w:r>
      <w:r>
        <w:rPr>
          <w:sz w:val="22"/>
          <w:szCs w:val="22"/>
        </w:rPr>
        <w:t xml:space="preserve">”, Ericsson,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3EB5433D" w14:textId="61137069" w:rsidR="00531B7F" w:rsidRPr="00A27A34" w:rsidRDefault="00531B7F" w:rsidP="00A27A34">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7" w:name="_Ref37764295"/>
      <w:r>
        <w:rPr>
          <w:sz w:val="22"/>
          <w:szCs w:val="22"/>
        </w:rPr>
        <w:t>R1-2002559, “</w:t>
      </w:r>
      <w:r w:rsidRPr="00531B7F">
        <w:rPr>
          <w:sz w:val="22"/>
          <w:szCs w:val="22"/>
        </w:rPr>
        <w:t>Remaining issues for EN-DC Single-Tx TDM Operation</w:t>
      </w:r>
      <w:r>
        <w:rPr>
          <w:sz w:val="22"/>
          <w:szCs w:val="22"/>
        </w:rPr>
        <w:t xml:space="preserve">”, </w:t>
      </w:r>
      <w:r w:rsidRPr="00531B7F">
        <w:rPr>
          <w:sz w:val="22"/>
          <w:szCs w:val="22"/>
        </w:rPr>
        <w:t>Qualcomm Incorporated</w:t>
      </w:r>
      <w:r>
        <w:rPr>
          <w:sz w:val="22"/>
          <w:szCs w:val="22"/>
        </w:rPr>
        <w:t xml:space="preserv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bookmarkEnd w:id="7"/>
    </w:p>
    <w:p w14:paraId="7665E587" w14:textId="388824C6" w:rsidR="00892379" w:rsidRPr="00253D80" w:rsidRDefault="009243A8" w:rsidP="00253D80">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8" w:name="_Ref4528096"/>
      <w:r>
        <w:rPr>
          <w:sz w:val="22"/>
          <w:szCs w:val="22"/>
        </w:rPr>
        <w:t>“</w:t>
      </w:r>
      <w:r w:rsidRPr="000243BF">
        <w:rPr>
          <w:sz w:val="22"/>
          <w:szCs w:val="22"/>
        </w:rPr>
        <w:t>Chairman Note</w:t>
      </w:r>
      <w:r>
        <w:rPr>
          <w:sz w:val="22"/>
          <w:szCs w:val="22"/>
        </w:rPr>
        <w:t>s</w:t>
      </w:r>
      <w:r w:rsidRPr="000243BF">
        <w:rPr>
          <w:sz w:val="22"/>
          <w:szCs w:val="22"/>
        </w:rPr>
        <w:t>, RAN1</w:t>
      </w:r>
      <w:r>
        <w:rPr>
          <w:sz w:val="22"/>
          <w:szCs w:val="22"/>
        </w:rPr>
        <w:t xml:space="preserve"> </w:t>
      </w:r>
      <w:r w:rsidRPr="000243BF">
        <w:rPr>
          <w:sz w:val="22"/>
          <w:szCs w:val="22"/>
        </w:rPr>
        <w:t>#</w:t>
      </w:r>
      <w:r>
        <w:rPr>
          <w:sz w:val="22"/>
          <w:szCs w:val="22"/>
        </w:rPr>
        <w:t>9</w:t>
      </w:r>
      <w:r w:rsidR="0099551F">
        <w:rPr>
          <w:sz w:val="22"/>
          <w:szCs w:val="22"/>
        </w:rPr>
        <w:t>9</w:t>
      </w:r>
      <w:r>
        <w:rPr>
          <w:sz w:val="22"/>
          <w:szCs w:val="22"/>
        </w:rPr>
        <w:t>”, 3GPP RAN1 #</w:t>
      </w:r>
      <w:r w:rsidR="00483620">
        <w:rPr>
          <w:sz w:val="22"/>
          <w:szCs w:val="22"/>
        </w:rPr>
        <w:t>9</w:t>
      </w:r>
      <w:r w:rsidR="0099551F">
        <w:rPr>
          <w:sz w:val="22"/>
          <w:szCs w:val="22"/>
        </w:rPr>
        <w:t>9</w:t>
      </w:r>
      <w:r w:rsidRPr="000243BF">
        <w:rPr>
          <w:sz w:val="22"/>
          <w:szCs w:val="22"/>
        </w:rPr>
        <w:t xml:space="preserve">, </w:t>
      </w:r>
      <w:r w:rsidR="0099551F">
        <w:rPr>
          <w:sz w:val="22"/>
          <w:szCs w:val="22"/>
        </w:rPr>
        <w:t>Reno, USA</w:t>
      </w:r>
      <w:r w:rsidRPr="000243BF">
        <w:rPr>
          <w:sz w:val="22"/>
          <w:szCs w:val="22"/>
        </w:rPr>
        <w:t xml:space="preserve">, </w:t>
      </w:r>
      <w:r w:rsidR="007A05D0">
        <w:rPr>
          <w:sz w:val="22"/>
          <w:szCs w:val="22"/>
        </w:rPr>
        <w:t>November</w:t>
      </w:r>
      <w:r w:rsidR="00483620">
        <w:rPr>
          <w:sz w:val="22"/>
          <w:szCs w:val="22"/>
        </w:rPr>
        <w:t xml:space="preserve"> </w:t>
      </w:r>
      <w:r w:rsidR="007A05D0">
        <w:rPr>
          <w:sz w:val="22"/>
          <w:szCs w:val="22"/>
        </w:rPr>
        <w:t>18</w:t>
      </w:r>
      <w:r w:rsidRPr="00AD62C5">
        <w:rPr>
          <w:sz w:val="22"/>
          <w:szCs w:val="22"/>
          <w:vertAlign w:val="superscript"/>
        </w:rPr>
        <w:t>th</w:t>
      </w:r>
      <w:r>
        <w:rPr>
          <w:sz w:val="22"/>
          <w:szCs w:val="22"/>
        </w:rPr>
        <w:t xml:space="preserve"> </w:t>
      </w:r>
      <w:r w:rsidR="00483620">
        <w:rPr>
          <w:sz w:val="22"/>
          <w:szCs w:val="22"/>
        </w:rPr>
        <w:t xml:space="preserve">– </w:t>
      </w:r>
      <w:r w:rsidR="007A05D0">
        <w:rPr>
          <w:sz w:val="22"/>
          <w:szCs w:val="22"/>
        </w:rPr>
        <w:t>22</w:t>
      </w:r>
      <w:r w:rsidR="007A05D0" w:rsidRPr="007A05D0">
        <w:rPr>
          <w:sz w:val="22"/>
          <w:szCs w:val="22"/>
          <w:vertAlign w:val="superscript"/>
        </w:rPr>
        <w:t>nd</w:t>
      </w:r>
      <w:r w:rsidR="00483620">
        <w:rPr>
          <w:sz w:val="22"/>
          <w:szCs w:val="22"/>
        </w:rPr>
        <w:t xml:space="preserve">, </w:t>
      </w:r>
      <w:r w:rsidRPr="000243BF">
        <w:rPr>
          <w:sz w:val="22"/>
          <w:szCs w:val="22"/>
        </w:rPr>
        <w:t>201</w:t>
      </w:r>
      <w:r>
        <w:rPr>
          <w:sz w:val="22"/>
          <w:szCs w:val="22"/>
        </w:rPr>
        <w:t>9.</w:t>
      </w:r>
      <w:bookmarkEnd w:id="8"/>
    </w:p>
    <w:p w14:paraId="7B2289A0" w14:textId="77777777" w:rsidR="00A60163" w:rsidRPr="00A60163" w:rsidRDefault="00A60163" w:rsidP="00A60163">
      <w:pPr>
        <w:widowControl w:val="0"/>
      </w:pPr>
    </w:p>
    <w:sectPr w:rsidR="00A60163" w:rsidRPr="00A60163" w:rsidSect="00C775EF">
      <w:headerReference w:type="even" r:id="rId43"/>
      <w:footerReference w:type="even" r:id="rId44"/>
      <w:footerReference w:type="default" r:id="rId45"/>
      <w:footnotePr>
        <w:numRestart w:val="eachSect"/>
      </w:footnotePr>
      <w:type w:val="continuous"/>
      <w:pgSz w:w="11907" w:h="16839" w:code="9"/>
      <w:pgMar w:top="1418" w:right="1134" w:bottom="1134" w:left="1134" w:header="62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B0270" w14:textId="77777777" w:rsidR="0040079A" w:rsidRDefault="0040079A">
      <w:r>
        <w:separator/>
      </w:r>
    </w:p>
  </w:endnote>
  <w:endnote w:type="continuationSeparator" w:id="0">
    <w:p w14:paraId="55EA45E8" w14:textId="77777777" w:rsidR="0040079A" w:rsidRDefault="0040079A">
      <w:r>
        <w:continuationSeparator/>
      </w:r>
    </w:p>
  </w:endnote>
  <w:endnote w:type="continuationNotice" w:id="1">
    <w:p w14:paraId="71628D8D" w14:textId="77777777" w:rsidR="0040079A" w:rsidRDefault="00400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mn-cs">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ArialMT">
    <w:altName w:val="Microsoft JhengHei"/>
    <w:panose1 w:val="00000000000000000000"/>
    <w:charset w:val="88"/>
    <w:family w:val="auto"/>
    <w:notTrueType/>
    <w:pitch w:val="default"/>
    <w:sig w:usb0="00000001"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0657" w14:textId="77777777" w:rsidR="00902DFE" w:rsidRDefault="00902DFE" w:rsidP="00F837DD">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B3B0E00" w14:textId="77777777" w:rsidR="00902DFE" w:rsidRDefault="00902DFE"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6269" w14:textId="42EA6EF7" w:rsidR="00902DFE" w:rsidRPr="00DB1239" w:rsidRDefault="00902DFE" w:rsidP="00450D3B">
    <w:pPr>
      <w:pStyle w:val="aa"/>
      <w:ind w:right="360"/>
      <w:rPr>
        <w:b w:val="0"/>
      </w:rPr>
    </w:pPr>
    <w:r>
      <w:rPr>
        <w:rStyle w:val="af"/>
      </w:rPr>
      <w:fldChar w:fldCharType="begin"/>
    </w:r>
    <w:r>
      <w:rPr>
        <w:rStyle w:val="af"/>
      </w:rPr>
      <w:instrText xml:space="preserve"> PAGE </w:instrText>
    </w:r>
    <w:r>
      <w:rPr>
        <w:rStyle w:val="af"/>
      </w:rPr>
      <w:fldChar w:fldCharType="separate"/>
    </w:r>
    <w:r w:rsidR="00DD63B0">
      <w:rPr>
        <w:rStyle w:val="af"/>
      </w:rPr>
      <w:t>8</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DD63B0">
      <w:rPr>
        <w:rStyle w:val="af"/>
      </w:rPr>
      <w:t>13</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800D" w14:textId="77777777" w:rsidR="0040079A" w:rsidRDefault="0040079A">
      <w:r>
        <w:separator/>
      </w:r>
    </w:p>
  </w:footnote>
  <w:footnote w:type="continuationSeparator" w:id="0">
    <w:p w14:paraId="2B54B060" w14:textId="77777777" w:rsidR="0040079A" w:rsidRDefault="0040079A">
      <w:r>
        <w:continuationSeparator/>
      </w:r>
    </w:p>
  </w:footnote>
  <w:footnote w:type="continuationNotice" w:id="1">
    <w:p w14:paraId="5A5A9A8A" w14:textId="77777777" w:rsidR="0040079A" w:rsidRDefault="004007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5896" w14:textId="77777777" w:rsidR="00902DFE" w:rsidRDefault="00902DF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New York" w:hAnsi="New York" w:hint="default"/>
        <w:b/>
        <w:i w:val="0"/>
        <w:color w:val="auto"/>
        <w:sz w:val="20"/>
        <w:szCs w:val="20"/>
      </w:rPr>
    </w:lvl>
    <w:lvl w:ilvl="1">
      <w:start w:val="1"/>
      <w:numFmt w:val="upperLetter"/>
      <w:lvlText w:val="%2)"/>
      <w:lvlJc w:val="left"/>
      <w:pPr>
        <w:tabs>
          <w:tab w:val="num" w:pos="1440"/>
        </w:tabs>
        <w:ind w:left="1440" w:hanging="360"/>
      </w:pPr>
      <w:rPr>
        <w:rFonts w:cs="New York" w:hint="default"/>
      </w:rPr>
    </w:lvl>
    <w:lvl w:ilvl="2">
      <w:start w:val="1"/>
      <w:numFmt w:val="bullet"/>
      <w:lvlText w:val=""/>
      <w:lvlJc w:val="left"/>
      <w:pPr>
        <w:tabs>
          <w:tab w:val="num" w:pos="2160"/>
        </w:tabs>
        <w:ind w:left="1440" w:firstLine="360"/>
      </w:pPr>
      <w:rPr>
        <w:rFonts w:ascii="New York" w:hAnsi="New Yor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New York" w:hAnsi="New York" w:cs="New York" w:hint="default"/>
      </w:rPr>
    </w:lvl>
    <w:lvl w:ilvl="5">
      <w:start w:val="1"/>
      <w:numFmt w:val="bullet"/>
      <w:lvlText w:val=""/>
      <w:lvlJc w:val="left"/>
      <w:pPr>
        <w:tabs>
          <w:tab w:val="num" w:pos="4320"/>
        </w:tabs>
        <w:ind w:left="4320" w:hanging="360"/>
      </w:pPr>
      <w:rPr>
        <w:rFonts w:ascii="New York" w:hAnsi="New York"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New York" w:hAnsi="New York" w:cs="New York" w:hint="default"/>
      </w:rPr>
    </w:lvl>
    <w:lvl w:ilvl="8">
      <w:start w:val="1"/>
      <w:numFmt w:val="bullet"/>
      <w:lvlText w:val=""/>
      <w:lvlJc w:val="left"/>
      <w:pPr>
        <w:tabs>
          <w:tab w:val="num" w:pos="6480"/>
        </w:tabs>
        <w:ind w:left="6480" w:hanging="360"/>
      </w:pPr>
      <w:rPr>
        <w:rFonts w:ascii="New York" w:hAnsi="New York" w:hint="default"/>
      </w:rPr>
    </w:lvl>
  </w:abstractNum>
  <w:abstractNum w:abstractNumId="2" w15:restartNumberingAfterBreak="0">
    <w:nsid w:val="02F4053F"/>
    <w:multiLevelType w:val="hybridMultilevel"/>
    <w:tmpl w:val="02F84A66"/>
    <w:lvl w:ilvl="0" w:tplc="B4166282">
      <w:start w:val="1"/>
      <w:numFmt w:val="bullet"/>
      <w:lvlText w:val="-"/>
      <w:lvlJc w:val="left"/>
      <w:pPr>
        <w:tabs>
          <w:tab w:val="num" w:pos="720"/>
        </w:tabs>
        <w:ind w:left="720" w:hanging="360"/>
      </w:pPr>
      <w:rPr>
        <w:rFonts w:ascii="Times New Roman" w:hAnsi="Times New Roman" w:hint="default"/>
      </w:rPr>
    </w:lvl>
    <w:lvl w:ilvl="1" w:tplc="84A056F2" w:tentative="1">
      <w:start w:val="1"/>
      <w:numFmt w:val="bullet"/>
      <w:lvlText w:val="-"/>
      <w:lvlJc w:val="left"/>
      <w:pPr>
        <w:tabs>
          <w:tab w:val="num" w:pos="1440"/>
        </w:tabs>
        <w:ind w:left="1440" w:hanging="360"/>
      </w:pPr>
      <w:rPr>
        <w:rFonts w:ascii="Times New Roman" w:hAnsi="Times New Roman" w:hint="default"/>
      </w:rPr>
    </w:lvl>
    <w:lvl w:ilvl="2" w:tplc="E9AAA80A" w:tentative="1">
      <w:start w:val="1"/>
      <w:numFmt w:val="bullet"/>
      <w:lvlText w:val="-"/>
      <w:lvlJc w:val="left"/>
      <w:pPr>
        <w:tabs>
          <w:tab w:val="num" w:pos="2160"/>
        </w:tabs>
        <w:ind w:left="2160" w:hanging="360"/>
      </w:pPr>
      <w:rPr>
        <w:rFonts w:ascii="Times New Roman" w:hAnsi="Times New Roman" w:hint="default"/>
      </w:rPr>
    </w:lvl>
    <w:lvl w:ilvl="3" w:tplc="2A64C0E2" w:tentative="1">
      <w:start w:val="1"/>
      <w:numFmt w:val="bullet"/>
      <w:lvlText w:val="-"/>
      <w:lvlJc w:val="left"/>
      <w:pPr>
        <w:tabs>
          <w:tab w:val="num" w:pos="2880"/>
        </w:tabs>
        <w:ind w:left="2880" w:hanging="360"/>
      </w:pPr>
      <w:rPr>
        <w:rFonts w:ascii="Times New Roman" w:hAnsi="Times New Roman" w:hint="default"/>
      </w:rPr>
    </w:lvl>
    <w:lvl w:ilvl="4" w:tplc="5A76C71A" w:tentative="1">
      <w:start w:val="1"/>
      <w:numFmt w:val="bullet"/>
      <w:lvlText w:val="-"/>
      <w:lvlJc w:val="left"/>
      <w:pPr>
        <w:tabs>
          <w:tab w:val="num" w:pos="3600"/>
        </w:tabs>
        <w:ind w:left="3600" w:hanging="360"/>
      </w:pPr>
      <w:rPr>
        <w:rFonts w:ascii="Times New Roman" w:hAnsi="Times New Roman" w:hint="default"/>
      </w:rPr>
    </w:lvl>
    <w:lvl w:ilvl="5" w:tplc="B7222E8E" w:tentative="1">
      <w:start w:val="1"/>
      <w:numFmt w:val="bullet"/>
      <w:lvlText w:val="-"/>
      <w:lvlJc w:val="left"/>
      <w:pPr>
        <w:tabs>
          <w:tab w:val="num" w:pos="4320"/>
        </w:tabs>
        <w:ind w:left="4320" w:hanging="360"/>
      </w:pPr>
      <w:rPr>
        <w:rFonts w:ascii="Times New Roman" w:hAnsi="Times New Roman" w:hint="default"/>
      </w:rPr>
    </w:lvl>
    <w:lvl w:ilvl="6" w:tplc="42CA8BF0" w:tentative="1">
      <w:start w:val="1"/>
      <w:numFmt w:val="bullet"/>
      <w:lvlText w:val="-"/>
      <w:lvlJc w:val="left"/>
      <w:pPr>
        <w:tabs>
          <w:tab w:val="num" w:pos="5040"/>
        </w:tabs>
        <w:ind w:left="5040" w:hanging="360"/>
      </w:pPr>
      <w:rPr>
        <w:rFonts w:ascii="Times New Roman" w:hAnsi="Times New Roman" w:hint="default"/>
      </w:rPr>
    </w:lvl>
    <w:lvl w:ilvl="7" w:tplc="F9ACD070" w:tentative="1">
      <w:start w:val="1"/>
      <w:numFmt w:val="bullet"/>
      <w:lvlText w:val="-"/>
      <w:lvlJc w:val="left"/>
      <w:pPr>
        <w:tabs>
          <w:tab w:val="num" w:pos="5760"/>
        </w:tabs>
        <w:ind w:left="5760" w:hanging="360"/>
      </w:pPr>
      <w:rPr>
        <w:rFonts w:ascii="Times New Roman" w:hAnsi="Times New Roman" w:hint="default"/>
      </w:rPr>
    </w:lvl>
    <w:lvl w:ilvl="8" w:tplc="018475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12BA0"/>
    <w:multiLevelType w:val="multilevel"/>
    <w:tmpl w:val="9DDA1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B5C04"/>
    <w:multiLevelType w:val="multilevel"/>
    <w:tmpl w:val="8E0E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A1FAC"/>
    <w:multiLevelType w:val="multilevel"/>
    <w:tmpl w:val="62F2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81EBB"/>
    <w:multiLevelType w:val="hybridMultilevel"/>
    <w:tmpl w:val="49D4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6D6"/>
    <w:multiLevelType w:val="hybridMultilevel"/>
    <w:tmpl w:val="1576ACA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FA01FF"/>
    <w:multiLevelType w:val="hybridMultilevel"/>
    <w:tmpl w:val="AD9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C0571"/>
    <w:multiLevelType w:val="multilevel"/>
    <w:tmpl w:val="C918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86309A2"/>
    <w:multiLevelType w:val="multilevel"/>
    <w:tmpl w:val="8D4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B4976"/>
    <w:multiLevelType w:val="multilevel"/>
    <w:tmpl w:val="9776171C"/>
    <w:lvl w:ilvl="0">
      <w:start w:val="1"/>
      <w:numFmt w:val="decimal"/>
      <w:pStyle w:val="1"/>
      <w:lvlText w:val="%1."/>
      <w:lvlJc w:val="left"/>
      <w:pPr>
        <w:ind w:left="502" w:hanging="360"/>
      </w:pPr>
      <w:rPr>
        <w:rFonts w:hint="default"/>
        <w:lang w:val="en-US"/>
      </w:rPr>
    </w:lvl>
    <w:lvl w:ilvl="1">
      <w:start w:val="1"/>
      <w:numFmt w:val="decimal"/>
      <w:pStyle w:val="2"/>
      <w:isLgl/>
      <w:lvlText w:val="%1.%2"/>
      <w:lvlJc w:val="left"/>
      <w:pPr>
        <w:ind w:left="8516" w:hanging="720"/>
      </w:pPr>
      <w:rPr>
        <w:rFonts w:hint="default"/>
        <w:lang w:val="en-GB"/>
      </w:rPr>
    </w:lvl>
    <w:lvl w:ilvl="2">
      <w:start w:val="1"/>
      <w:numFmt w:val="decimal"/>
      <w:pStyle w:val="3"/>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F8557C"/>
    <w:multiLevelType w:val="hybridMultilevel"/>
    <w:tmpl w:val="65223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AF2358"/>
    <w:multiLevelType w:val="multilevel"/>
    <w:tmpl w:val="5DEED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735D6"/>
    <w:multiLevelType w:val="hybridMultilevel"/>
    <w:tmpl w:val="AEC8BF24"/>
    <w:lvl w:ilvl="0" w:tplc="28EC57CE">
      <w:start w:val="120"/>
      <w:numFmt w:val="bullet"/>
      <w:lvlText w:val="-"/>
      <w:lvlJc w:val="left"/>
      <w:pPr>
        <w:ind w:left="720" w:hanging="360"/>
      </w:pPr>
      <w:rPr>
        <w:rFonts w:ascii="Times New Roman" w:eastAsia="SimSun" w:hAnsi="Times New Roman" w:cs="Times New Roman" w:hint="default"/>
      </w:rPr>
    </w:lvl>
    <w:lvl w:ilvl="1" w:tplc="5A3AF9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7505E"/>
    <w:multiLevelType w:val="multilevel"/>
    <w:tmpl w:val="D85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73B72"/>
    <w:multiLevelType w:val="multilevel"/>
    <w:tmpl w:val="85B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927E4"/>
    <w:multiLevelType w:val="multilevel"/>
    <w:tmpl w:val="2F18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A77AB"/>
    <w:multiLevelType w:val="multilevel"/>
    <w:tmpl w:val="5A8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C2126"/>
    <w:multiLevelType w:val="hybridMultilevel"/>
    <w:tmpl w:val="B2ACF35E"/>
    <w:lvl w:ilvl="0" w:tplc="F460ADD2">
      <w:start w:val="1"/>
      <w:numFmt w:val="bullet"/>
      <w:lvlText w:val=""/>
      <w:lvlJc w:val="left"/>
      <w:pPr>
        <w:tabs>
          <w:tab w:val="num" w:pos="720"/>
        </w:tabs>
        <w:ind w:left="720" w:hanging="360"/>
      </w:pPr>
      <w:rPr>
        <w:rFonts w:ascii="Symbol" w:hAnsi="Symbol" w:hint="default"/>
      </w:rPr>
    </w:lvl>
    <w:lvl w:ilvl="1" w:tplc="C0FE430E">
      <w:start w:val="142"/>
      <w:numFmt w:val="bullet"/>
      <w:lvlText w:val="o"/>
      <w:lvlJc w:val="left"/>
      <w:pPr>
        <w:tabs>
          <w:tab w:val="num" w:pos="1440"/>
        </w:tabs>
        <w:ind w:left="1440" w:hanging="360"/>
      </w:pPr>
      <w:rPr>
        <w:rFonts w:ascii="Courier New" w:hAnsi="Courier New" w:hint="default"/>
      </w:rPr>
    </w:lvl>
    <w:lvl w:ilvl="2" w:tplc="DE84109C" w:tentative="1">
      <w:start w:val="1"/>
      <w:numFmt w:val="bullet"/>
      <w:lvlText w:val=""/>
      <w:lvlJc w:val="left"/>
      <w:pPr>
        <w:tabs>
          <w:tab w:val="num" w:pos="2160"/>
        </w:tabs>
        <w:ind w:left="2160" w:hanging="360"/>
      </w:pPr>
      <w:rPr>
        <w:rFonts w:ascii="Symbol" w:hAnsi="Symbol" w:hint="default"/>
      </w:rPr>
    </w:lvl>
    <w:lvl w:ilvl="3" w:tplc="9FE483B6" w:tentative="1">
      <w:start w:val="1"/>
      <w:numFmt w:val="bullet"/>
      <w:lvlText w:val=""/>
      <w:lvlJc w:val="left"/>
      <w:pPr>
        <w:tabs>
          <w:tab w:val="num" w:pos="2880"/>
        </w:tabs>
        <w:ind w:left="2880" w:hanging="360"/>
      </w:pPr>
      <w:rPr>
        <w:rFonts w:ascii="Symbol" w:hAnsi="Symbol" w:hint="default"/>
      </w:rPr>
    </w:lvl>
    <w:lvl w:ilvl="4" w:tplc="6FC43170" w:tentative="1">
      <w:start w:val="1"/>
      <w:numFmt w:val="bullet"/>
      <w:lvlText w:val=""/>
      <w:lvlJc w:val="left"/>
      <w:pPr>
        <w:tabs>
          <w:tab w:val="num" w:pos="3600"/>
        </w:tabs>
        <w:ind w:left="3600" w:hanging="360"/>
      </w:pPr>
      <w:rPr>
        <w:rFonts w:ascii="Symbol" w:hAnsi="Symbol" w:hint="default"/>
      </w:rPr>
    </w:lvl>
    <w:lvl w:ilvl="5" w:tplc="1E6C785A" w:tentative="1">
      <w:start w:val="1"/>
      <w:numFmt w:val="bullet"/>
      <w:lvlText w:val=""/>
      <w:lvlJc w:val="left"/>
      <w:pPr>
        <w:tabs>
          <w:tab w:val="num" w:pos="4320"/>
        </w:tabs>
        <w:ind w:left="4320" w:hanging="360"/>
      </w:pPr>
      <w:rPr>
        <w:rFonts w:ascii="Symbol" w:hAnsi="Symbol" w:hint="default"/>
      </w:rPr>
    </w:lvl>
    <w:lvl w:ilvl="6" w:tplc="84286320" w:tentative="1">
      <w:start w:val="1"/>
      <w:numFmt w:val="bullet"/>
      <w:lvlText w:val=""/>
      <w:lvlJc w:val="left"/>
      <w:pPr>
        <w:tabs>
          <w:tab w:val="num" w:pos="5040"/>
        </w:tabs>
        <w:ind w:left="5040" w:hanging="360"/>
      </w:pPr>
      <w:rPr>
        <w:rFonts w:ascii="Symbol" w:hAnsi="Symbol" w:hint="default"/>
      </w:rPr>
    </w:lvl>
    <w:lvl w:ilvl="7" w:tplc="3548958A" w:tentative="1">
      <w:start w:val="1"/>
      <w:numFmt w:val="bullet"/>
      <w:lvlText w:val=""/>
      <w:lvlJc w:val="left"/>
      <w:pPr>
        <w:tabs>
          <w:tab w:val="num" w:pos="5760"/>
        </w:tabs>
        <w:ind w:left="5760" w:hanging="360"/>
      </w:pPr>
      <w:rPr>
        <w:rFonts w:ascii="Symbol" w:hAnsi="Symbol" w:hint="default"/>
      </w:rPr>
    </w:lvl>
    <w:lvl w:ilvl="8" w:tplc="5408342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B5097"/>
    <w:multiLevelType w:val="hybridMultilevel"/>
    <w:tmpl w:val="1D5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36B61"/>
    <w:multiLevelType w:val="hybridMultilevel"/>
    <w:tmpl w:val="910CE81E"/>
    <w:lvl w:ilvl="0" w:tplc="0409000B">
      <w:start w:val="1"/>
      <w:numFmt w:val="bullet"/>
      <w:lvlText w:val=""/>
      <w:lvlJc w:val="left"/>
      <w:pPr>
        <w:tabs>
          <w:tab w:val="num" w:pos="720"/>
        </w:tabs>
        <w:ind w:left="720" w:hanging="360"/>
      </w:pPr>
      <w:rPr>
        <w:rFonts w:ascii="Wingdings" w:hAnsi="Wingdings" w:hint="default"/>
      </w:rPr>
    </w:lvl>
    <w:lvl w:ilvl="1" w:tplc="ACA6D69E">
      <w:start w:val="1"/>
      <w:numFmt w:val="bullet"/>
      <w:lvlText w:val=""/>
      <w:lvlJc w:val="left"/>
      <w:pPr>
        <w:tabs>
          <w:tab w:val="num" w:pos="1440"/>
        </w:tabs>
        <w:ind w:left="1440" w:hanging="360"/>
      </w:pPr>
      <w:rPr>
        <w:rFonts w:ascii="Wingdings" w:hAnsi="Wingdings" w:hint="default"/>
      </w:rPr>
    </w:lvl>
    <w:lvl w:ilvl="2" w:tplc="F78666A2">
      <w:start w:val="1"/>
      <w:numFmt w:val="bullet"/>
      <w:lvlText w:val=""/>
      <w:lvlJc w:val="left"/>
      <w:pPr>
        <w:tabs>
          <w:tab w:val="num" w:pos="2160"/>
        </w:tabs>
        <w:ind w:left="2160" w:hanging="360"/>
      </w:pPr>
      <w:rPr>
        <w:rFonts w:ascii="Wingdings" w:hAnsi="Wingdings" w:hint="default"/>
      </w:rPr>
    </w:lvl>
    <w:lvl w:ilvl="3" w:tplc="F468C280" w:tentative="1">
      <w:start w:val="1"/>
      <w:numFmt w:val="bullet"/>
      <w:lvlText w:val=""/>
      <w:lvlJc w:val="left"/>
      <w:pPr>
        <w:tabs>
          <w:tab w:val="num" w:pos="2880"/>
        </w:tabs>
        <w:ind w:left="2880" w:hanging="360"/>
      </w:pPr>
      <w:rPr>
        <w:rFonts w:ascii="Wingdings" w:hAnsi="Wingdings" w:hint="default"/>
      </w:rPr>
    </w:lvl>
    <w:lvl w:ilvl="4" w:tplc="19A2DF6E" w:tentative="1">
      <w:start w:val="1"/>
      <w:numFmt w:val="bullet"/>
      <w:lvlText w:val=""/>
      <w:lvlJc w:val="left"/>
      <w:pPr>
        <w:tabs>
          <w:tab w:val="num" w:pos="3600"/>
        </w:tabs>
        <w:ind w:left="3600" w:hanging="360"/>
      </w:pPr>
      <w:rPr>
        <w:rFonts w:ascii="Wingdings" w:hAnsi="Wingdings" w:hint="default"/>
      </w:rPr>
    </w:lvl>
    <w:lvl w:ilvl="5" w:tplc="14E85C02" w:tentative="1">
      <w:start w:val="1"/>
      <w:numFmt w:val="bullet"/>
      <w:lvlText w:val=""/>
      <w:lvlJc w:val="left"/>
      <w:pPr>
        <w:tabs>
          <w:tab w:val="num" w:pos="4320"/>
        </w:tabs>
        <w:ind w:left="4320" w:hanging="360"/>
      </w:pPr>
      <w:rPr>
        <w:rFonts w:ascii="Wingdings" w:hAnsi="Wingdings" w:hint="default"/>
      </w:rPr>
    </w:lvl>
    <w:lvl w:ilvl="6" w:tplc="49D273F4" w:tentative="1">
      <w:start w:val="1"/>
      <w:numFmt w:val="bullet"/>
      <w:lvlText w:val=""/>
      <w:lvlJc w:val="left"/>
      <w:pPr>
        <w:tabs>
          <w:tab w:val="num" w:pos="5040"/>
        </w:tabs>
        <w:ind w:left="5040" w:hanging="360"/>
      </w:pPr>
      <w:rPr>
        <w:rFonts w:ascii="Wingdings" w:hAnsi="Wingdings" w:hint="default"/>
      </w:rPr>
    </w:lvl>
    <w:lvl w:ilvl="7" w:tplc="F6AE241E" w:tentative="1">
      <w:start w:val="1"/>
      <w:numFmt w:val="bullet"/>
      <w:lvlText w:val=""/>
      <w:lvlJc w:val="left"/>
      <w:pPr>
        <w:tabs>
          <w:tab w:val="num" w:pos="5760"/>
        </w:tabs>
        <w:ind w:left="5760" w:hanging="360"/>
      </w:pPr>
      <w:rPr>
        <w:rFonts w:ascii="Wingdings" w:hAnsi="Wingdings" w:hint="default"/>
      </w:rPr>
    </w:lvl>
    <w:lvl w:ilvl="8" w:tplc="0B12E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462FA"/>
    <w:multiLevelType w:val="multilevel"/>
    <w:tmpl w:val="B4500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519D3"/>
    <w:multiLevelType w:val="hybridMultilevel"/>
    <w:tmpl w:val="69881F0E"/>
    <w:lvl w:ilvl="0" w:tplc="BC546BD8">
      <w:start w:val="3"/>
      <w:numFmt w:val="bullet"/>
      <w:pStyle w:val="a"/>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8702F"/>
    <w:multiLevelType w:val="hybridMultilevel"/>
    <w:tmpl w:val="318E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B6A76"/>
    <w:multiLevelType w:val="multilevel"/>
    <w:tmpl w:val="20EA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2069D"/>
    <w:multiLevelType w:val="multilevel"/>
    <w:tmpl w:val="A740C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067D91"/>
    <w:multiLevelType w:val="multilevel"/>
    <w:tmpl w:val="FEDE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264369"/>
    <w:multiLevelType w:val="hybridMultilevel"/>
    <w:tmpl w:val="6B08A014"/>
    <w:lvl w:ilvl="0" w:tplc="04090001">
      <w:start w:val="1"/>
      <w:numFmt w:val="bullet"/>
      <w:lvlText w:val=""/>
      <w:lvlJc w:val="left"/>
      <w:pPr>
        <w:tabs>
          <w:tab w:val="num" w:pos="720"/>
        </w:tabs>
        <w:ind w:left="720" w:hanging="360"/>
      </w:pPr>
      <w:rPr>
        <w:rFonts w:ascii="Symbol" w:hAnsi="Symbol" w:hint="default"/>
      </w:rPr>
    </w:lvl>
    <w:lvl w:ilvl="1" w:tplc="48925754">
      <w:start w:val="1"/>
      <w:numFmt w:val="bullet"/>
      <w:lvlText w:val=""/>
      <w:lvlJc w:val="left"/>
      <w:pPr>
        <w:tabs>
          <w:tab w:val="num" w:pos="1440"/>
        </w:tabs>
        <w:ind w:left="1440" w:hanging="360"/>
      </w:pPr>
      <w:rPr>
        <w:rFonts w:ascii="Wingdings" w:hAnsi="Wingdings" w:hint="default"/>
      </w:rPr>
    </w:lvl>
    <w:lvl w:ilvl="2" w:tplc="A2C866C2">
      <w:start w:val="1"/>
      <w:numFmt w:val="bullet"/>
      <w:lvlText w:val=""/>
      <w:lvlJc w:val="left"/>
      <w:pPr>
        <w:tabs>
          <w:tab w:val="num" w:pos="2160"/>
        </w:tabs>
        <w:ind w:left="2160" w:hanging="360"/>
      </w:pPr>
      <w:rPr>
        <w:rFonts w:ascii="Wingdings" w:hAnsi="Wingdings" w:hint="default"/>
      </w:rPr>
    </w:lvl>
    <w:lvl w:ilvl="3" w:tplc="B934B03C" w:tentative="1">
      <w:start w:val="1"/>
      <w:numFmt w:val="bullet"/>
      <w:lvlText w:val=""/>
      <w:lvlJc w:val="left"/>
      <w:pPr>
        <w:tabs>
          <w:tab w:val="num" w:pos="2880"/>
        </w:tabs>
        <w:ind w:left="2880" w:hanging="360"/>
      </w:pPr>
      <w:rPr>
        <w:rFonts w:ascii="Wingdings" w:hAnsi="Wingdings" w:hint="default"/>
      </w:rPr>
    </w:lvl>
    <w:lvl w:ilvl="4" w:tplc="8F260ECE" w:tentative="1">
      <w:start w:val="1"/>
      <w:numFmt w:val="bullet"/>
      <w:lvlText w:val=""/>
      <w:lvlJc w:val="left"/>
      <w:pPr>
        <w:tabs>
          <w:tab w:val="num" w:pos="3600"/>
        </w:tabs>
        <w:ind w:left="3600" w:hanging="360"/>
      </w:pPr>
      <w:rPr>
        <w:rFonts w:ascii="Wingdings" w:hAnsi="Wingdings" w:hint="default"/>
      </w:rPr>
    </w:lvl>
    <w:lvl w:ilvl="5" w:tplc="3CB65F52" w:tentative="1">
      <w:start w:val="1"/>
      <w:numFmt w:val="bullet"/>
      <w:lvlText w:val=""/>
      <w:lvlJc w:val="left"/>
      <w:pPr>
        <w:tabs>
          <w:tab w:val="num" w:pos="4320"/>
        </w:tabs>
        <w:ind w:left="4320" w:hanging="360"/>
      </w:pPr>
      <w:rPr>
        <w:rFonts w:ascii="Wingdings" w:hAnsi="Wingdings" w:hint="default"/>
      </w:rPr>
    </w:lvl>
    <w:lvl w:ilvl="6" w:tplc="25B4D528" w:tentative="1">
      <w:start w:val="1"/>
      <w:numFmt w:val="bullet"/>
      <w:lvlText w:val=""/>
      <w:lvlJc w:val="left"/>
      <w:pPr>
        <w:tabs>
          <w:tab w:val="num" w:pos="5040"/>
        </w:tabs>
        <w:ind w:left="5040" w:hanging="360"/>
      </w:pPr>
      <w:rPr>
        <w:rFonts w:ascii="Wingdings" w:hAnsi="Wingdings" w:hint="default"/>
      </w:rPr>
    </w:lvl>
    <w:lvl w:ilvl="7" w:tplc="ED509F16" w:tentative="1">
      <w:start w:val="1"/>
      <w:numFmt w:val="bullet"/>
      <w:lvlText w:val=""/>
      <w:lvlJc w:val="left"/>
      <w:pPr>
        <w:tabs>
          <w:tab w:val="num" w:pos="5760"/>
        </w:tabs>
        <w:ind w:left="5760" w:hanging="360"/>
      </w:pPr>
      <w:rPr>
        <w:rFonts w:ascii="Wingdings" w:hAnsi="Wingdings" w:hint="default"/>
      </w:rPr>
    </w:lvl>
    <w:lvl w:ilvl="8" w:tplc="B0A434C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4665C"/>
    <w:multiLevelType w:val="multilevel"/>
    <w:tmpl w:val="557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373C3"/>
    <w:multiLevelType w:val="hybridMultilevel"/>
    <w:tmpl w:val="184EB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7507D60"/>
    <w:multiLevelType w:val="hybridMultilevel"/>
    <w:tmpl w:val="4F748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New York" w:hAnsi="New York" w:hint="default"/>
        <w:b/>
        <w:i w:val="0"/>
        <w:color w:val="70CEF5"/>
        <w:sz w:val="20"/>
        <w:szCs w:val="20"/>
      </w:rPr>
    </w:lvl>
    <w:lvl w:ilvl="1" w:tplc="FFFFFFFF">
      <w:start w:val="1"/>
      <w:numFmt w:val="bullet"/>
      <w:lvlText w:val="o"/>
      <w:lvlJc w:val="left"/>
      <w:pPr>
        <w:tabs>
          <w:tab w:val="num" w:pos="1440"/>
        </w:tabs>
        <w:ind w:left="1440" w:hanging="360"/>
      </w:pPr>
      <w:rPr>
        <w:rFonts w:ascii="New York" w:hAnsi="New York" w:cs="New York" w:hint="default"/>
      </w:rPr>
    </w:lvl>
    <w:lvl w:ilvl="2" w:tplc="FFFFFFFF" w:tentative="1">
      <w:start w:val="1"/>
      <w:numFmt w:val="bullet"/>
      <w:lvlText w:val=""/>
      <w:lvlJc w:val="left"/>
      <w:pPr>
        <w:tabs>
          <w:tab w:val="num" w:pos="2160"/>
        </w:tabs>
        <w:ind w:left="2160" w:hanging="360"/>
      </w:pPr>
      <w:rPr>
        <w:rFonts w:ascii="New York" w:hAnsi="New York"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New York" w:hAnsi="New York" w:cs="New York" w:hint="default"/>
      </w:rPr>
    </w:lvl>
    <w:lvl w:ilvl="5" w:tplc="FFFFFFFF" w:tentative="1">
      <w:start w:val="1"/>
      <w:numFmt w:val="bullet"/>
      <w:lvlText w:val=""/>
      <w:lvlJc w:val="left"/>
      <w:pPr>
        <w:tabs>
          <w:tab w:val="num" w:pos="4320"/>
        </w:tabs>
        <w:ind w:left="4320" w:hanging="360"/>
      </w:pPr>
      <w:rPr>
        <w:rFonts w:ascii="New York" w:hAnsi="New York"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New York" w:hAnsi="New York" w:cs="New York" w:hint="default"/>
      </w:rPr>
    </w:lvl>
    <w:lvl w:ilvl="8" w:tplc="FFFFFFFF" w:tentative="1">
      <w:start w:val="1"/>
      <w:numFmt w:val="bullet"/>
      <w:lvlText w:val=""/>
      <w:lvlJc w:val="left"/>
      <w:pPr>
        <w:tabs>
          <w:tab w:val="num" w:pos="6480"/>
        </w:tabs>
        <w:ind w:left="6480" w:hanging="360"/>
      </w:pPr>
      <w:rPr>
        <w:rFonts w:ascii="New York" w:hAnsi="New York" w:hint="default"/>
      </w:rPr>
    </w:lvl>
  </w:abstractNum>
  <w:abstractNum w:abstractNumId="42" w15:restartNumberingAfterBreak="0">
    <w:nsid w:val="7C31412B"/>
    <w:multiLevelType w:val="multilevel"/>
    <w:tmpl w:val="8346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1F0BDA"/>
    <w:multiLevelType w:val="multilevel"/>
    <w:tmpl w:val="A810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5"/>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8"/>
  </w:num>
  <w:num w:numId="8">
    <w:abstractNumId w:val="38"/>
  </w:num>
  <w:num w:numId="9">
    <w:abstractNumId w:val="3"/>
  </w:num>
  <w:num w:numId="10">
    <w:abstractNumId w:val="40"/>
  </w:num>
  <w:num w:numId="11">
    <w:abstractNumId w:val="7"/>
  </w:num>
  <w:num w:numId="12">
    <w:abstractNumId w:val="8"/>
  </w:num>
  <w:num w:numId="13">
    <w:abstractNumId w:val="42"/>
  </w:num>
  <w:num w:numId="14">
    <w:abstractNumId w:val="25"/>
  </w:num>
  <w:num w:numId="15">
    <w:abstractNumId w:val="32"/>
  </w:num>
  <w:num w:numId="16">
    <w:abstractNumId w:val="20"/>
  </w:num>
  <w:num w:numId="17">
    <w:abstractNumId w:val="2"/>
  </w:num>
  <w:num w:numId="18">
    <w:abstractNumId w:val="19"/>
  </w:num>
  <w:num w:numId="19">
    <w:abstractNumId w:val="30"/>
  </w:num>
  <w:num w:numId="20">
    <w:abstractNumId w:val="16"/>
  </w:num>
  <w:num w:numId="21">
    <w:abstractNumId w:val="34"/>
  </w:num>
  <w:num w:numId="22">
    <w:abstractNumId w:val="6"/>
  </w:num>
  <w:num w:numId="23">
    <w:abstractNumId w:val="35"/>
  </w:num>
  <w:num w:numId="24">
    <w:abstractNumId w:val="24"/>
  </w:num>
  <w:num w:numId="25">
    <w:abstractNumId w:val="28"/>
  </w:num>
  <w:num w:numId="26">
    <w:abstractNumId w:val="36"/>
  </w:num>
  <w:num w:numId="27">
    <w:abstractNumId w:val="26"/>
  </w:num>
  <w:num w:numId="28">
    <w:abstractNumId w:val="12"/>
  </w:num>
  <w:num w:numId="29">
    <w:abstractNumId w:val="39"/>
  </w:num>
  <w:num w:numId="30">
    <w:abstractNumId w:val="9"/>
  </w:num>
  <w:num w:numId="31">
    <w:abstractNumId w:val="10"/>
  </w:num>
  <w:num w:numId="32">
    <w:abstractNumId w:val="23"/>
  </w:num>
  <w:num w:numId="33">
    <w:abstractNumId w:val="21"/>
  </w:num>
  <w:num w:numId="34">
    <w:abstractNumId w:val="37"/>
  </w:num>
  <w:num w:numId="35">
    <w:abstractNumId w:val="31"/>
  </w:num>
  <w:num w:numId="36">
    <w:abstractNumId w:val="4"/>
  </w:num>
  <w:num w:numId="37">
    <w:abstractNumId w:val="27"/>
  </w:num>
  <w:num w:numId="38">
    <w:abstractNumId w:val="43"/>
  </w:num>
  <w:num w:numId="39">
    <w:abstractNumId w:val="5"/>
  </w:num>
  <w:num w:numId="40">
    <w:abstractNumId w:val="17"/>
  </w:num>
  <w:num w:numId="41">
    <w:abstractNumId w:val="33"/>
  </w:num>
  <w:num w:numId="42">
    <w:abstractNumId w:val="22"/>
  </w:num>
  <w:num w:numId="43">
    <w:abstractNumId w:val="18"/>
  </w:num>
  <w:num w:numId="4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96"/>
    <w:rsid w:val="000000A2"/>
    <w:rsid w:val="00000260"/>
    <w:rsid w:val="000004CA"/>
    <w:rsid w:val="00000515"/>
    <w:rsid w:val="000006E7"/>
    <w:rsid w:val="00000C06"/>
    <w:rsid w:val="00000ECA"/>
    <w:rsid w:val="00000F2A"/>
    <w:rsid w:val="00001FC3"/>
    <w:rsid w:val="000020C0"/>
    <w:rsid w:val="00002375"/>
    <w:rsid w:val="00002459"/>
    <w:rsid w:val="00003131"/>
    <w:rsid w:val="000031AB"/>
    <w:rsid w:val="00003772"/>
    <w:rsid w:val="000037FB"/>
    <w:rsid w:val="00003C60"/>
    <w:rsid w:val="00004039"/>
    <w:rsid w:val="00004885"/>
    <w:rsid w:val="00004AF6"/>
    <w:rsid w:val="00004CD0"/>
    <w:rsid w:val="00004D8C"/>
    <w:rsid w:val="00004DCB"/>
    <w:rsid w:val="000051F0"/>
    <w:rsid w:val="00005327"/>
    <w:rsid w:val="0000553B"/>
    <w:rsid w:val="000056EA"/>
    <w:rsid w:val="00005F73"/>
    <w:rsid w:val="000065C2"/>
    <w:rsid w:val="00006780"/>
    <w:rsid w:val="00006C7A"/>
    <w:rsid w:val="00007113"/>
    <w:rsid w:val="000072BD"/>
    <w:rsid w:val="000074A3"/>
    <w:rsid w:val="0000792C"/>
    <w:rsid w:val="00007CEF"/>
    <w:rsid w:val="000101EF"/>
    <w:rsid w:val="000106BA"/>
    <w:rsid w:val="00010739"/>
    <w:rsid w:val="0001078E"/>
    <w:rsid w:val="00010E97"/>
    <w:rsid w:val="00010FD1"/>
    <w:rsid w:val="0001137B"/>
    <w:rsid w:val="00011519"/>
    <w:rsid w:val="00011595"/>
    <w:rsid w:val="00011703"/>
    <w:rsid w:val="000118B4"/>
    <w:rsid w:val="00011AB7"/>
    <w:rsid w:val="000121EC"/>
    <w:rsid w:val="000124D1"/>
    <w:rsid w:val="0001266C"/>
    <w:rsid w:val="00012D90"/>
    <w:rsid w:val="00012DCC"/>
    <w:rsid w:val="0001321B"/>
    <w:rsid w:val="000137FF"/>
    <w:rsid w:val="00013A7B"/>
    <w:rsid w:val="00013B23"/>
    <w:rsid w:val="00013B63"/>
    <w:rsid w:val="00014035"/>
    <w:rsid w:val="000141F0"/>
    <w:rsid w:val="00015204"/>
    <w:rsid w:val="00015BCB"/>
    <w:rsid w:val="00015FB7"/>
    <w:rsid w:val="00016013"/>
    <w:rsid w:val="000162B2"/>
    <w:rsid w:val="000167D1"/>
    <w:rsid w:val="00016B56"/>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AE1"/>
    <w:rsid w:val="00021B70"/>
    <w:rsid w:val="00021BDC"/>
    <w:rsid w:val="00021C67"/>
    <w:rsid w:val="00021DEC"/>
    <w:rsid w:val="00021E1F"/>
    <w:rsid w:val="00021E89"/>
    <w:rsid w:val="000222F7"/>
    <w:rsid w:val="000228C4"/>
    <w:rsid w:val="00022BCE"/>
    <w:rsid w:val="0002387B"/>
    <w:rsid w:val="00023985"/>
    <w:rsid w:val="00023C29"/>
    <w:rsid w:val="00024A87"/>
    <w:rsid w:val="00024E37"/>
    <w:rsid w:val="00024E57"/>
    <w:rsid w:val="0002506A"/>
    <w:rsid w:val="00025281"/>
    <w:rsid w:val="000254B6"/>
    <w:rsid w:val="000255A1"/>
    <w:rsid w:val="000258DD"/>
    <w:rsid w:val="0002591B"/>
    <w:rsid w:val="00025AFC"/>
    <w:rsid w:val="00025C5F"/>
    <w:rsid w:val="00025E29"/>
    <w:rsid w:val="00026019"/>
    <w:rsid w:val="000266AD"/>
    <w:rsid w:val="000266AE"/>
    <w:rsid w:val="00026905"/>
    <w:rsid w:val="00026977"/>
    <w:rsid w:val="000269C8"/>
    <w:rsid w:val="00026AF7"/>
    <w:rsid w:val="00026EF9"/>
    <w:rsid w:val="00027333"/>
    <w:rsid w:val="0002790C"/>
    <w:rsid w:val="00027A15"/>
    <w:rsid w:val="00027E41"/>
    <w:rsid w:val="000300FE"/>
    <w:rsid w:val="00030766"/>
    <w:rsid w:val="00030A6A"/>
    <w:rsid w:val="00030ED5"/>
    <w:rsid w:val="00030F74"/>
    <w:rsid w:val="00031242"/>
    <w:rsid w:val="00031AF3"/>
    <w:rsid w:val="00031BD0"/>
    <w:rsid w:val="00031C7D"/>
    <w:rsid w:val="00031E02"/>
    <w:rsid w:val="00031EDD"/>
    <w:rsid w:val="000321DC"/>
    <w:rsid w:val="00032A64"/>
    <w:rsid w:val="000334D2"/>
    <w:rsid w:val="00033834"/>
    <w:rsid w:val="00033A55"/>
    <w:rsid w:val="00033AB8"/>
    <w:rsid w:val="00033AE8"/>
    <w:rsid w:val="00033E5C"/>
    <w:rsid w:val="00034698"/>
    <w:rsid w:val="00034787"/>
    <w:rsid w:val="00034805"/>
    <w:rsid w:val="000349B7"/>
    <w:rsid w:val="000349F1"/>
    <w:rsid w:val="00034C16"/>
    <w:rsid w:val="00034DC2"/>
    <w:rsid w:val="000350B6"/>
    <w:rsid w:val="0003540B"/>
    <w:rsid w:val="00035518"/>
    <w:rsid w:val="0003572F"/>
    <w:rsid w:val="000358EB"/>
    <w:rsid w:val="00035CAB"/>
    <w:rsid w:val="000361C6"/>
    <w:rsid w:val="0003667C"/>
    <w:rsid w:val="00036A16"/>
    <w:rsid w:val="00036C45"/>
    <w:rsid w:val="00036FA7"/>
    <w:rsid w:val="00037419"/>
    <w:rsid w:val="000374AD"/>
    <w:rsid w:val="000377E3"/>
    <w:rsid w:val="00037910"/>
    <w:rsid w:val="00037A21"/>
    <w:rsid w:val="00037AF6"/>
    <w:rsid w:val="00037D3E"/>
    <w:rsid w:val="00037DFF"/>
    <w:rsid w:val="000404F2"/>
    <w:rsid w:val="00040F7A"/>
    <w:rsid w:val="00041146"/>
    <w:rsid w:val="000412B7"/>
    <w:rsid w:val="000413B8"/>
    <w:rsid w:val="000415EC"/>
    <w:rsid w:val="0004182E"/>
    <w:rsid w:val="000418C8"/>
    <w:rsid w:val="00041AEE"/>
    <w:rsid w:val="00042397"/>
    <w:rsid w:val="00042527"/>
    <w:rsid w:val="000426B1"/>
    <w:rsid w:val="000428D0"/>
    <w:rsid w:val="000429CD"/>
    <w:rsid w:val="00042BFC"/>
    <w:rsid w:val="000430CF"/>
    <w:rsid w:val="00043607"/>
    <w:rsid w:val="00043703"/>
    <w:rsid w:val="0004403C"/>
    <w:rsid w:val="000441EC"/>
    <w:rsid w:val="00044225"/>
    <w:rsid w:val="00044359"/>
    <w:rsid w:val="000444AD"/>
    <w:rsid w:val="00044576"/>
    <w:rsid w:val="00044A60"/>
    <w:rsid w:val="00044FC4"/>
    <w:rsid w:val="000451E5"/>
    <w:rsid w:val="000453F6"/>
    <w:rsid w:val="000458CB"/>
    <w:rsid w:val="00045AC3"/>
    <w:rsid w:val="00045B15"/>
    <w:rsid w:val="00046CD6"/>
    <w:rsid w:val="00046CE4"/>
    <w:rsid w:val="00046F9A"/>
    <w:rsid w:val="0004713D"/>
    <w:rsid w:val="000472F3"/>
    <w:rsid w:val="0004730E"/>
    <w:rsid w:val="0004746D"/>
    <w:rsid w:val="000475B5"/>
    <w:rsid w:val="0004778C"/>
    <w:rsid w:val="000477BB"/>
    <w:rsid w:val="0004781D"/>
    <w:rsid w:val="00047A68"/>
    <w:rsid w:val="00047A82"/>
    <w:rsid w:val="00047B58"/>
    <w:rsid w:val="00047D3D"/>
    <w:rsid w:val="0005055B"/>
    <w:rsid w:val="000505B9"/>
    <w:rsid w:val="000505E0"/>
    <w:rsid w:val="00050A0A"/>
    <w:rsid w:val="00050A7A"/>
    <w:rsid w:val="00050D96"/>
    <w:rsid w:val="00051135"/>
    <w:rsid w:val="00051586"/>
    <w:rsid w:val="000516F0"/>
    <w:rsid w:val="00051C12"/>
    <w:rsid w:val="00051C70"/>
    <w:rsid w:val="0005201C"/>
    <w:rsid w:val="000528EA"/>
    <w:rsid w:val="0005291A"/>
    <w:rsid w:val="00052AE3"/>
    <w:rsid w:val="00052C5E"/>
    <w:rsid w:val="000531A8"/>
    <w:rsid w:val="0005330B"/>
    <w:rsid w:val="0005382E"/>
    <w:rsid w:val="00053849"/>
    <w:rsid w:val="00053A47"/>
    <w:rsid w:val="0005456E"/>
    <w:rsid w:val="00054614"/>
    <w:rsid w:val="0005468A"/>
    <w:rsid w:val="00054A5B"/>
    <w:rsid w:val="00054ACE"/>
    <w:rsid w:val="00054AD7"/>
    <w:rsid w:val="00054AD9"/>
    <w:rsid w:val="00054DAB"/>
    <w:rsid w:val="0005504C"/>
    <w:rsid w:val="00055873"/>
    <w:rsid w:val="00055B8E"/>
    <w:rsid w:val="0005602E"/>
    <w:rsid w:val="00056057"/>
    <w:rsid w:val="00056235"/>
    <w:rsid w:val="0005684D"/>
    <w:rsid w:val="00056ABA"/>
    <w:rsid w:val="00056E02"/>
    <w:rsid w:val="000572A7"/>
    <w:rsid w:val="00057460"/>
    <w:rsid w:val="00057496"/>
    <w:rsid w:val="000574E1"/>
    <w:rsid w:val="00057511"/>
    <w:rsid w:val="00057817"/>
    <w:rsid w:val="00057A18"/>
    <w:rsid w:val="00057AD4"/>
    <w:rsid w:val="00057DF9"/>
    <w:rsid w:val="00057E3B"/>
    <w:rsid w:val="00057EA8"/>
    <w:rsid w:val="00057F2C"/>
    <w:rsid w:val="00057F68"/>
    <w:rsid w:val="00057F6C"/>
    <w:rsid w:val="00057FE7"/>
    <w:rsid w:val="00060586"/>
    <w:rsid w:val="00060F2F"/>
    <w:rsid w:val="00060FDB"/>
    <w:rsid w:val="000612B0"/>
    <w:rsid w:val="000612C5"/>
    <w:rsid w:val="00061C96"/>
    <w:rsid w:val="00061E34"/>
    <w:rsid w:val="000621A9"/>
    <w:rsid w:val="00062595"/>
    <w:rsid w:val="0006263A"/>
    <w:rsid w:val="0006290F"/>
    <w:rsid w:val="000632FF"/>
    <w:rsid w:val="00063485"/>
    <w:rsid w:val="00063CA3"/>
    <w:rsid w:val="00063F57"/>
    <w:rsid w:val="00063F9F"/>
    <w:rsid w:val="00064224"/>
    <w:rsid w:val="000642ED"/>
    <w:rsid w:val="0006436D"/>
    <w:rsid w:val="0006480B"/>
    <w:rsid w:val="00064A18"/>
    <w:rsid w:val="00064A2B"/>
    <w:rsid w:val="00065220"/>
    <w:rsid w:val="0006549C"/>
    <w:rsid w:val="00065636"/>
    <w:rsid w:val="0006570E"/>
    <w:rsid w:val="00065D64"/>
    <w:rsid w:val="000667D1"/>
    <w:rsid w:val="00066942"/>
    <w:rsid w:val="000669D5"/>
    <w:rsid w:val="00066BB7"/>
    <w:rsid w:val="00066E05"/>
    <w:rsid w:val="00066FE3"/>
    <w:rsid w:val="00067087"/>
    <w:rsid w:val="000671F8"/>
    <w:rsid w:val="0006739D"/>
    <w:rsid w:val="00067436"/>
    <w:rsid w:val="000674DD"/>
    <w:rsid w:val="0006777C"/>
    <w:rsid w:val="00067FE2"/>
    <w:rsid w:val="00070237"/>
    <w:rsid w:val="00070378"/>
    <w:rsid w:val="00070C76"/>
    <w:rsid w:val="00070E7B"/>
    <w:rsid w:val="0007118F"/>
    <w:rsid w:val="000711FC"/>
    <w:rsid w:val="00071392"/>
    <w:rsid w:val="00071394"/>
    <w:rsid w:val="000716FB"/>
    <w:rsid w:val="00071E9B"/>
    <w:rsid w:val="00071F99"/>
    <w:rsid w:val="000720B1"/>
    <w:rsid w:val="00072B29"/>
    <w:rsid w:val="00072E75"/>
    <w:rsid w:val="00072EFA"/>
    <w:rsid w:val="00073219"/>
    <w:rsid w:val="00073785"/>
    <w:rsid w:val="000739E8"/>
    <w:rsid w:val="00073D56"/>
    <w:rsid w:val="00074375"/>
    <w:rsid w:val="000743A0"/>
    <w:rsid w:val="000748A2"/>
    <w:rsid w:val="00074A66"/>
    <w:rsid w:val="00074AEA"/>
    <w:rsid w:val="00074BF5"/>
    <w:rsid w:val="00074E65"/>
    <w:rsid w:val="000752CD"/>
    <w:rsid w:val="0007555E"/>
    <w:rsid w:val="00075680"/>
    <w:rsid w:val="000756C6"/>
    <w:rsid w:val="0007590A"/>
    <w:rsid w:val="00075999"/>
    <w:rsid w:val="00075FE3"/>
    <w:rsid w:val="00076622"/>
    <w:rsid w:val="00076775"/>
    <w:rsid w:val="00076D63"/>
    <w:rsid w:val="00077579"/>
    <w:rsid w:val="00077A78"/>
    <w:rsid w:val="00077DCF"/>
    <w:rsid w:val="00080170"/>
    <w:rsid w:val="00080175"/>
    <w:rsid w:val="000805B2"/>
    <w:rsid w:val="00080786"/>
    <w:rsid w:val="00080D46"/>
    <w:rsid w:val="00080D74"/>
    <w:rsid w:val="00080E2A"/>
    <w:rsid w:val="00081E68"/>
    <w:rsid w:val="00082152"/>
    <w:rsid w:val="000826FF"/>
    <w:rsid w:val="000829D7"/>
    <w:rsid w:val="00082A49"/>
    <w:rsid w:val="00082AA1"/>
    <w:rsid w:val="00082C27"/>
    <w:rsid w:val="00082DA4"/>
    <w:rsid w:val="00082E54"/>
    <w:rsid w:val="0008318E"/>
    <w:rsid w:val="00083322"/>
    <w:rsid w:val="000833CA"/>
    <w:rsid w:val="000836DA"/>
    <w:rsid w:val="00083788"/>
    <w:rsid w:val="00083B26"/>
    <w:rsid w:val="00083F02"/>
    <w:rsid w:val="00083FE2"/>
    <w:rsid w:val="00084255"/>
    <w:rsid w:val="0008430A"/>
    <w:rsid w:val="00084937"/>
    <w:rsid w:val="00085239"/>
    <w:rsid w:val="00085E32"/>
    <w:rsid w:val="000861E4"/>
    <w:rsid w:val="000861FC"/>
    <w:rsid w:val="0008629E"/>
    <w:rsid w:val="000862BA"/>
    <w:rsid w:val="00086B50"/>
    <w:rsid w:val="00086C4D"/>
    <w:rsid w:val="00086CF2"/>
    <w:rsid w:val="0008731C"/>
    <w:rsid w:val="0008760B"/>
    <w:rsid w:val="00087881"/>
    <w:rsid w:val="00087BAB"/>
    <w:rsid w:val="00087E29"/>
    <w:rsid w:val="00087F45"/>
    <w:rsid w:val="00087F91"/>
    <w:rsid w:val="00090573"/>
    <w:rsid w:val="00090586"/>
    <w:rsid w:val="00090653"/>
    <w:rsid w:val="00090F49"/>
    <w:rsid w:val="00091714"/>
    <w:rsid w:val="00091C21"/>
    <w:rsid w:val="000921E3"/>
    <w:rsid w:val="00092334"/>
    <w:rsid w:val="000923BD"/>
    <w:rsid w:val="000931C3"/>
    <w:rsid w:val="000938A0"/>
    <w:rsid w:val="00093B72"/>
    <w:rsid w:val="0009437A"/>
    <w:rsid w:val="000947B7"/>
    <w:rsid w:val="0009532E"/>
    <w:rsid w:val="00095540"/>
    <w:rsid w:val="00095671"/>
    <w:rsid w:val="00095920"/>
    <w:rsid w:val="00095F53"/>
    <w:rsid w:val="0009612D"/>
    <w:rsid w:val="00096170"/>
    <w:rsid w:val="0009653B"/>
    <w:rsid w:val="0009680E"/>
    <w:rsid w:val="000968CF"/>
    <w:rsid w:val="000968D8"/>
    <w:rsid w:val="00096CF2"/>
    <w:rsid w:val="0009709B"/>
    <w:rsid w:val="000976D0"/>
    <w:rsid w:val="000979F0"/>
    <w:rsid w:val="00097A51"/>
    <w:rsid w:val="00097AE8"/>
    <w:rsid w:val="000A0296"/>
    <w:rsid w:val="000A02DC"/>
    <w:rsid w:val="000A0ADA"/>
    <w:rsid w:val="000A0C0B"/>
    <w:rsid w:val="000A0CA1"/>
    <w:rsid w:val="000A0E99"/>
    <w:rsid w:val="000A0F08"/>
    <w:rsid w:val="000A0F82"/>
    <w:rsid w:val="000A0F8E"/>
    <w:rsid w:val="000A1089"/>
    <w:rsid w:val="000A11BB"/>
    <w:rsid w:val="000A1AD3"/>
    <w:rsid w:val="000A1AF5"/>
    <w:rsid w:val="000A1BC0"/>
    <w:rsid w:val="000A1D49"/>
    <w:rsid w:val="000A1F8D"/>
    <w:rsid w:val="000A23B7"/>
    <w:rsid w:val="000A2D70"/>
    <w:rsid w:val="000A3A3A"/>
    <w:rsid w:val="000A3ACB"/>
    <w:rsid w:val="000A3CD6"/>
    <w:rsid w:val="000A413E"/>
    <w:rsid w:val="000A4492"/>
    <w:rsid w:val="000A4519"/>
    <w:rsid w:val="000A49DE"/>
    <w:rsid w:val="000A4B74"/>
    <w:rsid w:val="000A52B9"/>
    <w:rsid w:val="000A54DF"/>
    <w:rsid w:val="000A5A3D"/>
    <w:rsid w:val="000A5AD9"/>
    <w:rsid w:val="000A5AE2"/>
    <w:rsid w:val="000A5B09"/>
    <w:rsid w:val="000A5D82"/>
    <w:rsid w:val="000A605D"/>
    <w:rsid w:val="000A61CB"/>
    <w:rsid w:val="000A628E"/>
    <w:rsid w:val="000A64B8"/>
    <w:rsid w:val="000A6788"/>
    <w:rsid w:val="000A68D7"/>
    <w:rsid w:val="000A6AC6"/>
    <w:rsid w:val="000A6CFE"/>
    <w:rsid w:val="000A6EAA"/>
    <w:rsid w:val="000A72D0"/>
    <w:rsid w:val="000A7955"/>
    <w:rsid w:val="000A79C7"/>
    <w:rsid w:val="000A7C88"/>
    <w:rsid w:val="000A7E17"/>
    <w:rsid w:val="000B0190"/>
    <w:rsid w:val="000B02C2"/>
    <w:rsid w:val="000B02FC"/>
    <w:rsid w:val="000B041B"/>
    <w:rsid w:val="000B081C"/>
    <w:rsid w:val="000B0A45"/>
    <w:rsid w:val="000B10AB"/>
    <w:rsid w:val="000B12E0"/>
    <w:rsid w:val="000B1751"/>
    <w:rsid w:val="000B17A1"/>
    <w:rsid w:val="000B191D"/>
    <w:rsid w:val="000B1CD3"/>
    <w:rsid w:val="000B1F13"/>
    <w:rsid w:val="000B22B6"/>
    <w:rsid w:val="000B24CD"/>
    <w:rsid w:val="000B2557"/>
    <w:rsid w:val="000B256B"/>
    <w:rsid w:val="000B2619"/>
    <w:rsid w:val="000B2BFA"/>
    <w:rsid w:val="000B32D4"/>
    <w:rsid w:val="000B38DA"/>
    <w:rsid w:val="000B3F37"/>
    <w:rsid w:val="000B4080"/>
    <w:rsid w:val="000B4083"/>
    <w:rsid w:val="000B463C"/>
    <w:rsid w:val="000B49D7"/>
    <w:rsid w:val="000B4EA5"/>
    <w:rsid w:val="000B53AF"/>
    <w:rsid w:val="000B546F"/>
    <w:rsid w:val="000B5642"/>
    <w:rsid w:val="000B5CFE"/>
    <w:rsid w:val="000B60B9"/>
    <w:rsid w:val="000B6199"/>
    <w:rsid w:val="000B6338"/>
    <w:rsid w:val="000B63FD"/>
    <w:rsid w:val="000B65BE"/>
    <w:rsid w:val="000B6BDF"/>
    <w:rsid w:val="000B6E2D"/>
    <w:rsid w:val="000B71B6"/>
    <w:rsid w:val="000B7238"/>
    <w:rsid w:val="000B7387"/>
    <w:rsid w:val="000B7669"/>
    <w:rsid w:val="000B76BB"/>
    <w:rsid w:val="000B77E6"/>
    <w:rsid w:val="000B7896"/>
    <w:rsid w:val="000B7D5E"/>
    <w:rsid w:val="000C133A"/>
    <w:rsid w:val="000C15EE"/>
    <w:rsid w:val="000C1DBD"/>
    <w:rsid w:val="000C1F69"/>
    <w:rsid w:val="000C2635"/>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5E9E"/>
    <w:rsid w:val="000C6564"/>
    <w:rsid w:val="000C673C"/>
    <w:rsid w:val="000C69F8"/>
    <w:rsid w:val="000C71D9"/>
    <w:rsid w:val="000C7C3E"/>
    <w:rsid w:val="000C7CC6"/>
    <w:rsid w:val="000D037E"/>
    <w:rsid w:val="000D05DF"/>
    <w:rsid w:val="000D0A0F"/>
    <w:rsid w:val="000D0AB8"/>
    <w:rsid w:val="000D0BCC"/>
    <w:rsid w:val="000D0F9A"/>
    <w:rsid w:val="000D148D"/>
    <w:rsid w:val="000D14EB"/>
    <w:rsid w:val="000D15FC"/>
    <w:rsid w:val="000D1610"/>
    <w:rsid w:val="000D1737"/>
    <w:rsid w:val="000D206C"/>
    <w:rsid w:val="000D23C1"/>
    <w:rsid w:val="000D2AE0"/>
    <w:rsid w:val="000D2EA5"/>
    <w:rsid w:val="000D30AC"/>
    <w:rsid w:val="000D35D4"/>
    <w:rsid w:val="000D362A"/>
    <w:rsid w:val="000D37FA"/>
    <w:rsid w:val="000D3A33"/>
    <w:rsid w:val="000D3A6C"/>
    <w:rsid w:val="000D4324"/>
    <w:rsid w:val="000D46EE"/>
    <w:rsid w:val="000D4ABD"/>
    <w:rsid w:val="000D4DE6"/>
    <w:rsid w:val="000D4DFF"/>
    <w:rsid w:val="000D4E09"/>
    <w:rsid w:val="000D4F5A"/>
    <w:rsid w:val="000D55EA"/>
    <w:rsid w:val="000D55EE"/>
    <w:rsid w:val="000D5711"/>
    <w:rsid w:val="000D59D6"/>
    <w:rsid w:val="000D5AB0"/>
    <w:rsid w:val="000D5AD1"/>
    <w:rsid w:val="000D5C0C"/>
    <w:rsid w:val="000D5C91"/>
    <w:rsid w:val="000D5D29"/>
    <w:rsid w:val="000D5E4D"/>
    <w:rsid w:val="000D6262"/>
    <w:rsid w:val="000D6541"/>
    <w:rsid w:val="000D697E"/>
    <w:rsid w:val="000D6E96"/>
    <w:rsid w:val="000D711E"/>
    <w:rsid w:val="000D7268"/>
    <w:rsid w:val="000D7383"/>
    <w:rsid w:val="000D745D"/>
    <w:rsid w:val="000D75CC"/>
    <w:rsid w:val="000D75EE"/>
    <w:rsid w:val="000D7783"/>
    <w:rsid w:val="000D7A10"/>
    <w:rsid w:val="000D7C7C"/>
    <w:rsid w:val="000E011D"/>
    <w:rsid w:val="000E0706"/>
    <w:rsid w:val="000E0C4E"/>
    <w:rsid w:val="000E14B9"/>
    <w:rsid w:val="000E182B"/>
    <w:rsid w:val="000E1E8E"/>
    <w:rsid w:val="000E279B"/>
    <w:rsid w:val="000E2D41"/>
    <w:rsid w:val="000E3075"/>
    <w:rsid w:val="000E3178"/>
    <w:rsid w:val="000E3358"/>
    <w:rsid w:val="000E38ED"/>
    <w:rsid w:val="000E3F84"/>
    <w:rsid w:val="000E4216"/>
    <w:rsid w:val="000E4249"/>
    <w:rsid w:val="000E471D"/>
    <w:rsid w:val="000E47BC"/>
    <w:rsid w:val="000E48CD"/>
    <w:rsid w:val="000E4C9B"/>
    <w:rsid w:val="000E4D01"/>
    <w:rsid w:val="000E4E70"/>
    <w:rsid w:val="000E4EFD"/>
    <w:rsid w:val="000E5830"/>
    <w:rsid w:val="000E5C4E"/>
    <w:rsid w:val="000E65A7"/>
    <w:rsid w:val="000E6635"/>
    <w:rsid w:val="000E6A34"/>
    <w:rsid w:val="000E6B43"/>
    <w:rsid w:val="000E6C6D"/>
    <w:rsid w:val="000E6F62"/>
    <w:rsid w:val="000E728E"/>
    <w:rsid w:val="000E7535"/>
    <w:rsid w:val="000E75C6"/>
    <w:rsid w:val="000E7B65"/>
    <w:rsid w:val="000E7F51"/>
    <w:rsid w:val="000F00D8"/>
    <w:rsid w:val="000F04CE"/>
    <w:rsid w:val="000F0771"/>
    <w:rsid w:val="000F07AB"/>
    <w:rsid w:val="000F095B"/>
    <w:rsid w:val="000F0B56"/>
    <w:rsid w:val="000F11B4"/>
    <w:rsid w:val="000F1261"/>
    <w:rsid w:val="000F13C4"/>
    <w:rsid w:val="000F13D7"/>
    <w:rsid w:val="000F17E4"/>
    <w:rsid w:val="000F187D"/>
    <w:rsid w:val="000F1B0F"/>
    <w:rsid w:val="000F1CF3"/>
    <w:rsid w:val="000F203A"/>
    <w:rsid w:val="000F20CD"/>
    <w:rsid w:val="000F251F"/>
    <w:rsid w:val="000F26CA"/>
    <w:rsid w:val="000F2965"/>
    <w:rsid w:val="000F2A21"/>
    <w:rsid w:val="000F2E12"/>
    <w:rsid w:val="000F31B9"/>
    <w:rsid w:val="000F34C7"/>
    <w:rsid w:val="000F3755"/>
    <w:rsid w:val="000F3B40"/>
    <w:rsid w:val="000F3FFF"/>
    <w:rsid w:val="000F426F"/>
    <w:rsid w:val="000F42EA"/>
    <w:rsid w:val="000F4A11"/>
    <w:rsid w:val="000F4CAF"/>
    <w:rsid w:val="000F4D95"/>
    <w:rsid w:val="000F4F44"/>
    <w:rsid w:val="000F53CB"/>
    <w:rsid w:val="000F5C8E"/>
    <w:rsid w:val="000F5F71"/>
    <w:rsid w:val="000F61C4"/>
    <w:rsid w:val="000F654F"/>
    <w:rsid w:val="000F6646"/>
    <w:rsid w:val="000F67AF"/>
    <w:rsid w:val="000F6881"/>
    <w:rsid w:val="000F6C32"/>
    <w:rsid w:val="000F71FE"/>
    <w:rsid w:val="000F7207"/>
    <w:rsid w:val="000F77C9"/>
    <w:rsid w:val="00100097"/>
    <w:rsid w:val="001000E9"/>
    <w:rsid w:val="00100169"/>
    <w:rsid w:val="001002FF"/>
    <w:rsid w:val="0010047B"/>
    <w:rsid w:val="0010067A"/>
    <w:rsid w:val="001009B1"/>
    <w:rsid w:val="001010D1"/>
    <w:rsid w:val="00101489"/>
    <w:rsid w:val="00101513"/>
    <w:rsid w:val="0010163E"/>
    <w:rsid w:val="0010175D"/>
    <w:rsid w:val="00101A0E"/>
    <w:rsid w:val="00101ACE"/>
    <w:rsid w:val="00102147"/>
    <w:rsid w:val="00102335"/>
    <w:rsid w:val="00102D2E"/>
    <w:rsid w:val="001033D6"/>
    <w:rsid w:val="00103658"/>
    <w:rsid w:val="0010366C"/>
    <w:rsid w:val="00103C08"/>
    <w:rsid w:val="00104058"/>
    <w:rsid w:val="0010405D"/>
    <w:rsid w:val="00104228"/>
    <w:rsid w:val="00104730"/>
    <w:rsid w:val="00104A80"/>
    <w:rsid w:val="001050B7"/>
    <w:rsid w:val="0010521E"/>
    <w:rsid w:val="001052CF"/>
    <w:rsid w:val="0010558F"/>
    <w:rsid w:val="0010568A"/>
    <w:rsid w:val="00105748"/>
    <w:rsid w:val="00105820"/>
    <w:rsid w:val="0010586F"/>
    <w:rsid w:val="0010593E"/>
    <w:rsid w:val="00105CEE"/>
    <w:rsid w:val="00106324"/>
    <w:rsid w:val="00106405"/>
    <w:rsid w:val="0010660E"/>
    <w:rsid w:val="00106A95"/>
    <w:rsid w:val="00106CC3"/>
    <w:rsid w:val="00106E7E"/>
    <w:rsid w:val="001074D1"/>
    <w:rsid w:val="00107762"/>
    <w:rsid w:val="00107FD3"/>
    <w:rsid w:val="00110639"/>
    <w:rsid w:val="001106C0"/>
    <w:rsid w:val="00111114"/>
    <w:rsid w:val="00111486"/>
    <w:rsid w:val="001115C0"/>
    <w:rsid w:val="001115F4"/>
    <w:rsid w:val="001118AA"/>
    <w:rsid w:val="00111AD9"/>
    <w:rsid w:val="00111AFE"/>
    <w:rsid w:val="00111B0A"/>
    <w:rsid w:val="00111C76"/>
    <w:rsid w:val="001122B0"/>
    <w:rsid w:val="001126B0"/>
    <w:rsid w:val="00112A3D"/>
    <w:rsid w:val="00112B8F"/>
    <w:rsid w:val="00112D41"/>
    <w:rsid w:val="001134DA"/>
    <w:rsid w:val="001136ED"/>
    <w:rsid w:val="0011372B"/>
    <w:rsid w:val="001137C8"/>
    <w:rsid w:val="00113A83"/>
    <w:rsid w:val="00113D8B"/>
    <w:rsid w:val="00113D8F"/>
    <w:rsid w:val="001140FA"/>
    <w:rsid w:val="0011414D"/>
    <w:rsid w:val="001141CF"/>
    <w:rsid w:val="00114379"/>
    <w:rsid w:val="00114599"/>
    <w:rsid w:val="0011464F"/>
    <w:rsid w:val="001146A3"/>
    <w:rsid w:val="001146C6"/>
    <w:rsid w:val="001147B8"/>
    <w:rsid w:val="00114949"/>
    <w:rsid w:val="00114A39"/>
    <w:rsid w:val="00114E61"/>
    <w:rsid w:val="00114EA7"/>
    <w:rsid w:val="00114FF5"/>
    <w:rsid w:val="0011536C"/>
    <w:rsid w:val="00115480"/>
    <w:rsid w:val="00115685"/>
    <w:rsid w:val="00115716"/>
    <w:rsid w:val="0011584C"/>
    <w:rsid w:val="001158AF"/>
    <w:rsid w:val="00115968"/>
    <w:rsid w:val="00115D19"/>
    <w:rsid w:val="00115FD3"/>
    <w:rsid w:val="00116624"/>
    <w:rsid w:val="00117139"/>
    <w:rsid w:val="00117957"/>
    <w:rsid w:val="00117B4F"/>
    <w:rsid w:val="00117B90"/>
    <w:rsid w:val="001202E9"/>
    <w:rsid w:val="001203DB"/>
    <w:rsid w:val="0012079F"/>
    <w:rsid w:val="001207F3"/>
    <w:rsid w:val="001208F3"/>
    <w:rsid w:val="00120D01"/>
    <w:rsid w:val="00121316"/>
    <w:rsid w:val="0012142A"/>
    <w:rsid w:val="001215DB"/>
    <w:rsid w:val="00121897"/>
    <w:rsid w:val="001218BF"/>
    <w:rsid w:val="00121AA1"/>
    <w:rsid w:val="00122153"/>
    <w:rsid w:val="00122581"/>
    <w:rsid w:val="001225B8"/>
    <w:rsid w:val="00122842"/>
    <w:rsid w:val="00122BFB"/>
    <w:rsid w:val="00122EB3"/>
    <w:rsid w:val="00123090"/>
    <w:rsid w:val="0012345C"/>
    <w:rsid w:val="001235C4"/>
    <w:rsid w:val="00123975"/>
    <w:rsid w:val="00123AED"/>
    <w:rsid w:val="00123DED"/>
    <w:rsid w:val="0012467D"/>
    <w:rsid w:val="001246EC"/>
    <w:rsid w:val="001249D7"/>
    <w:rsid w:val="00124E10"/>
    <w:rsid w:val="00125078"/>
    <w:rsid w:val="001252FE"/>
    <w:rsid w:val="00125450"/>
    <w:rsid w:val="001257E6"/>
    <w:rsid w:val="001260BA"/>
    <w:rsid w:val="0012641F"/>
    <w:rsid w:val="00126B1D"/>
    <w:rsid w:val="00126D98"/>
    <w:rsid w:val="00126DAB"/>
    <w:rsid w:val="001273CA"/>
    <w:rsid w:val="001273EF"/>
    <w:rsid w:val="001274AC"/>
    <w:rsid w:val="001275E6"/>
    <w:rsid w:val="001277CF"/>
    <w:rsid w:val="0012798E"/>
    <w:rsid w:val="00127DE2"/>
    <w:rsid w:val="00127F28"/>
    <w:rsid w:val="00127F4C"/>
    <w:rsid w:val="0013018E"/>
    <w:rsid w:val="001301E5"/>
    <w:rsid w:val="001305AA"/>
    <w:rsid w:val="00130714"/>
    <w:rsid w:val="00130953"/>
    <w:rsid w:val="00130A25"/>
    <w:rsid w:val="00130B2D"/>
    <w:rsid w:val="00131105"/>
    <w:rsid w:val="00131683"/>
    <w:rsid w:val="0013173E"/>
    <w:rsid w:val="00131AC6"/>
    <w:rsid w:val="00131DD0"/>
    <w:rsid w:val="001321CE"/>
    <w:rsid w:val="001322B0"/>
    <w:rsid w:val="00132383"/>
    <w:rsid w:val="00132546"/>
    <w:rsid w:val="00132767"/>
    <w:rsid w:val="00132917"/>
    <w:rsid w:val="00132D74"/>
    <w:rsid w:val="00132E7E"/>
    <w:rsid w:val="00133013"/>
    <w:rsid w:val="0013334C"/>
    <w:rsid w:val="0013344F"/>
    <w:rsid w:val="001334EF"/>
    <w:rsid w:val="0013359C"/>
    <w:rsid w:val="00133E31"/>
    <w:rsid w:val="00133E73"/>
    <w:rsid w:val="00133EBD"/>
    <w:rsid w:val="00134312"/>
    <w:rsid w:val="001343CE"/>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A7"/>
    <w:rsid w:val="001369B4"/>
    <w:rsid w:val="00136AAD"/>
    <w:rsid w:val="00136BA1"/>
    <w:rsid w:val="00136DF8"/>
    <w:rsid w:val="00137280"/>
    <w:rsid w:val="00137288"/>
    <w:rsid w:val="00137480"/>
    <w:rsid w:val="001376F7"/>
    <w:rsid w:val="001378B9"/>
    <w:rsid w:val="00137A97"/>
    <w:rsid w:val="00137D34"/>
    <w:rsid w:val="00140365"/>
    <w:rsid w:val="00140608"/>
    <w:rsid w:val="001406DB"/>
    <w:rsid w:val="0014073C"/>
    <w:rsid w:val="00140762"/>
    <w:rsid w:val="00140CF6"/>
    <w:rsid w:val="00140E5E"/>
    <w:rsid w:val="001410F1"/>
    <w:rsid w:val="001411F6"/>
    <w:rsid w:val="0014126F"/>
    <w:rsid w:val="0014155A"/>
    <w:rsid w:val="001418FE"/>
    <w:rsid w:val="00141BF7"/>
    <w:rsid w:val="00141E46"/>
    <w:rsid w:val="0014206B"/>
    <w:rsid w:val="00142093"/>
    <w:rsid w:val="001425AC"/>
    <w:rsid w:val="00142E42"/>
    <w:rsid w:val="00142FBB"/>
    <w:rsid w:val="001433C9"/>
    <w:rsid w:val="0014371C"/>
    <w:rsid w:val="00143B3F"/>
    <w:rsid w:val="00143E78"/>
    <w:rsid w:val="00143FFE"/>
    <w:rsid w:val="001444A7"/>
    <w:rsid w:val="0014471E"/>
    <w:rsid w:val="0014491B"/>
    <w:rsid w:val="00144B3F"/>
    <w:rsid w:val="00144E04"/>
    <w:rsid w:val="00144FF7"/>
    <w:rsid w:val="001454C4"/>
    <w:rsid w:val="00146129"/>
    <w:rsid w:val="0014624C"/>
    <w:rsid w:val="00146491"/>
    <w:rsid w:val="0014652F"/>
    <w:rsid w:val="00146BC8"/>
    <w:rsid w:val="00146FDA"/>
    <w:rsid w:val="001473A6"/>
    <w:rsid w:val="00147D65"/>
    <w:rsid w:val="00147D91"/>
    <w:rsid w:val="001508E1"/>
    <w:rsid w:val="00150BAF"/>
    <w:rsid w:val="00150CD5"/>
    <w:rsid w:val="00151096"/>
    <w:rsid w:val="001510B6"/>
    <w:rsid w:val="001510BE"/>
    <w:rsid w:val="001510ED"/>
    <w:rsid w:val="001513E5"/>
    <w:rsid w:val="00151699"/>
    <w:rsid w:val="00151805"/>
    <w:rsid w:val="001518AA"/>
    <w:rsid w:val="001518C8"/>
    <w:rsid w:val="00152053"/>
    <w:rsid w:val="00152066"/>
    <w:rsid w:val="00152476"/>
    <w:rsid w:val="0015289B"/>
    <w:rsid w:val="001528BF"/>
    <w:rsid w:val="00152A3B"/>
    <w:rsid w:val="00153021"/>
    <w:rsid w:val="001531FD"/>
    <w:rsid w:val="0015347E"/>
    <w:rsid w:val="00153578"/>
    <w:rsid w:val="00153A48"/>
    <w:rsid w:val="00153A6B"/>
    <w:rsid w:val="00153D16"/>
    <w:rsid w:val="00153EEF"/>
    <w:rsid w:val="00153F29"/>
    <w:rsid w:val="001544AB"/>
    <w:rsid w:val="00154B50"/>
    <w:rsid w:val="00154CA8"/>
    <w:rsid w:val="00154DA3"/>
    <w:rsid w:val="00155839"/>
    <w:rsid w:val="00155F52"/>
    <w:rsid w:val="00155F7A"/>
    <w:rsid w:val="00155FB2"/>
    <w:rsid w:val="00156260"/>
    <w:rsid w:val="0015674F"/>
    <w:rsid w:val="00156B29"/>
    <w:rsid w:val="0015722A"/>
    <w:rsid w:val="0016019C"/>
    <w:rsid w:val="00160674"/>
    <w:rsid w:val="0016073A"/>
    <w:rsid w:val="00160786"/>
    <w:rsid w:val="00160D2A"/>
    <w:rsid w:val="00160D4D"/>
    <w:rsid w:val="0016117C"/>
    <w:rsid w:val="001613AD"/>
    <w:rsid w:val="001616AF"/>
    <w:rsid w:val="001618A3"/>
    <w:rsid w:val="00162222"/>
    <w:rsid w:val="0016223A"/>
    <w:rsid w:val="00162262"/>
    <w:rsid w:val="00162280"/>
    <w:rsid w:val="00162898"/>
    <w:rsid w:val="00162B65"/>
    <w:rsid w:val="00162BD5"/>
    <w:rsid w:val="00162CF1"/>
    <w:rsid w:val="00162F82"/>
    <w:rsid w:val="001630E4"/>
    <w:rsid w:val="00163271"/>
    <w:rsid w:val="001639BC"/>
    <w:rsid w:val="00163AFC"/>
    <w:rsid w:val="0016432F"/>
    <w:rsid w:val="001644CC"/>
    <w:rsid w:val="00164646"/>
    <w:rsid w:val="001647FA"/>
    <w:rsid w:val="001649D4"/>
    <w:rsid w:val="00164B80"/>
    <w:rsid w:val="00164CF5"/>
    <w:rsid w:val="00165137"/>
    <w:rsid w:val="001651AA"/>
    <w:rsid w:val="00165337"/>
    <w:rsid w:val="0016634F"/>
    <w:rsid w:val="0016645E"/>
    <w:rsid w:val="00166994"/>
    <w:rsid w:val="001669F9"/>
    <w:rsid w:val="00166A2E"/>
    <w:rsid w:val="0016700E"/>
    <w:rsid w:val="0016711A"/>
    <w:rsid w:val="0016764C"/>
    <w:rsid w:val="00167709"/>
    <w:rsid w:val="001678EC"/>
    <w:rsid w:val="001678ED"/>
    <w:rsid w:val="00170248"/>
    <w:rsid w:val="00170397"/>
    <w:rsid w:val="001703EB"/>
    <w:rsid w:val="0017048A"/>
    <w:rsid w:val="001706E4"/>
    <w:rsid w:val="001708D0"/>
    <w:rsid w:val="00170F0F"/>
    <w:rsid w:val="00171261"/>
    <w:rsid w:val="00171944"/>
    <w:rsid w:val="00171D7E"/>
    <w:rsid w:val="00171E0B"/>
    <w:rsid w:val="00171F14"/>
    <w:rsid w:val="0017226B"/>
    <w:rsid w:val="00172403"/>
    <w:rsid w:val="00172574"/>
    <w:rsid w:val="00172903"/>
    <w:rsid w:val="001729E1"/>
    <w:rsid w:val="00172A6E"/>
    <w:rsid w:val="00172B61"/>
    <w:rsid w:val="00172C20"/>
    <w:rsid w:val="00172D21"/>
    <w:rsid w:val="00172FA8"/>
    <w:rsid w:val="00173048"/>
    <w:rsid w:val="00173869"/>
    <w:rsid w:val="00173893"/>
    <w:rsid w:val="001738A5"/>
    <w:rsid w:val="00173A00"/>
    <w:rsid w:val="0017402B"/>
    <w:rsid w:val="00174841"/>
    <w:rsid w:val="00174DDB"/>
    <w:rsid w:val="00174F2F"/>
    <w:rsid w:val="001752EC"/>
    <w:rsid w:val="001752ED"/>
    <w:rsid w:val="0017535F"/>
    <w:rsid w:val="00175B5A"/>
    <w:rsid w:val="00175E60"/>
    <w:rsid w:val="00176414"/>
    <w:rsid w:val="00176577"/>
    <w:rsid w:val="0017676C"/>
    <w:rsid w:val="00176E7D"/>
    <w:rsid w:val="00177036"/>
    <w:rsid w:val="0017714C"/>
    <w:rsid w:val="0017722E"/>
    <w:rsid w:val="00177583"/>
    <w:rsid w:val="00177711"/>
    <w:rsid w:val="00177A0D"/>
    <w:rsid w:val="00177AF1"/>
    <w:rsid w:val="00177DFF"/>
    <w:rsid w:val="00177EBD"/>
    <w:rsid w:val="0018009B"/>
    <w:rsid w:val="001800DB"/>
    <w:rsid w:val="00180149"/>
    <w:rsid w:val="0018016C"/>
    <w:rsid w:val="001806B6"/>
    <w:rsid w:val="00180DC7"/>
    <w:rsid w:val="00180E60"/>
    <w:rsid w:val="00181722"/>
    <w:rsid w:val="001817BA"/>
    <w:rsid w:val="00181B3A"/>
    <w:rsid w:val="00182050"/>
    <w:rsid w:val="0018208C"/>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649"/>
    <w:rsid w:val="00186B4D"/>
    <w:rsid w:val="0018767B"/>
    <w:rsid w:val="001879E9"/>
    <w:rsid w:val="00187C3E"/>
    <w:rsid w:val="0019022C"/>
    <w:rsid w:val="00190307"/>
    <w:rsid w:val="00190927"/>
    <w:rsid w:val="00190BD5"/>
    <w:rsid w:val="00191132"/>
    <w:rsid w:val="0019128F"/>
    <w:rsid w:val="00191727"/>
    <w:rsid w:val="00191A0A"/>
    <w:rsid w:val="00191A2B"/>
    <w:rsid w:val="00191EBF"/>
    <w:rsid w:val="001923B2"/>
    <w:rsid w:val="001925E5"/>
    <w:rsid w:val="00192A10"/>
    <w:rsid w:val="00192D98"/>
    <w:rsid w:val="00193747"/>
    <w:rsid w:val="00193845"/>
    <w:rsid w:val="00193987"/>
    <w:rsid w:val="00194ACD"/>
    <w:rsid w:val="00195082"/>
    <w:rsid w:val="0019573B"/>
    <w:rsid w:val="0019592C"/>
    <w:rsid w:val="00196066"/>
    <w:rsid w:val="00196085"/>
    <w:rsid w:val="00196300"/>
    <w:rsid w:val="00196411"/>
    <w:rsid w:val="00196A48"/>
    <w:rsid w:val="00196B90"/>
    <w:rsid w:val="00196F6C"/>
    <w:rsid w:val="00196FF4"/>
    <w:rsid w:val="001970B9"/>
    <w:rsid w:val="0019734F"/>
    <w:rsid w:val="00197458"/>
    <w:rsid w:val="001976E2"/>
    <w:rsid w:val="001A0303"/>
    <w:rsid w:val="001A032E"/>
    <w:rsid w:val="001A0421"/>
    <w:rsid w:val="001A067A"/>
    <w:rsid w:val="001A09C6"/>
    <w:rsid w:val="001A0A1E"/>
    <w:rsid w:val="001A12DF"/>
    <w:rsid w:val="001A1532"/>
    <w:rsid w:val="001A18A4"/>
    <w:rsid w:val="001A258A"/>
    <w:rsid w:val="001A2939"/>
    <w:rsid w:val="001A2FD5"/>
    <w:rsid w:val="001A3037"/>
    <w:rsid w:val="001A30B0"/>
    <w:rsid w:val="001A30FB"/>
    <w:rsid w:val="001A31A7"/>
    <w:rsid w:val="001A35B2"/>
    <w:rsid w:val="001A36CF"/>
    <w:rsid w:val="001A3974"/>
    <w:rsid w:val="001A3F0F"/>
    <w:rsid w:val="001A3FA5"/>
    <w:rsid w:val="001A4156"/>
    <w:rsid w:val="001A4263"/>
    <w:rsid w:val="001A43B8"/>
    <w:rsid w:val="001A4EDF"/>
    <w:rsid w:val="001A5174"/>
    <w:rsid w:val="001A5C4B"/>
    <w:rsid w:val="001A61A0"/>
    <w:rsid w:val="001A6278"/>
    <w:rsid w:val="001A628F"/>
    <w:rsid w:val="001A65B2"/>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5A2"/>
    <w:rsid w:val="001B0F1F"/>
    <w:rsid w:val="001B10FA"/>
    <w:rsid w:val="001B1565"/>
    <w:rsid w:val="001B1F17"/>
    <w:rsid w:val="001B1F29"/>
    <w:rsid w:val="001B2085"/>
    <w:rsid w:val="001B2405"/>
    <w:rsid w:val="001B26EE"/>
    <w:rsid w:val="001B2993"/>
    <w:rsid w:val="001B2DF5"/>
    <w:rsid w:val="001B315A"/>
    <w:rsid w:val="001B3754"/>
    <w:rsid w:val="001B4398"/>
    <w:rsid w:val="001B4AAD"/>
    <w:rsid w:val="001B4B34"/>
    <w:rsid w:val="001B5176"/>
    <w:rsid w:val="001B519B"/>
    <w:rsid w:val="001B5332"/>
    <w:rsid w:val="001B53B3"/>
    <w:rsid w:val="001B54E9"/>
    <w:rsid w:val="001B5F67"/>
    <w:rsid w:val="001B5FD0"/>
    <w:rsid w:val="001B6306"/>
    <w:rsid w:val="001B6488"/>
    <w:rsid w:val="001B66E8"/>
    <w:rsid w:val="001B6C77"/>
    <w:rsid w:val="001B6EC0"/>
    <w:rsid w:val="001B70CF"/>
    <w:rsid w:val="001B716B"/>
    <w:rsid w:val="001B748B"/>
    <w:rsid w:val="001B74E3"/>
    <w:rsid w:val="001B7CD0"/>
    <w:rsid w:val="001C002C"/>
    <w:rsid w:val="001C0085"/>
    <w:rsid w:val="001C04E1"/>
    <w:rsid w:val="001C063F"/>
    <w:rsid w:val="001C0883"/>
    <w:rsid w:val="001C0CD4"/>
    <w:rsid w:val="001C1163"/>
    <w:rsid w:val="001C16A9"/>
    <w:rsid w:val="001C1E53"/>
    <w:rsid w:val="001C211D"/>
    <w:rsid w:val="001C2506"/>
    <w:rsid w:val="001C2582"/>
    <w:rsid w:val="001C2E60"/>
    <w:rsid w:val="001C3474"/>
    <w:rsid w:val="001C3B46"/>
    <w:rsid w:val="001C3BA2"/>
    <w:rsid w:val="001C3DC6"/>
    <w:rsid w:val="001C3EAE"/>
    <w:rsid w:val="001C457D"/>
    <w:rsid w:val="001C4F5F"/>
    <w:rsid w:val="001C518A"/>
    <w:rsid w:val="001C5566"/>
    <w:rsid w:val="001C5796"/>
    <w:rsid w:val="001C589B"/>
    <w:rsid w:val="001C58A6"/>
    <w:rsid w:val="001C5E31"/>
    <w:rsid w:val="001C5F88"/>
    <w:rsid w:val="001C6023"/>
    <w:rsid w:val="001C619C"/>
    <w:rsid w:val="001C67D5"/>
    <w:rsid w:val="001C6CDC"/>
    <w:rsid w:val="001C7185"/>
    <w:rsid w:val="001C76FC"/>
    <w:rsid w:val="001C7A2E"/>
    <w:rsid w:val="001C7AB6"/>
    <w:rsid w:val="001C7F47"/>
    <w:rsid w:val="001D006C"/>
    <w:rsid w:val="001D017C"/>
    <w:rsid w:val="001D0447"/>
    <w:rsid w:val="001D0578"/>
    <w:rsid w:val="001D0593"/>
    <w:rsid w:val="001D0B27"/>
    <w:rsid w:val="001D0C3F"/>
    <w:rsid w:val="001D1258"/>
    <w:rsid w:val="001D139F"/>
    <w:rsid w:val="001D13B0"/>
    <w:rsid w:val="001D19F8"/>
    <w:rsid w:val="001D1CFF"/>
    <w:rsid w:val="001D239A"/>
    <w:rsid w:val="001D2B3C"/>
    <w:rsid w:val="001D2BB2"/>
    <w:rsid w:val="001D2C75"/>
    <w:rsid w:val="001D2E6C"/>
    <w:rsid w:val="001D2EB4"/>
    <w:rsid w:val="001D2ECD"/>
    <w:rsid w:val="001D329E"/>
    <w:rsid w:val="001D3A17"/>
    <w:rsid w:val="001D3A25"/>
    <w:rsid w:val="001D3C68"/>
    <w:rsid w:val="001D4138"/>
    <w:rsid w:val="001D4315"/>
    <w:rsid w:val="001D43C0"/>
    <w:rsid w:val="001D46D6"/>
    <w:rsid w:val="001D46EB"/>
    <w:rsid w:val="001D4969"/>
    <w:rsid w:val="001D4AF0"/>
    <w:rsid w:val="001D4F24"/>
    <w:rsid w:val="001D506F"/>
    <w:rsid w:val="001D53DC"/>
    <w:rsid w:val="001D5766"/>
    <w:rsid w:val="001D57BC"/>
    <w:rsid w:val="001D6581"/>
    <w:rsid w:val="001D6659"/>
    <w:rsid w:val="001D6E61"/>
    <w:rsid w:val="001D6F30"/>
    <w:rsid w:val="001D6F9A"/>
    <w:rsid w:val="001D7260"/>
    <w:rsid w:val="001D7502"/>
    <w:rsid w:val="001D7816"/>
    <w:rsid w:val="001D7B96"/>
    <w:rsid w:val="001D7F8C"/>
    <w:rsid w:val="001D7FE2"/>
    <w:rsid w:val="001E0089"/>
    <w:rsid w:val="001E022E"/>
    <w:rsid w:val="001E0420"/>
    <w:rsid w:val="001E09F4"/>
    <w:rsid w:val="001E0A73"/>
    <w:rsid w:val="001E105C"/>
    <w:rsid w:val="001E111F"/>
    <w:rsid w:val="001E1284"/>
    <w:rsid w:val="001E13E0"/>
    <w:rsid w:val="001E14CC"/>
    <w:rsid w:val="001E1524"/>
    <w:rsid w:val="001E1C5D"/>
    <w:rsid w:val="001E1D3C"/>
    <w:rsid w:val="001E1EB8"/>
    <w:rsid w:val="001E220A"/>
    <w:rsid w:val="001E251E"/>
    <w:rsid w:val="001E266E"/>
    <w:rsid w:val="001E2EEF"/>
    <w:rsid w:val="001E3099"/>
    <w:rsid w:val="001E3188"/>
    <w:rsid w:val="001E31D1"/>
    <w:rsid w:val="001E32BE"/>
    <w:rsid w:val="001E3350"/>
    <w:rsid w:val="001E33D7"/>
    <w:rsid w:val="001E3A45"/>
    <w:rsid w:val="001E420B"/>
    <w:rsid w:val="001E4583"/>
    <w:rsid w:val="001E4640"/>
    <w:rsid w:val="001E4704"/>
    <w:rsid w:val="001E474A"/>
    <w:rsid w:val="001E4ADF"/>
    <w:rsid w:val="001E4CE2"/>
    <w:rsid w:val="001E4D9A"/>
    <w:rsid w:val="001E50CB"/>
    <w:rsid w:val="001E542C"/>
    <w:rsid w:val="001E5A8E"/>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E7888"/>
    <w:rsid w:val="001E7B5F"/>
    <w:rsid w:val="001F04C3"/>
    <w:rsid w:val="001F0546"/>
    <w:rsid w:val="001F056D"/>
    <w:rsid w:val="001F09F9"/>
    <w:rsid w:val="001F0BCC"/>
    <w:rsid w:val="001F0DDF"/>
    <w:rsid w:val="001F125F"/>
    <w:rsid w:val="001F1575"/>
    <w:rsid w:val="001F15CC"/>
    <w:rsid w:val="001F16BF"/>
    <w:rsid w:val="001F16FD"/>
    <w:rsid w:val="001F1B1E"/>
    <w:rsid w:val="001F1DFA"/>
    <w:rsid w:val="001F1F07"/>
    <w:rsid w:val="001F22A9"/>
    <w:rsid w:val="001F22FE"/>
    <w:rsid w:val="001F2536"/>
    <w:rsid w:val="001F26E9"/>
    <w:rsid w:val="001F287C"/>
    <w:rsid w:val="001F2B48"/>
    <w:rsid w:val="001F2DF6"/>
    <w:rsid w:val="001F2E08"/>
    <w:rsid w:val="001F32F2"/>
    <w:rsid w:val="001F37ED"/>
    <w:rsid w:val="001F38B3"/>
    <w:rsid w:val="001F39AB"/>
    <w:rsid w:val="001F3FC0"/>
    <w:rsid w:val="001F417F"/>
    <w:rsid w:val="001F45E8"/>
    <w:rsid w:val="001F4A88"/>
    <w:rsid w:val="001F4AE1"/>
    <w:rsid w:val="001F4B34"/>
    <w:rsid w:val="001F4E57"/>
    <w:rsid w:val="001F53A2"/>
    <w:rsid w:val="001F54C5"/>
    <w:rsid w:val="001F54E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5E9"/>
    <w:rsid w:val="001F798D"/>
    <w:rsid w:val="001F7DC7"/>
    <w:rsid w:val="001F7DD6"/>
    <w:rsid w:val="002000F2"/>
    <w:rsid w:val="002000FC"/>
    <w:rsid w:val="0020043F"/>
    <w:rsid w:val="00200A13"/>
    <w:rsid w:val="00200A92"/>
    <w:rsid w:val="00200BF9"/>
    <w:rsid w:val="00200E3B"/>
    <w:rsid w:val="002011A5"/>
    <w:rsid w:val="00201B7E"/>
    <w:rsid w:val="00201C7E"/>
    <w:rsid w:val="00201D85"/>
    <w:rsid w:val="00202201"/>
    <w:rsid w:val="00202A98"/>
    <w:rsid w:val="00202CCB"/>
    <w:rsid w:val="00202D2E"/>
    <w:rsid w:val="00202D4F"/>
    <w:rsid w:val="00203159"/>
    <w:rsid w:val="002032C0"/>
    <w:rsid w:val="00203A6E"/>
    <w:rsid w:val="00203D9B"/>
    <w:rsid w:val="00203F00"/>
    <w:rsid w:val="00203F5C"/>
    <w:rsid w:val="00204096"/>
    <w:rsid w:val="002047DE"/>
    <w:rsid w:val="00204A5A"/>
    <w:rsid w:val="00204B5B"/>
    <w:rsid w:val="00204C12"/>
    <w:rsid w:val="00204C34"/>
    <w:rsid w:val="00204D22"/>
    <w:rsid w:val="00205635"/>
    <w:rsid w:val="002056B8"/>
    <w:rsid w:val="002058DC"/>
    <w:rsid w:val="00205AB2"/>
    <w:rsid w:val="00205CB2"/>
    <w:rsid w:val="00205E95"/>
    <w:rsid w:val="00206023"/>
    <w:rsid w:val="0020610B"/>
    <w:rsid w:val="00206133"/>
    <w:rsid w:val="002063A7"/>
    <w:rsid w:val="0020674D"/>
    <w:rsid w:val="00206799"/>
    <w:rsid w:val="00206E5A"/>
    <w:rsid w:val="0020749B"/>
    <w:rsid w:val="00207613"/>
    <w:rsid w:val="00207847"/>
    <w:rsid w:val="00207AF9"/>
    <w:rsid w:val="00207BB9"/>
    <w:rsid w:val="00207EB6"/>
    <w:rsid w:val="00210018"/>
    <w:rsid w:val="00210174"/>
    <w:rsid w:val="00210662"/>
    <w:rsid w:val="0021070B"/>
    <w:rsid w:val="002109D5"/>
    <w:rsid w:val="00210A2E"/>
    <w:rsid w:val="00210BDA"/>
    <w:rsid w:val="00210C84"/>
    <w:rsid w:val="00210C91"/>
    <w:rsid w:val="00210CF7"/>
    <w:rsid w:val="00210F42"/>
    <w:rsid w:val="00211042"/>
    <w:rsid w:val="00211345"/>
    <w:rsid w:val="00211390"/>
    <w:rsid w:val="0021146A"/>
    <w:rsid w:val="0021148E"/>
    <w:rsid w:val="002114FA"/>
    <w:rsid w:val="00211D31"/>
    <w:rsid w:val="00211DD9"/>
    <w:rsid w:val="002125B4"/>
    <w:rsid w:val="002126FB"/>
    <w:rsid w:val="00212816"/>
    <w:rsid w:val="0021293C"/>
    <w:rsid w:val="00212D30"/>
    <w:rsid w:val="002130BD"/>
    <w:rsid w:val="00213706"/>
    <w:rsid w:val="002137A5"/>
    <w:rsid w:val="00213851"/>
    <w:rsid w:val="00213C2E"/>
    <w:rsid w:val="00213FF2"/>
    <w:rsid w:val="00214416"/>
    <w:rsid w:val="00214D45"/>
    <w:rsid w:val="00214E0D"/>
    <w:rsid w:val="0021521A"/>
    <w:rsid w:val="002152A2"/>
    <w:rsid w:val="00215314"/>
    <w:rsid w:val="0021586D"/>
    <w:rsid w:val="00215C99"/>
    <w:rsid w:val="002161EE"/>
    <w:rsid w:val="002162EA"/>
    <w:rsid w:val="00216362"/>
    <w:rsid w:val="002165F9"/>
    <w:rsid w:val="00216685"/>
    <w:rsid w:val="00216B17"/>
    <w:rsid w:val="00216BBF"/>
    <w:rsid w:val="00216CC6"/>
    <w:rsid w:val="00216E47"/>
    <w:rsid w:val="00217135"/>
    <w:rsid w:val="0021737B"/>
    <w:rsid w:val="00217CE8"/>
    <w:rsid w:val="0022000C"/>
    <w:rsid w:val="002202EC"/>
    <w:rsid w:val="002204ED"/>
    <w:rsid w:val="00220967"/>
    <w:rsid w:val="00220977"/>
    <w:rsid w:val="00220B7D"/>
    <w:rsid w:val="00220E92"/>
    <w:rsid w:val="002211DD"/>
    <w:rsid w:val="0022135D"/>
    <w:rsid w:val="00221B93"/>
    <w:rsid w:val="002222A4"/>
    <w:rsid w:val="00222366"/>
    <w:rsid w:val="002224A5"/>
    <w:rsid w:val="0022254C"/>
    <w:rsid w:val="00223111"/>
    <w:rsid w:val="00223322"/>
    <w:rsid w:val="0022337A"/>
    <w:rsid w:val="002237AE"/>
    <w:rsid w:val="00223833"/>
    <w:rsid w:val="00223ACD"/>
    <w:rsid w:val="00223ADC"/>
    <w:rsid w:val="00223F34"/>
    <w:rsid w:val="0022418D"/>
    <w:rsid w:val="002241C9"/>
    <w:rsid w:val="002245DB"/>
    <w:rsid w:val="00224A00"/>
    <w:rsid w:val="00224A01"/>
    <w:rsid w:val="00224A9B"/>
    <w:rsid w:val="00224C25"/>
    <w:rsid w:val="00225161"/>
    <w:rsid w:val="0022564D"/>
    <w:rsid w:val="0022591C"/>
    <w:rsid w:val="002259A1"/>
    <w:rsid w:val="00225BC3"/>
    <w:rsid w:val="00225BEB"/>
    <w:rsid w:val="00225E74"/>
    <w:rsid w:val="0022657F"/>
    <w:rsid w:val="002269A7"/>
    <w:rsid w:val="00226BD3"/>
    <w:rsid w:val="00226F21"/>
    <w:rsid w:val="0022735A"/>
    <w:rsid w:val="00227503"/>
    <w:rsid w:val="002275A8"/>
    <w:rsid w:val="00227873"/>
    <w:rsid w:val="00227910"/>
    <w:rsid w:val="002279D2"/>
    <w:rsid w:val="00227C3A"/>
    <w:rsid w:val="00227F9E"/>
    <w:rsid w:val="00230040"/>
    <w:rsid w:val="002300E1"/>
    <w:rsid w:val="002305EF"/>
    <w:rsid w:val="00230810"/>
    <w:rsid w:val="00230944"/>
    <w:rsid w:val="00230AD3"/>
    <w:rsid w:val="00230BB1"/>
    <w:rsid w:val="0023101D"/>
    <w:rsid w:val="002313B5"/>
    <w:rsid w:val="002314EE"/>
    <w:rsid w:val="00231740"/>
    <w:rsid w:val="00231929"/>
    <w:rsid w:val="00231D67"/>
    <w:rsid w:val="00231F00"/>
    <w:rsid w:val="00232191"/>
    <w:rsid w:val="002326A1"/>
    <w:rsid w:val="00232E9D"/>
    <w:rsid w:val="0023302F"/>
    <w:rsid w:val="0023311D"/>
    <w:rsid w:val="0023399C"/>
    <w:rsid w:val="00233B04"/>
    <w:rsid w:val="00233F47"/>
    <w:rsid w:val="002341FC"/>
    <w:rsid w:val="002344C8"/>
    <w:rsid w:val="00234692"/>
    <w:rsid w:val="002346B0"/>
    <w:rsid w:val="00234723"/>
    <w:rsid w:val="002349C5"/>
    <w:rsid w:val="00234E0D"/>
    <w:rsid w:val="00234E3A"/>
    <w:rsid w:val="00235109"/>
    <w:rsid w:val="00235143"/>
    <w:rsid w:val="00235581"/>
    <w:rsid w:val="00235698"/>
    <w:rsid w:val="00235724"/>
    <w:rsid w:val="00235A15"/>
    <w:rsid w:val="00235D72"/>
    <w:rsid w:val="00236400"/>
    <w:rsid w:val="002367D8"/>
    <w:rsid w:val="0023691F"/>
    <w:rsid w:val="00236ABB"/>
    <w:rsid w:val="00236AF0"/>
    <w:rsid w:val="00236D6C"/>
    <w:rsid w:val="00236E1F"/>
    <w:rsid w:val="00236F55"/>
    <w:rsid w:val="00236F71"/>
    <w:rsid w:val="002373FC"/>
    <w:rsid w:val="0023776F"/>
    <w:rsid w:val="00237C6F"/>
    <w:rsid w:val="00237D22"/>
    <w:rsid w:val="00240434"/>
    <w:rsid w:val="002406B1"/>
    <w:rsid w:val="002409A7"/>
    <w:rsid w:val="00240A69"/>
    <w:rsid w:val="00240B7D"/>
    <w:rsid w:val="00240BC6"/>
    <w:rsid w:val="00240F76"/>
    <w:rsid w:val="0024103F"/>
    <w:rsid w:val="00241C7B"/>
    <w:rsid w:val="002421F2"/>
    <w:rsid w:val="0024231F"/>
    <w:rsid w:val="0024297B"/>
    <w:rsid w:val="00242B2A"/>
    <w:rsid w:val="00242CAE"/>
    <w:rsid w:val="00242E87"/>
    <w:rsid w:val="00243ACD"/>
    <w:rsid w:val="00243DCC"/>
    <w:rsid w:val="002443C2"/>
    <w:rsid w:val="00244606"/>
    <w:rsid w:val="00244924"/>
    <w:rsid w:val="00244AC1"/>
    <w:rsid w:val="002452BE"/>
    <w:rsid w:val="00245492"/>
    <w:rsid w:val="002457BE"/>
    <w:rsid w:val="002457CA"/>
    <w:rsid w:val="00245A41"/>
    <w:rsid w:val="00245B70"/>
    <w:rsid w:val="00245D7D"/>
    <w:rsid w:val="00245E39"/>
    <w:rsid w:val="00245FBA"/>
    <w:rsid w:val="00246C52"/>
    <w:rsid w:val="00246C98"/>
    <w:rsid w:val="00246EB6"/>
    <w:rsid w:val="002471AB"/>
    <w:rsid w:val="0024785A"/>
    <w:rsid w:val="00247C82"/>
    <w:rsid w:val="00247D8E"/>
    <w:rsid w:val="00247DD1"/>
    <w:rsid w:val="00247F4B"/>
    <w:rsid w:val="00250CD0"/>
    <w:rsid w:val="00250D9C"/>
    <w:rsid w:val="00250E53"/>
    <w:rsid w:val="00251117"/>
    <w:rsid w:val="002512A9"/>
    <w:rsid w:val="0025169E"/>
    <w:rsid w:val="00251929"/>
    <w:rsid w:val="00251AFE"/>
    <w:rsid w:val="00251F5E"/>
    <w:rsid w:val="002521CC"/>
    <w:rsid w:val="002522FF"/>
    <w:rsid w:val="002523EA"/>
    <w:rsid w:val="00252713"/>
    <w:rsid w:val="00252A61"/>
    <w:rsid w:val="0025304C"/>
    <w:rsid w:val="002530CC"/>
    <w:rsid w:val="002530D6"/>
    <w:rsid w:val="002530D9"/>
    <w:rsid w:val="0025325D"/>
    <w:rsid w:val="002533FF"/>
    <w:rsid w:val="00253400"/>
    <w:rsid w:val="00253447"/>
    <w:rsid w:val="002534B8"/>
    <w:rsid w:val="002537F5"/>
    <w:rsid w:val="00253A50"/>
    <w:rsid w:val="00253A89"/>
    <w:rsid w:val="00253D64"/>
    <w:rsid w:val="00253D80"/>
    <w:rsid w:val="0025464E"/>
    <w:rsid w:val="00254D49"/>
    <w:rsid w:val="00254D76"/>
    <w:rsid w:val="00255C71"/>
    <w:rsid w:val="00255C73"/>
    <w:rsid w:val="00255D42"/>
    <w:rsid w:val="002569D5"/>
    <w:rsid w:val="00256D11"/>
    <w:rsid w:val="00256F02"/>
    <w:rsid w:val="002571C8"/>
    <w:rsid w:val="002571FE"/>
    <w:rsid w:val="002572F1"/>
    <w:rsid w:val="002574D9"/>
    <w:rsid w:val="002574F6"/>
    <w:rsid w:val="0025757A"/>
    <w:rsid w:val="0025790F"/>
    <w:rsid w:val="00257A62"/>
    <w:rsid w:val="00257BD3"/>
    <w:rsid w:val="00257CB5"/>
    <w:rsid w:val="00260156"/>
    <w:rsid w:val="0026037C"/>
    <w:rsid w:val="0026075E"/>
    <w:rsid w:val="002609F8"/>
    <w:rsid w:val="00260FAD"/>
    <w:rsid w:val="00261051"/>
    <w:rsid w:val="002612A1"/>
    <w:rsid w:val="00261559"/>
    <w:rsid w:val="00261A63"/>
    <w:rsid w:val="00261D05"/>
    <w:rsid w:val="00261F0E"/>
    <w:rsid w:val="002622E3"/>
    <w:rsid w:val="002623AC"/>
    <w:rsid w:val="002623DA"/>
    <w:rsid w:val="002626E0"/>
    <w:rsid w:val="0026289A"/>
    <w:rsid w:val="00262979"/>
    <w:rsid w:val="00262A27"/>
    <w:rsid w:val="00262BAD"/>
    <w:rsid w:val="00262CEB"/>
    <w:rsid w:val="00262E69"/>
    <w:rsid w:val="00263038"/>
    <w:rsid w:val="00263A20"/>
    <w:rsid w:val="00263B02"/>
    <w:rsid w:val="00263D8E"/>
    <w:rsid w:val="00263DD9"/>
    <w:rsid w:val="002643C7"/>
    <w:rsid w:val="002644F7"/>
    <w:rsid w:val="0026455A"/>
    <w:rsid w:val="0026468A"/>
    <w:rsid w:val="00264957"/>
    <w:rsid w:val="00264C28"/>
    <w:rsid w:val="00264CD3"/>
    <w:rsid w:val="0026509A"/>
    <w:rsid w:val="00265161"/>
    <w:rsid w:val="002651FC"/>
    <w:rsid w:val="00265701"/>
    <w:rsid w:val="00265E9A"/>
    <w:rsid w:val="00266210"/>
    <w:rsid w:val="00266427"/>
    <w:rsid w:val="00266F48"/>
    <w:rsid w:val="00267026"/>
    <w:rsid w:val="0026716C"/>
    <w:rsid w:val="00267959"/>
    <w:rsid w:val="00267D2F"/>
    <w:rsid w:val="00270C63"/>
    <w:rsid w:val="00270C70"/>
    <w:rsid w:val="00270C98"/>
    <w:rsid w:val="00270E57"/>
    <w:rsid w:val="00271738"/>
    <w:rsid w:val="00271885"/>
    <w:rsid w:val="0027193C"/>
    <w:rsid w:val="0027197B"/>
    <w:rsid w:val="00271B1E"/>
    <w:rsid w:val="00271EEF"/>
    <w:rsid w:val="0027242C"/>
    <w:rsid w:val="00272474"/>
    <w:rsid w:val="0027294C"/>
    <w:rsid w:val="00272D06"/>
    <w:rsid w:val="00272FEB"/>
    <w:rsid w:val="0027309D"/>
    <w:rsid w:val="00273759"/>
    <w:rsid w:val="002738C9"/>
    <w:rsid w:val="00273B2D"/>
    <w:rsid w:val="00273C14"/>
    <w:rsid w:val="00273CFB"/>
    <w:rsid w:val="0027406E"/>
    <w:rsid w:val="00274391"/>
    <w:rsid w:val="002745DA"/>
    <w:rsid w:val="002749C8"/>
    <w:rsid w:val="00274D08"/>
    <w:rsid w:val="00275266"/>
    <w:rsid w:val="00275435"/>
    <w:rsid w:val="00275464"/>
    <w:rsid w:val="0027568B"/>
    <w:rsid w:val="002756D5"/>
    <w:rsid w:val="002758B1"/>
    <w:rsid w:val="00275B8C"/>
    <w:rsid w:val="00276001"/>
    <w:rsid w:val="002764FB"/>
    <w:rsid w:val="00276BEE"/>
    <w:rsid w:val="00276DA8"/>
    <w:rsid w:val="00276EFA"/>
    <w:rsid w:val="00277076"/>
    <w:rsid w:val="002772FC"/>
    <w:rsid w:val="002774A1"/>
    <w:rsid w:val="00277E66"/>
    <w:rsid w:val="002801E2"/>
    <w:rsid w:val="002801FE"/>
    <w:rsid w:val="0028024B"/>
    <w:rsid w:val="0028052D"/>
    <w:rsid w:val="00280684"/>
    <w:rsid w:val="00280706"/>
    <w:rsid w:val="0028073A"/>
    <w:rsid w:val="00280851"/>
    <w:rsid w:val="00280960"/>
    <w:rsid w:val="00280C84"/>
    <w:rsid w:val="00280D6E"/>
    <w:rsid w:val="00281166"/>
    <w:rsid w:val="00281959"/>
    <w:rsid w:val="00281F0D"/>
    <w:rsid w:val="002821D2"/>
    <w:rsid w:val="002825CE"/>
    <w:rsid w:val="002826D0"/>
    <w:rsid w:val="00282872"/>
    <w:rsid w:val="0028298E"/>
    <w:rsid w:val="002829E8"/>
    <w:rsid w:val="00282FCA"/>
    <w:rsid w:val="00282FCB"/>
    <w:rsid w:val="0028316F"/>
    <w:rsid w:val="00283181"/>
    <w:rsid w:val="002832C5"/>
    <w:rsid w:val="002835A5"/>
    <w:rsid w:val="002836DC"/>
    <w:rsid w:val="00283D5A"/>
    <w:rsid w:val="00283D6B"/>
    <w:rsid w:val="002848AC"/>
    <w:rsid w:val="00284E7F"/>
    <w:rsid w:val="00284F04"/>
    <w:rsid w:val="002851CC"/>
    <w:rsid w:val="00285520"/>
    <w:rsid w:val="002855B4"/>
    <w:rsid w:val="00285894"/>
    <w:rsid w:val="00285E28"/>
    <w:rsid w:val="00286487"/>
    <w:rsid w:val="00286631"/>
    <w:rsid w:val="002867A1"/>
    <w:rsid w:val="00286B14"/>
    <w:rsid w:val="00286DD8"/>
    <w:rsid w:val="00286F76"/>
    <w:rsid w:val="00287376"/>
    <w:rsid w:val="002877DE"/>
    <w:rsid w:val="00287C28"/>
    <w:rsid w:val="00287EA3"/>
    <w:rsid w:val="00290006"/>
    <w:rsid w:val="0029006E"/>
    <w:rsid w:val="00290254"/>
    <w:rsid w:val="002904D2"/>
    <w:rsid w:val="0029111B"/>
    <w:rsid w:val="0029178D"/>
    <w:rsid w:val="0029178F"/>
    <w:rsid w:val="00291B01"/>
    <w:rsid w:val="0029209F"/>
    <w:rsid w:val="0029230A"/>
    <w:rsid w:val="0029267A"/>
    <w:rsid w:val="002928BD"/>
    <w:rsid w:val="00292F31"/>
    <w:rsid w:val="002933FB"/>
    <w:rsid w:val="00293504"/>
    <w:rsid w:val="002935D3"/>
    <w:rsid w:val="00293619"/>
    <w:rsid w:val="00293C4A"/>
    <w:rsid w:val="00293D2D"/>
    <w:rsid w:val="00293E70"/>
    <w:rsid w:val="002944CA"/>
    <w:rsid w:val="00294722"/>
    <w:rsid w:val="00294AB1"/>
    <w:rsid w:val="00295018"/>
    <w:rsid w:val="00295226"/>
    <w:rsid w:val="0029548C"/>
    <w:rsid w:val="00295539"/>
    <w:rsid w:val="00295C61"/>
    <w:rsid w:val="00295CB0"/>
    <w:rsid w:val="00295F1C"/>
    <w:rsid w:val="0029636B"/>
    <w:rsid w:val="002963EC"/>
    <w:rsid w:val="002965C5"/>
    <w:rsid w:val="00296E40"/>
    <w:rsid w:val="00296FD8"/>
    <w:rsid w:val="0029743A"/>
    <w:rsid w:val="00297499"/>
    <w:rsid w:val="002974AA"/>
    <w:rsid w:val="00297F46"/>
    <w:rsid w:val="002A0028"/>
    <w:rsid w:val="002A0581"/>
    <w:rsid w:val="002A05EF"/>
    <w:rsid w:val="002A0724"/>
    <w:rsid w:val="002A1737"/>
    <w:rsid w:val="002A1A57"/>
    <w:rsid w:val="002A1DA1"/>
    <w:rsid w:val="002A205B"/>
    <w:rsid w:val="002A207F"/>
    <w:rsid w:val="002A22F3"/>
    <w:rsid w:val="002A24F5"/>
    <w:rsid w:val="002A2546"/>
    <w:rsid w:val="002A2FE5"/>
    <w:rsid w:val="002A31FF"/>
    <w:rsid w:val="002A3389"/>
    <w:rsid w:val="002A33EB"/>
    <w:rsid w:val="002A3668"/>
    <w:rsid w:val="002A3771"/>
    <w:rsid w:val="002A3B12"/>
    <w:rsid w:val="002A3B6D"/>
    <w:rsid w:val="002A3CF2"/>
    <w:rsid w:val="002A4102"/>
    <w:rsid w:val="002A44FE"/>
    <w:rsid w:val="002A45E8"/>
    <w:rsid w:val="002A4603"/>
    <w:rsid w:val="002A4625"/>
    <w:rsid w:val="002A4918"/>
    <w:rsid w:val="002A4CD1"/>
    <w:rsid w:val="002A4E20"/>
    <w:rsid w:val="002A4EF2"/>
    <w:rsid w:val="002A4F4D"/>
    <w:rsid w:val="002A523D"/>
    <w:rsid w:val="002A5488"/>
    <w:rsid w:val="002A5D92"/>
    <w:rsid w:val="002A5FC1"/>
    <w:rsid w:val="002A60B6"/>
    <w:rsid w:val="002A6143"/>
    <w:rsid w:val="002A624D"/>
    <w:rsid w:val="002A66B1"/>
    <w:rsid w:val="002A6751"/>
    <w:rsid w:val="002A6BE7"/>
    <w:rsid w:val="002A6FDC"/>
    <w:rsid w:val="002A7234"/>
    <w:rsid w:val="002A732C"/>
    <w:rsid w:val="002A7364"/>
    <w:rsid w:val="002A7A6A"/>
    <w:rsid w:val="002A7AB4"/>
    <w:rsid w:val="002A7B72"/>
    <w:rsid w:val="002A7C3D"/>
    <w:rsid w:val="002A7CAF"/>
    <w:rsid w:val="002B0232"/>
    <w:rsid w:val="002B0322"/>
    <w:rsid w:val="002B0343"/>
    <w:rsid w:val="002B03D8"/>
    <w:rsid w:val="002B049E"/>
    <w:rsid w:val="002B07BF"/>
    <w:rsid w:val="002B0805"/>
    <w:rsid w:val="002B0C99"/>
    <w:rsid w:val="002B0EDA"/>
    <w:rsid w:val="002B10F9"/>
    <w:rsid w:val="002B183B"/>
    <w:rsid w:val="002B21D6"/>
    <w:rsid w:val="002B23AE"/>
    <w:rsid w:val="002B2AD4"/>
    <w:rsid w:val="002B2C92"/>
    <w:rsid w:val="002B2E5C"/>
    <w:rsid w:val="002B2F85"/>
    <w:rsid w:val="002B3081"/>
    <w:rsid w:val="002B318B"/>
    <w:rsid w:val="002B32BC"/>
    <w:rsid w:val="002B340B"/>
    <w:rsid w:val="002B347A"/>
    <w:rsid w:val="002B34AE"/>
    <w:rsid w:val="002B3BA5"/>
    <w:rsid w:val="002B3D90"/>
    <w:rsid w:val="002B4166"/>
    <w:rsid w:val="002B4208"/>
    <w:rsid w:val="002B4C39"/>
    <w:rsid w:val="002B5976"/>
    <w:rsid w:val="002B5A52"/>
    <w:rsid w:val="002B5FAF"/>
    <w:rsid w:val="002B6397"/>
    <w:rsid w:val="002B64FE"/>
    <w:rsid w:val="002B651D"/>
    <w:rsid w:val="002B6890"/>
    <w:rsid w:val="002B694E"/>
    <w:rsid w:val="002B6C2C"/>
    <w:rsid w:val="002B7095"/>
    <w:rsid w:val="002B786E"/>
    <w:rsid w:val="002C00D6"/>
    <w:rsid w:val="002C0107"/>
    <w:rsid w:val="002C0400"/>
    <w:rsid w:val="002C04C2"/>
    <w:rsid w:val="002C0818"/>
    <w:rsid w:val="002C0AC9"/>
    <w:rsid w:val="002C0BCD"/>
    <w:rsid w:val="002C0DD0"/>
    <w:rsid w:val="002C0E0A"/>
    <w:rsid w:val="002C1003"/>
    <w:rsid w:val="002C1366"/>
    <w:rsid w:val="002C1368"/>
    <w:rsid w:val="002C1DF1"/>
    <w:rsid w:val="002C203A"/>
    <w:rsid w:val="002C2502"/>
    <w:rsid w:val="002C2DCB"/>
    <w:rsid w:val="002C2E8A"/>
    <w:rsid w:val="002C2FCD"/>
    <w:rsid w:val="002C33D3"/>
    <w:rsid w:val="002C36D3"/>
    <w:rsid w:val="002C3AE4"/>
    <w:rsid w:val="002C3C99"/>
    <w:rsid w:val="002C3E89"/>
    <w:rsid w:val="002C43C3"/>
    <w:rsid w:val="002C4602"/>
    <w:rsid w:val="002C4798"/>
    <w:rsid w:val="002C4DFD"/>
    <w:rsid w:val="002C4E7D"/>
    <w:rsid w:val="002C539A"/>
    <w:rsid w:val="002C5533"/>
    <w:rsid w:val="002C55C7"/>
    <w:rsid w:val="002C5620"/>
    <w:rsid w:val="002C5A6B"/>
    <w:rsid w:val="002C5D7C"/>
    <w:rsid w:val="002C61E0"/>
    <w:rsid w:val="002C6F88"/>
    <w:rsid w:val="002C7014"/>
    <w:rsid w:val="002C782F"/>
    <w:rsid w:val="002C79E4"/>
    <w:rsid w:val="002C7B03"/>
    <w:rsid w:val="002C7B0D"/>
    <w:rsid w:val="002C7D31"/>
    <w:rsid w:val="002C7D95"/>
    <w:rsid w:val="002C7EC6"/>
    <w:rsid w:val="002D001E"/>
    <w:rsid w:val="002D0298"/>
    <w:rsid w:val="002D04DC"/>
    <w:rsid w:val="002D0657"/>
    <w:rsid w:val="002D09B3"/>
    <w:rsid w:val="002D0DAA"/>
    <w:rsid w:val="002D0E91"/>
    <w:rsid w:val="002D0F42"/>
    <w:rsid w:val="002D1371"/>
    <w:rsid w:val="002D13B7"/>
    <w:rsid w:val="002D15C0"/>
    <w:rsid w:val="002D2057"/>
    <w:rsid w:val="002D2615"/>
    <w:rsid w:val="002D2B4E"/>
    <w:rsid w:val="002D2E02"/>
    <w:rsid w:val="002D2EE7"/>
    <w:rsid w:val="002D3905"/>
    <w:rsid w:val="002D3968"/>
    <w:rsid w:val="002D3A66"/>
    <w:rsid w:val="002D425A"/>
    <w:rsid w:val="002D42E6"/>
    <w:rsid w:val="002D4322"/>
    <w:rsid w:val="002D4A54"/>
    <w:rsid w:val="002D4A85"/>
    <w:rsid w:val="002D4E37"/>
    <w:rsid w:val="002D52E0"/>
    <w:rsid w:val="002D59F6"/>
    <w:rsid w:val="002D5DEA"/>
    <w:rsid w:val="002D6127"/>
    <w:rsid w:val="002D62B2"/>
    <w:rsid w:val="002D68B2"/>
    <w:rsid w:val="002D68C3"/>
    <w:rsid w:val="002D6B9D"/>
    <w:rsid w:val="002D6C69"/>
    <w:rsid w:val="002D6F2B"/>
    <w:rsid w:val="002D6F89"/>
    <w:rsid w:val="002D7058"/>
    <w:rsid w:val="002D772F"/>
    <w:rsid w:val="002D7833"/>
    <w:rsid w:val="002D7E4D"/>
    <w:rsid w:val="002E018E"/>
    <w:rsid w:val="002E03E6"/>
    <w:rsid w:val="002E04F0"/>
    <w:rsid w:val="002E0661"/>
    <w:rsid w:val="002E086B"/>
    <w:rsid w:val="002E0A82"/>
    <w:rsid w:val="002E0D41"/>
    <w:rsid w:val="002E0E94"/>
    <w:rsid w:val="002E1154"/>
    <w:rsid w:val="002E16BC"/>
    <w:rsid w:val="002E1941"/>
    <w:rsid w:val="002E19BD"/>
    <w:rsid w:val="002E1A53"/>
    <w:rsid w:val="002E1ED8"/>
    <w:rsid w:val="002E21D5"/>
    <w:rsid w:val="002E251B"/>
    <w:rsid w:val="002E2846"/>
    <w:rsid w:val="002E2923"/>
    <w:rsid w:val="002E2A76"/>
    <w:rsid w:val="002E306D"/>
    <w:rsid w:val="002E314D"/>
    <w:rsid w:val="002E3257"/>
    <w:rsid w:val="002E339F"/>
    <w:rsid w:val="002E3624"/>
    <w:rsid w:val="002E3653"/>
    <w:rsid w:val="002E36AE"/>
    <w:rsid w:val="002E38B7"/>
    <w:rsid w:val="002E3A8B"/>
    <w:rsid w:val="002E3AA6"/>
    <w:rsid w:val="002E492F"/>
    <w:rsid w:val="002E4B7B"/>
    <w:rsid w:val="002E4C0E"/>
    <w:rsid w:val="002E501A"/>
    <w:rsid w:val="002E550C"/>
    <w:rsid w:val="002E58E1"/>
    <w:rsid w:val="002E5B55"/>
    <w:rsid w:val="002E5BDD"/>
    <w:rsid w:val="002E5C56"/>
    <w:rsid w:val="002E5CBA"/>
    <w:rsid w:val="002E679D"/>
    <w:rsid w:val="002E6AA0"/>
    <w:rsid w:val="002E7321"/>
    <w:rsid w:val="002E7894"/>
    <w:rsid w:val="002E7B2D"/>
    <w:rsid w:val="002E7C45"/>
    <w:rsid w:val="002F0045"/>
    <w:rsid w:val="002F00F0"/>
    <w:rsid w:val="002F025B"/>
    <w:rsid w:val="002F0675"/>
    <w:rsid w:val="002F0684"/>
    <w:rsid w:val="002F0A2A"/>
    <w:rsid w:val="002F0ADB"/>
    <w:rsid w:val="002F127C"/>
    <w:rsid w:val="002F13AA"/>
    <w:rsid w:val="002F153A"/>
    <w:rsid w:val="002F15C7"/>
    <w:rsid w:val="002F1BBA"/>
    <w:rsid w:val="002F23FC"/>
    <w:rsid w:val="002F29F5"/>
    <w:rsid w:val="002F2AE0"/>
    <w:rsid w:val="002F3074"/>
    <w:rsid w:val="002F3546"/>
    <w:rsid w:val="002F361A"/>
    <w:rsid w:val="002F3AAA"/>
    <w:rsid w:val="002F3F16"/>
    <w:rsid w:val="002F413F"/>
    <w:rsid w:val="002F4180"/>
    <w:rsid w:val="002F41C1"/>
    <w:rsid w:val="002F44AD"/>
    <w:rsid w:val="002F45D3"/>
    <w:rsid w:val="002F4934"/>
    <w:rsid w:val="002F4A52"/>
    <w:rsid w:val="002F4CF5"/>
    <w:rsid w:val="002F4FC5"/>
    <w:rsid w:val="002F5015"/>
    <w:rsid w:val="002F511A"/>
    <w:rsid w:val="002F5422"/>
    <w:rsid w:val="002F5634"/>
    <w:rsid w:val="002F5C10"/>
    <w:rsid w:val="002F5F14"/>
    <w:rsid w:val="002F5FDA"/>
    <w:rsid w:val="002F619C"/>
    <w:rsid w:val="002F6319"/>
    <w:rsid w:val="002F6527"/>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4ED"/>
    <w:rsid w:val="00300FC7"/>
    <w:rsid w:val="003011C0"/>
    <w:rsid w:val="003013FC"/>
    <w:rsid w:val="0030159E"/>
    <w:rsid w:val="00301927"/>
    <w:rsid w:val="00301A70"/>
    <w:rsid w:val="00301D96"/>
    <w:rsid w:val="00301EE4"/>
    <w:rsid w:val="003024AF"/>
    <w:rsid w:val="003024DE"/>
    <w:rsid w:val="003025A7"/>
    <w:rsid w:val="00302701"/>
    <w:rsid w:val="00302739"/>
    <w:rsid w:val="00302B0F"/>
    <w:rsid w:val="00302BD2"/>
    <w:rsid w:val="0030361B"/>
    <w:rsid w:val="003037DA"/>
    <w:rsid w:val="00303853"/>
    <w:rsid w:val="00303FB7"/>
    <w:rsid w:val="00304549"/>
    <w:rsid w:val="003048E8"/>
    <w:rsid w:val="00304AC5"/>
    <w:rsid w:val="00304D0C"/>
    <w:rsid w:val="00304FCA"/>
    <w:rsid w:val="00304FCC"/>
    <w:rsid w:val="00305372"/>
    <w:rsid w:val="003054BD"/>
    <w:rsid w:val="0030621C"/>
    <w:rsid w:val="00306306"/>
    <w:rsid w:val="003065FB"/>
    <w:rsid w:val="00306C47"/>
    <w:rsid w:val="00306F04"/>
    <w:rsid w:val="003075AA"/>
    <w:rsid w:val="0030775B"/>
    <w:rsid w:val="003079A2"/>
    <w:rsid w:val="00307B27"/>
    <w:rsid w:val="00307CA6"/>
    <w:rsid w:val="00307F28"/>
    <w:rsid w:val="0031006B"/>
    <w:rsid w:val="0031018C"/>
    <w:rsid w:val="003101DC"/>
    <w:rsid w:val="0031035A"/>
    <w:rsid w:val="003105FA"/>
    <w:rsid w:val="00310CC6"/>
    <w:rsid w:val="00311421"/>
    <w:rsid w:val="0031153C"/>
    <w:rsid w:val="00311642"/>
    <w:rsid w:val="00311761"/>
    <w:rsid w:val="00311941"/>
    <w:rsid w:val="00312064"/>
    <w:rsid w:val="003121B8"/>
    <w:rsid w:val="00312D94"/>
    <w:rsid w:val="003131CB"/>
    <w:rsid w:val="003137A0"/>
    <w:rsid w:val="003137ED"/>
    <w:rsid w:val="00313A44"/>
    <w:rsid w:val="00313A5E"/>
    <w:rsid w:val="00313B5E"/>
    <w:rsid w:val="00313C4F"/>
    <w:rsid w:val="00313FBA"/>
    <w:rsid w:val="00314176"/>
    <w:rsid w:val="003141C2"/>
    <w:rsid w:val="00314629"/>
    <w:rsid w:val="00314B7B"/>
    <w:rsid w:val="003150EA"/>
    <w:rsid w:val="00315744"/>
    <w:rsid w:val="0031599D"/>
    <w:rsid w:val="00315F72"/>
    <w:rsid w:val="00316035"/>
    <w:rsid w:val="00316072"/>
    <w:rsid w:val="003160FB"/>
    <w:rsid w:val="00316265"/>
    <w:rsid w:val="00316C58"/>
    <w:rsid w:val="00316CAB"/>
    <w:rsid w:val="00316E46"/>
    <w:rsid w:val="00317050"/>
    <w:rsid w:val="00317474"/>
    <w:rsid w:val="00317712"/>
    <w:rsid w:val="00317884"/>
    <w:rsid w:val="00317C8F"/>
    <w:rsid w:val="003200D5"/>
    <w:rsid w:val="00320312"/>
    <w:rsid w:val="00320B1B"/>
    <w:rsid w:val="00320F24"/>
    <w:rsid w:val="0032172E"/>
    <w:rsid w:val="00321822"/>
    <w:rsid w:val="00321974"/>
    <w:rsid w:val="00321B02"/>
    <w:rsid w:val="00321B2E"/>
    <w:rsid w:val="00322021"/>
    <w:rsid w:val="003222E4"/>
    <w:rsid w:val="00322483"/>
    <w:rsid w:val="00322722"/>
    <w:rsid w:val="00322929"/>
    <w:rsid w:val="00322A6A"/>
    <w:rsid w:val="00322BC3"/>
    <w:rsid w:val="00322DB8"/>
    <w:rsid w:val="00322E3B"/>
    <w:rsid w:val="0032350D"/>
    <w:rsid w:val="00323D12"/>
    <w:rsid w:val="00323FAD"/>
    <w:rsid w:val="00324010"/>
    <w:rsid w:val="003242C1"/>
    <w:rsid w:val="00324731"/>
    <w:rsid w:val="003249F8"/>
    <w:rsid w:val="00324DDB"/>
    <w:rsid w:val="00324F6C"/>
    <w:rsid w:val="00325C1C"/>
    <w:rsid w:val="00325C6E"/>
    <w:rsid w:val="00325CE9"/>
    <w:rsid w:val="0032649F"/>
    <w:rsid w:val="0032695B"/>
    <w:rsid w:val="00326BBA"/>
    <w:rsid w:val="003271E3"/>
    <w:rsid w:val="003272D0"/>
    <w:rsid w:val="003273DE"/>
    <w:rsid w:val="00327470"/>
    <w:rsid w:val="003278C7"/>
    <w:rsid w:val="0032793B"/>
    <w:rsid w:val="00327AEA"/>
    <w:rsid w:val="00327F11"/>
    <w:rsid w:val="003308C4"/>
    <w:rsid w:val="0033090C"/>
    <w:rsid w:val="00330C30"/>
    <w:rsid w:val="00330DE8"/>
    <w:rsid w:val="00330FA2"/>
    <w:rsid w:val="00331572"/>
    <w:rsid w:val="003317E8"/>
    <w:rsid w:val="00331B93"/>
    <w:rsid w:val="00331BCC"/>
    <w:rsid w:val="003321C3"/>
    <w:rsid w:val="00332962"/>
    <w:rsid w:val="00333229"/>
    <w:rsid w:val="003335DC"/>
    <w:rsid w:val="003336B7"/>
    <w:rsid w:val="00333FB4"/>
    <w:rsid w:val="00334678"/>
    <w:rsid w:val="00334799"/>
    <w:rsid w:val="00334B78"/>
    <w:rsid w:val="00334DF1"/>
    <w:rsid w:val="00335250"/>
    <w:rsid w:val="0033588B"/>
    <w:rsid w:val="0033592C"/>
    <w:rsid w:val="00335E2A"/>
    <w:rsid w:val="00336225"/>
    <w:rsid w:val="00336780"/>
    <w:rsid w:val="003367C5"/>
    <w:rsid w:val="003370D3"/>
    <w:rsid w:val="003377A3"/>
    <w:rsid w:val="003378A3"/>
    <w:rsid w:val="00337A57"/>
    <w:rsid w:val="00337C71"/>
    <w:rsid w:val="00340083"/>
    <w:rsid w:val="0034009A"/>
    <w:rsid w:val="00340369"/>
    <w:rsid w:val="00340E16"/>
    <w:rsid w:val="00340E58"/>
    <w:rsid w:val="00340F47"/>
    <w:rsid w:val="00341087"/>
    <w:rsid w:val="003413A1"/>
    <w:rsid w:val="0034142D"/>
    <w:rsid w:val="00341840"/>
    <w:rsid w:val="00341C23"/>
    <w:rsid w:val="00341CDF"/>
    <w:rsid w:val="00341D40"/>
    <w:rsid w:val="0034243C"/>
    <w:rsid w:val="0034246D"/>
    <w:rsid w:val="003426DE"/>
    <w:rsid w:val="00342BBF"/>
    <w:rsid w:val="00342BD6"/>
    <w:rsid w:val="00342E0A"/>
    <w:rsid w:val="0034305B"/>
    <w:rsid w:val="003430E0"/>
    <w:rsid w:val="00343187"/>
    <w:rsid w:val="00343752"/>
    <w:rsid w:val="00343963"/>
    <w:rsid w:val="00343C24"/>
    <w:rsid w:val="00343DA5"/>
    <w:rsid w:val="003444AD"/>
    <w:rsid w:val="00344725"/>
    <w:rsid w:val="0034511B"/>
    <w:rsid w:val="00345127"/>
    <w:rsid w:val="00345243"/>
    <w:rsid w:val="003454A2"/>
    <w:rsid w:val="003460F4"/>
    <w:rsid w:val="003460F6"/>
    <w:rsid w:val="0034666E"/>
    <w:rsid w:val="00346A3C"/>
    <w:rsid w:val="003471DC"/>
    <w:rsid w:val="0034745C"/>
    <w:rsid w:val="00347599"/>
    <w:rsid w:val="00347F2E"/>
    <w:rsid w:val="00350110"/>
    <w:rsid w:val="00350186"/>
    <w:rsid w:val="0035025F"/>
    <w:rsid w:val="003503F4"/>
    <w:rsid w:val="0035041A"/>
    <w:rsid w:val="003505AD"/>
    <w:rsid w:val="00350631"/>
    <w:rsid w:val="0035140A"/>
    <w:rsid w:val="0035180B"/>
    <w:rsid w:val="00351C98"/>
    <w:rsid w:val="00351DE5"/>
    <w:rsid w:val="00351EAA"/>
    <w:rsid w:val="00351FDB"/>
    <w:rsid w:val="0035216E"/>
    <w:rsid w:val="003522C9"/>
    <w:rsid w:val="0035265C"/>
    <w:rsid w:val="00352759"/>
    <w:rsid w:val="00352828"/>
    <w:rsid w:val="00352952"/>
    <w:rsid w:val="00352A91"/>
    <w:rsid w:val="00352CC9"/>
    <w:rsid w:val="00352DAE"/>
    <w:rsid w:val="00352FD6"/>
    <w:rsid w:val="003530A0"/>
    <w:rsid w:val="003531B0"/>
    <w:rsid w:val="0035325F"/>
    <w:rsid w:val="003532D2"/>
    <w:rsid w:val="00353318"/>
    <w:rsid w:val="00353591"/>
    <w:rsid w:val="003536BA"/>
    <w:rsid w:val="003536C6"/>
    <w:rsid w:val="003539B2"/>
    <w:rsid w:val="00353CC0"/>
    <w:rsid w:val="00353EE1"/>
    <w:rsid w:val="00353F9F"/>
    <w:rsid w:val="0035414B"/>
    <w:rsid w:val="0035414E"/>
    <w:rsid w:val="00354460"/>
    <w:rsid w:val="0035496D"/>
    <w:rsid w:val="00354DBF"/>
    <w:rsid w:val="003552C6"/>
    <w:rsid w:val="0035568A"/>
    <w:rsid w:val="00355A83"/>
    <w:rsid w:val="00355DD6"/>
    <w:rsid w:val="003560B8"/>
    <w:rsid w:val="003562D7"/>
    <w:rsid w:val="00356353"/>
    <w:rsid w:val="00356552"/>
    <w:rsid w:val="003567C9"/>
    <w:rsid w:val="003568A5"/>
    <w:rsid w:val="00356AB0"/>
    <w:rsid w:val="00356B3C"/>
    <w:rsid w:val="00356CEC"/>
    <w:rsid w:val="003572DE"/>
    <w:rsid w:val="003573EA"/>
    <w:rsid w:val="00357659"/>
    <w:rsid w:val="00357712"/>
    <w:rsid w:val="003579A1"/>
    <w:rsid w:val="00357D8A"/>
    <w:rsid w:val="003600B8"/>
    <w:rsid w:val="0036012E"/>
    <w:rsid w:val="003604BF"/>
    <w:rsid w:val="003604DB"/>
    <w:rsid w:val="0036056F"/>
    <w:rsid w:val="00360624"/>
    <w:rsid w:val="00360ABB"/>
    <w:rsid w:val="00361711"/>
    <w:rsid w:val="003617B5"/>
    <w:rsid w:val="0036185C"/>
    <w:rsid w:val="003621A7"/>
    <w:rsid w:val="00362514"/>
    <w:rsid w:val="0036262C"/>
    <w:rsid w:val="00362A2B"/>
    <w:rsid w:val="00362C5A"/>
    <w:rsid w:val="003630B8"/>
    <w:rsid w:val="00363984"/>
    <w:rsid w:val="00363EE9"/>
    <w:rsid w:val="00364A63"/>
    <w:rsid w:val="003654DA"/>
    <w:rsid w:val="003659CC"/>
    <w:rsid w:val="00366165"/>
    <w:rsid w:val="00367D2F"/>
    <w:rsid w:val="003700A7"/>
    <w:rsid w:val="00370285"/>
    <w:rsid w:val="003704EE"/>
    <w:rsid w:val="00370880"/>
    <w:rsid w:val="00370915"/>
    <w:rsid w:val="00370AB5"/>
    <w:rsid w:val="00370EFD"/>
    <w:rsid w:val="00371137"/>
    <w:rsid w:val="0037125D"/>
    <w:rsid w:val="00371730"/>
    <w:rsid w:val="00371766"/>
    <w:rsid w:val="0037180A"/>
    <w:rsid w:val="00371831"/>
    <w:rsid w:val="003719F5"/>
    <w:rsid w:val="00371CF9"/>
    <w:rsid w:val="00372029"/>
    <w:rsid w:val="003723D0"/>
    <w:rsid w:val="003724A1"/>
    <w:rsid w:val="00372A6B"/>
    <w:rsid w:val="00372B3E"/>
    <w:rsid w:val="00372FD7"/>
    <w:rsid w:val="003730EA"/>
    <w:rsid w:val="00373BD4"/>
    <w:rsid w:val="00373E10"/>
    <w:rsid w:val="00373F2C"/>
    <w:rsid w:val="0037406C"/>
    <w:rsid w:val="003741D2"/>
    <w:rsid w:val="003744CB"/>
    <w:rsid w:val="00374804"/>
    <w:rsid w:val="00374C90"/>
    <w:rsid w:val="00374F06"/>
    <w:rsid w:val="00374F99"/>
    <w:rsid w:val="00375FFC"/>
    <w:rsid w:val="0037637C"/>
    <w:rsid w:val="003764FA"/>
    <w:rsid w:val="0037664D"/>
    <w:rsid w:val="00376778"/>
    <w:rsid w:val="003769B8"/>
    <w:rsid w:val="00376CD6"/>
    <w:rsid w:val="00376E52"/>
    <w:rsid w:val="0037709A"/>
    <w:rsid w:val="00377146"/>
    <w:rsid w:val="00377397"/>
    <w:rsid w:val="0037743F"/>
    <w:rsid w:val="003774FD"/>
    <w:rsid w:val="003775BD"/>
    <w:rsid w:val="003778EB"/>
    <w:rsid w:val="0038072E"/>
    <w:rsid w:val="0038084F"/>
    <w:rsid w:val="00380892"/>
    <w:rsid w:val="003809DC"/>
    <w:rsid w:val="00381079"/>
    <w:rsid w:val="00381685"/>
    <w:rsid w:val="00381918"/>
    <w:rsid w:val="003821E7"/>
    <w:rsid w:val="0038227A"/>
    <w:rsid w:val="003823F9"/>
    <w:rsid w:val="00382425"/>
    <w:rsid w:val="0038245B"/>
    <w:rsid w:val="003827B3"/>
    <w:rsid w:val="00382903"/>
    <w:rsid w:val="003830C3"/>
    <w:rsid w:val="00383483"/>
    <w:rsid w:val="00383D4B"/>
    <w:rsid w:val="00383DDB"/>
    <w:rsid w:val="003842A8"/>
    <w:rsid w:val="0038437A"/>
    <w:rsid w:val="00384506"/>
    <w:rsid w:val="003848D9"/>
    <w:rsid w:val="00385192"/>
    <w:rsid w:val="003852CC"/>
    <w:rsid w:val="00385367"/>
    <w:rsid w:val="0038556E"/>
    <w:rsid w:val="003856A4"/>
    <w:rsid w:val="003856BE"/>
    <w:rsid w:val="00385823"/>
    <w:rsid w:val="00385BD7"/>
    <w:rsid w:val="00386216"/>
    <w:rsid w:val="0038628D"/>
    <w:rsid w:val="003862D5"/>
    <w:rsid w:val="00386457"/>
    <w:rsid w:val="00386A15"/>
    <w:rsid w:val="00386B71"/>
    <w:rsid w:val="00386EB4"/>
    <w:rsid w:val="00386FB4"/>
    <w:rsid w:val="00386FEA"/>
    <w:rsid w:val="0038702D"/>
    <w:rsid w:val="003870BC"/>
    <w:rsid w:val="0038732E"/>
    <w:rsid w:val="00387675"/>
    <w:rsid w:val="00387771"/>
    <w:rsid w:val="00387B2B"/>
    <w:rsid w:val="0039043E"/>
    <w:rsid w:val="003904B1"/>
    <w:rsid w:val="003907D2"/>
    <w:rsid w:val="00390837"/>
    <w:rsid w:val="00390B41"/>
    <w:rsid w:val="00390B8F"/>
    <w:rsid w:val="00390C56"/>
    <w:rsid w:val="00390E89"/>
    <w:rsid w:val="0039122C"/>
    <w:rsid w:val="0039124D"/>
    <w:rsid w:val="003914C2"/>
    <w:rsid w:val="00391688"/>
    <w:rsid w:val="00391A92"/>
    <w:rsid w:val="003926BE"/>
    <w:rsid w:val="00392C9B"/>
    <w:rsid w:val="00392DB8"/>
    <w:rsid w:val="00392E8F"/>
    <w:rsid w:val="00392FA4"/>
    <w:rsid w:val="0039383E"/>
    <w:rsid w:val="00393B78"/>
    <w:rsid w:val="00393CEC"/>
    <w:rsid w:val="00393E7D"/>
    <w:rsid w:val="00393FA8"/>
    <w:rsid w:val="003941AC"/>
    <w:rsid w:val="00394775"/>
    <w:rsid w:val="00394927"/>
    <w:rsid w:val="00394928"/>
    <w:rsid w:val="00394B44"/>
    <w:rsid w:val="00394B72"/>
    <w:rsid w:val="0039502C"/>
    <w:rsid w:val="00395094"/>
    <w:rsid w:val="00395140"/>
    <w:rsid w:val="003956CC"/>
    <w:rsid w:val="003956DF"/>
    <w:rsid w:val="003956FE"/>
    <w:rsid w:val="0039598F"/>
    <w:rsid w:val="003960D5"/>
    <w:rsid w:val="0039610F"/>
    <w:rsid w:val="00396639"/>
    <w:rsid w:val="0039665F"/>
    <w:rsid w:val="003967AB"/>
    <w:rsid w:val="00396E4A"/>
    <w:rsid w:val="00397464"/>
    <w:rsid w:val="00397514"/>
    <w:rsid w:val="0039780E"/>
    <w:rsid w:val="003978B8"/>
    <w:rsid w:val="00397B96"/>
    <w:rsid w:val="00397BCB"/>
    <w:rsid w:val="00397C89"/>
    <w:rsid w:val="00397DD1"/>
    <w:rsid w:val="003A0152"/>
    <w:rsid w:val="003A02E0"/>
    <w:rsid w:val="003A0311"/>
    <w:rsid w:val="003A0736"/>
    <w:rsid w:val="003A07F5"/>
    <w:rsid w:val="003A0BFC"/>
    <w:rsid w:val="003A0EB1"/>
    <w:rsid w:val="003A1135"/>
    <w:rsid w:val="003A1341"/>
    <w:rsid w:val="003A162C"/>
    <w:rsid w:val="003A19E0"/>
    <w:rsid w:val="003A1DD5"/>
    <w:rsid w:val="003A1FF3"/>
    <w:rsid w:val="003A2019"/>
    <w:rsid w:val="003A2811"/>
    <w:rsid w:val="003A2D39"/>
    <w:rsid w:val="003A2E54"/>
    <w:rsid w:val="003A2EBA"/>
    <w:rsid w:val="003A2FE7"/>
    <w:rsid w:val="003A392F"/>
    <w:rsid w:val="003A3A27"/>
    <w:rsid w:val="003A42BB"/>
    <w:rsid w:val="003A44E3"/>
    <w:rsid w:val="003A45FB"/>
    <w:rsid w:val="003A48FC"/>
    <w:rsid w:val="003A4E82"/>
    <w:rsid w:val="003A5167"/>
    <w:rsid w:val="003A590E"/>
    <w:rsid w:val="003A5C66"/>
    <w:rsid w:val="003A6330"/>
    <w:rsid w:val="003A67EA"/>
    <w:rsid w:val="003A6A9D"/>
    <w:rsid w:val="003A6BC9"/>
    <w:rsid w:val="003A6F54"/>
    <w:rsid w:val="003A76A9"/>
    <w:rsid w:val="003A7747"/>
    <w:rsid w:val="003B00CC"/>
    <w:rsid w:val="003B0299"/>
    <w:rsid w:val="003B034A"/>
    <w:rsid w:val="003B03CC"/>
    <w:rsid w:val="003B0434"/>
    <w:rsid w:val="003B0901"/>
    <w:rsid w:val="003B0B4D"/>
    <w:rsid w:val="003B0F9B"/>
    <w:rsid w:val="003B1046"/>
    <w:rsid w:val="003B1087"/>
    <w:rsid w:val="003B1422"/>
    <w:rsid w:val="003B14B8"/>
    <w:rsid w:val="003B1575"/>
    <w:rsid w:val="003B1600"/>
    <w:rsid w:val="003B188F"/>
    <w:rsid w:val="003B1CC2"/>
    <w:rsid w:val="003B21B1"/>
    <w:rsid w:val="003B2B79"/>
    <w:rsid w:val="003B2D13"/>
    <w:rsid w:val="003B2E54"/>
    <w:rsid w:val="003B31F9"/>
    <w:rsid w:val="003B4482"/>
    <w:rsid w:val="003B49B6"/>
    <w:rsid w:val="003B4D20"/>
    <w:rsid w:val="003B4E9A"/>
    <w:rsid w:val="003B4FC5"/>
    <w:rsid w:val="003B5043"/>
    <w:rsid w:val="003B521B"/>
    <w:rsid w:val="003B55AA"/>
    <w:rsid w:val="003B570F"/>
    <w:rsid w:val="003B5B57"/>
    <w:rsid w:val="003B5B7E"/>
    <w:rsid w:val="003B5E30"/>
    <w:rsid w:val="003B5EB9"/>
    <w:rsid w:val="003B60B0"/>
    <w:rsid w:val="003B6194"/>
    <w:rsid w:val="003B674F"/>
    <w:rsid w:val="003B67A0"/>
    <w:rsid w:val="003B6F75"/>
    <w:rsid w:val="003B6FCB"/>
    <w:rsid w:val="003B7020"/>
    <w:rsid w:val="003B7271"/>
    <w:rsid w:val="003B7294"/>
    <w:rsid w:val="003B76FE"/>
    <w:rsid w:val="003C009A"/>
    <w:rsid w:val="003C02B2"/>
    <w:rsid w:val="003C07D7"/>
    <w:rsid w:val="003C0985"/>
    <w:rsid w:val="003C0D37"/>
    <w:rsid w:val="003C0E0C"/>
    <w:rsid w:val="003C16F5"/>
    <w:rsid w:val="003C1836"/>
    <w:rsid w:val="003C1A16"/>
    <w:rsid w:val="003C1EC9"/>
    <w:rsid w:val="003C2B4A"/>
    <w:rsid w:val="003C2C9D"/>
    <w:rsid w:val="003C3204"/>
    <w:rsid w:val="003C368F"/>
    <w:rsid w:val="003C3B73"/>
    <w:rsid w:val="003C3D8B"/>
    <w:rsid w:val="003C3EB2"/>
    <w:rsid w:val="003C4250"/>
    <w:rsid w:val="003C450C"/>
    <w:rsid w:val="003C4952"/>
    <w:rsid w:val="003C4D16"/>
    <w:rsid w:val="003C4D8C"/>
    <w:rsid w:val="003C4F25"/>
    <w:rsid w:val="003C57B5"/>
    <w:rsid w:val="003C5DDF"/>
    <w:rsid w:val="003C6580"/>
    <w:rsid w:val="003C6674"/>
    <w:rsid w:val="003C72F6"/>
    <w:rsid w:val="003C7459"/>
    <w:rsid w:val="003C78C0"/>
    <w:rsid w:val="003C79A4"/>
    <w:rsid w:val="003C7D16"/>
    <w:rsid w:val="003C7E0D"/>
    <w:rsid w:val="003D070C"/>
    <w:rsid w:val="003D075A"/>
    <w:rsid w:val="003D09DA"/>
    <w:rsid w:val="003D0A97"/>
    <w:rsid w:val="003D0D75"/>
    <w:rsid w:val="003D0E68"/>
    <w:rsid w:val="003D0ED9"/>
    <w:rsid w:val="003D124C"/>
    <w:rsid w:val="003D15C3"/>
    <w:rsid w:val="003D2050"/>
    <w:rsid w:val="003D2339"/>
    <w:rsid w:val="003D26AA"/>
    <w:rsid w:val="003D270E"/>
    <w:rsid w:val="003D2802"/>
    <w:rsid w:val="003D29DE"/>
    <w:rsid w:val="003D2A2B"/>
    <w:rsid w:val="003D2AFE"/>
    <w:rsid w:val="003D30C7"/>
    <w:rsid w:val="003D39A6"/>
    <w:rsid w:val="003D3E0E"/>
    <w:rsid w:val="003D3E74"/>
    <w:rsid w:val="003D41AC"/>
    <w:rsid w:val="003D4330"/>
    <w:rsid w:val="003D4350"/>
    <w:rsid w:val="003D4409"/>
    <w:rsid w:val="003D47C1"/>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6B49"/>
    <w:rsid w:val="003D6D0C"/>
    <w:rsid w:val="003D6F9B"/>
    <w:rsid w:val="003D7078"/>
    <w:rsid w:val="003D75D3"/>
    <w:rsid w:val="003D78D5"/>
    <w:rsid w:val="003D79E8"/>
    <w:rsid w:val="003E0133"/>
    <w:rsid w:val="003E0862"/>
    <w:rsid w:val="003E089F"/>
    <w:rsid w:val="003E0A9F"/>
    <w:rsid w:val="003E0ADB"/>
    <w:rsid w:val="003E0CE4"/>
    <w:rsid w:val="003E125F"/>
    <w:rsid w:val="003E1274"/>
    <w:rsid w:val="003E1304"/>
    <w:rsid w:val="003E1748"/>
    <w:rsid w:val="003E18B7"/>
    <w:rsid w:val="003E1CF4"/>
    <w:rsid w:val="003E240A"/>
    <w:rsid w:val="003E2719"/>
    <w:rsid w:val="003E2896"/>
    <w:rsid w:val="003E2B8B"/>
    <w:rsid w:val="003E2BF4"/>
    <w:rsid w:val="003E2E52"/>
    <w:rsid w:val="003E31BF"/>
    <w:rsid w:val="003E3245"/>
    <w:rsid w:val="003E33B8"/>
    <w:rsid w:val="003E34E1"/>
    <w:rsid w:val="003E3524"/>
    <w:rsid w:val="003E3C5B"/>
    <w:rsid w:val="003E3D11"/>
    <w:rsid w:val="003E40B3"/>
    <w:rsid w:val="003E40C9"/>
    <w:rsid w:val="003E4CDB"/>
    <w:rsid w:val="003E4E35"/>
    <w:rsid w:val="003E5195"/>
    <w:rsid w:val="003E52EB"/>
    <w:rsid w:val="003E5CA0"/>
    <w:rsid w:val="003E60F2"/>
    <w:rsid w:val="003E6279"/>
    <w:rsid w:val="003E6592"/>
    <w:rsid w:val="003E7014"/>
    <w:rsid w:val="003E703E"/>
    <w:rsid w:val="003E73BC"/>
    <w:rsid w:val="003E740A"/>
    <w:rsid w:val="003E7A02"/>
    <w:rsid w:val="003E7A07"/>
    <w:rsid w:val="003F0656"/>
    <w:rsid w:val="003F08C9"/>
    <w:rsid w:val="003F0905"/>
    <w:rsid w:val="003F0FD9"/>
    <w:rsid w:val="003F16E1"/>
    <w:rsid w:val="003F184C"/>
    <w:rsid w:val="003F1B6D"/>
    <w:rsid w:val="003F1D73"/>
    <w:rsid w:val="003F20E2"/>
    <w:rsid w:val="003F2159"/>
    <w:rsid w:val="003F2244"/>
    <w:rsid w:val="003F23A7"/>
    <w:rsid w:val="003F2544"/>
    <w:rsid w:val="003F2564"/>
    <w:rsid w:val="003F2624"/>
    <w:rsid w:val="003F2711"/>
    <w:rsid w:val="003F2876"/>
    <w:rsid w:val="003F298B"/>
    <w:rsid w:val="003F2A56"/>
    <w:rsid w:val="003F30AD"/>
    <w:rsid w:val="003F3197"/>
    <w:rsid w:val="003F3865"/>
    <w:rsid w:val="003F4933"/>
    <w:rsid w:val="003F4977"/>
    <w:rsid w:val="003F4E1C"/>
    <w:rsid w:val="003F4E39"/>
    <w:rsid w:val="003F5088"/>
    <w:rsid w:val="003F536B"/>
    <w:rsid w:val="003F5651"/>
    <w:rsid w:val="003F580C"/>
    <w:rsid w:val="003F586D"/>
    <w:rsid w:val="003F5DE6"/>
    <w:rsid w:val="003F60EF"/>
    <w:rsid w:val="003F62B4"/>
    <w:rsid w:val="003F63ED"/>
    <w:rsid w:val="003F6853"/>
    <w:rsid w:val="003F6930"/>
    <w:rsid w:val="003F6AF9"/>
    <w:rsid w:val="003F6F1A"/>
    <w:rsid w:val="003F6F25"/>
    <w:rsid w:val="003F73A0"/>
    <w:rsid w:val="003F75DD"/>
    <w:rsid w:val="003F7DFF"/>
    <w:rsid w:val="00400147"/>
    <w:rsid w:val="0040015E"/>
    <w:rsid w:val="00400427"/>
    <w:rsid w:val="004004C1"/>
    <w:rsid w:val="0040067F"/>
    <w:rsid w:val="0040079A"/>
    <w:rsid w:val="00400906"/>
    <w:rsid w:val="00400F4B"/>
    <w:rsid w:val="00401081"/>
    <w:rsid w:val="004010CF"/>
    <w:rsid w:val="004012FA"/>
    <w:rsid w:val="00401360"/>
    <w:rsid w:val="0040145F"/>
    <w:rsid w:val="00401612"/>
    <w:rsid w:val="004017C6"/>
    <w:rsid w:val="004024AB"/>
    <w:rsid w:val="00402F2C"/>
    <w:rsid w:val="0040303D"/>
    <w:rsid w:val="0040326F"/>
    <w:rsid w:val="004032D2"/>
    <w:rsid w:val="0040379F"/>
    <w:rsid w:val="00403805"/>
    <w:rsid w:val="00403824"/>
    <w:rsid w:val="00403AFF"/>
    <w:rsid w:val="00403F25"/>
    <w:rsid w:val="004044F8"/>
    <w:rsid w:val="0040495B"/>
    <w:rsid w:val="00404AE9"/>
    <w:rsid w:val="00405076"/>
    <w:rsid w:val="0040513F"/>
    <w:rsid w:val="00405194"/>
    <w:rsid w:val="00405476"/>
    <w:rsid w:val="00405859"/>
    <w:rsid w:val="00405898"/>
    <w:rsid w:val="00405BAA"/>
    <w:rsid w:val="00405D95"/>
    <w:rsid w:val="00405F90"/>
    <w:rsid w:val="00406108"/>
    <w:rsid w:val="00406116"/>
    <w:rsid w:val="00406412"/>
    <w:rsid w:val="0040651D"/>
    <w:rsid w:val="00406F4B"/>
    <w:rsid w:val="00406FBD"/>
    <w:rsid w:val="00407186"/>
    <w:rsid w:val="004073B0"/>
    <w:rsid w:val="00407455"/>
    <w:rsid w:val="0040752A"/>
    <w:rsid w:val="00407612"/>
    <w:rsid w:val="00407A66"/>
    <w:rsid w:val="00407C9E"/>
    <w:rsid w:val="0041029D"/>
    <w:rsid w:val="00410C05"/>
    <w:rsid w:val="00410C87"/>
    <w:rsid w:val="00411230"/>
    <w:rsid w:val="00411304"/>
    <w:rsid w:val="004118C9"/>
    <w:rsid w:val="0041195D"/>
    <w:rsid w:val="00411B43"/>
    <w:rsid w:val="00412045"/>
    <w:rsid w:val="0041209A"/>
    <w:rsid w:val="00412697"/>
    <w:rsid w:val="00412E2A"/>
    <w:rsid w:val="00412E96"/>
    <w:rsid w:val="00412F8D"/>
    <w:rsid w:val="00413369"/>
    <w:rsid w:val="00413681"/>
    <w:rsid w:val="00413E02"/>
    <w:rsid w:val="00414129"/>
    <w:rsid w:val="004145AE"/>
    <w:rsid w:val="0041560E"/>
    <w:rsid w:val="0041577E"/>
    <w:rsid w:val="004157F6"/>
    <w:rsid w:val="004158F3"/>
    <w:rsid w:val="004159D3"/>
    <w:rsid w:val="00415A14"/>
    <w:rsid w:val="0041616C"/>
    <w:rsid w:val="0041620F"/>
    <w:rsid w:val="00416845"/>
    <w:rsid w:val="00416A66"/>
    <w:rsid w:val="00416DCB"/>
    <w:rsid w:val="00417678"/>
    <w:rsid w:val="0041769B"/>
    <w:rsid w:val="0041789F"/>
    <w:rsid w:val="004179D3"/>
    <w:rsid w:val="00417A7A"/>
    <w:rsid w:val="004200C1"/>
    <w:rsid w:val="00420126"/>
    <w:rsid w:val="00420294"/>
    <w:rsid w:val="004203CF"/>
    <w:rsid w:val="0042041C"/>
    <w:rsid w:val="004205B8"/>
    <w:rsid w:val="00420755"/>
    <w:rsid w:val="00420CB7"/>
    <w:rsid w:val="00420F26"/>
    <w:rsid w:val="00421078"/>
    <w:rsid w:val="0042110F"/>
    <w:rsid w:val="004213E8"/>
    <w:rsid w:val="0042149F"/>
    <w:rsid w:val="0042156E"/>
    <w:rsid w:val="00421640"/>
    <w:rsid w:val="004216A1"/>
    <w:rsid w:val="00421EC5"/>
    <w:rsid w:val="004222BF"/>
    <w:rsid w:val="00422399"/>
    <w:rsid w:val="004225E8"/>
    <w:rsid w:val="004228B8"/>
    <w:rsid w:val="00422904"/>
    <w:rsid w:val="00422A01"/>
    <w:rsid w:val="00422C78"/>
    <w:rsid w:val="00422DB5"/>
    <w:rsid w:val="0042307B"/>
    <w:rsid w:val="00423164"/>
    <w:rsid w:val="00423326"/>
    <w:rsid w:val="00423E24"/>
    <w:rsid w:val="00423FC4"/>
    <w:rsid w:val="004249D0"/>
    <w:rsid w:val="00424A6A"/>
    <w:rsid w:val="00424C34"/>
    <w:rsid w:val="00425476"/>
    <w:rsid w:val="00425771"/>
    <w:rsid w:val="00425B4E"/>
    <w:rsid w:val="00425C97"/>
    <w:rsid w:val="00425FFD"/>
    <w:rsid w:val="00426032"/>
    <w:rsid w:val="004262F8"/>
    <w:rsid w:val="00426442"/>
    <w:rsid w:val="0042654A"/>
    <w:rsid w:val="00426A93"/>
    <w:rsid w:val="00426DFA"/>
    <w:rsid w:val="00427300"/>
    <w:rsid w:val="004276E3"/>
    <w:rsid w:val="004279ED"/>
    <w:rsid w:val="00427E67"/>
    <w:rsid w:val="00430178"/>
    <w:rsid w:val="00430431"/>
    <w:rsid w:val="00430495"/>
    <w:rsid w:val="00430680"/>
    <w:rsid w:val="00430773"/>
    <w:rsid w:val="004307F8"/>
    <w:rsid w:val="00430A72"/>
    <w:rsid w:val="00430FB9"/>
    <w:rsid w:val="004314E7"/>
    <w:rsid w:val="0043189C"/>
    <w:rsid w:val="00431A83"/>
    <w:rsid w:val="00431CB1"/>
    <w:rsid w:val="00431DB5"/>
    <w:rsid w:val="0043209C"/>
    <w:rsid w:val="004326CF"/>
    <w:rsid w:val="0043270B"/>
    <w:rsid w:val="00432780"/>
    <w:rsid w:val="00432C13"/>
    <w:rsid w:val="00432DB9"/>
    <w:rsid w:val="00432DF0"/>
    <w:rsid w:val="00432E64"/>
    <w:rsid w:val="00432F8F"/>
    <w:rsid w:val="00432F9E"/>
    <w:rsid w:val="00433106"/>
    <w:rsid w:val="004331E0"/>
    <w:rsid w:val="004338F7"/>
    <w:rsid w:val="00433C6F"/>
    <w:rsid w:val="00433D17"/>
    <w:rsid w:val="00433D56"/>
    <w:rsid w:val="00433F82"/>
    <w:rsid w:val="0043417D"/>
    <w:rsid w:val="0043441F"/>
    <w:rsid w:val="00434583"/>
    <w:rsid w:val="00434754"/>
    <w:rsid w:val="0043480E"/>
    <w:rsid w:val="004348B9"/>
    <w:rsid w:val="00434A45"/>
    <w:rsid w:val="00434D46"/>
    <w:rsid w:val="00435248"/>
    <w:rsid w:val="004353C1"/>
    <w:rsid w:val="0043542F"/>
    <w:rsid w:val="004355EB"/>
    <w:rsid w:val="00435602"/>
    <w:rsid w:val="004356FA"/>
    <w:rsid w:val="00435CCF"/>
    <w:rsid w:val="00436A3B"/>
    <w:rsid w:val="00436CA7"/>
    <w:rsid w:val="00436F2C"/>
    <w:rsid w:val="00437027"/>
    <w:rsid w:val="004370A3"/>
    <w:rsid w:val="004370C7"/>
    <w:rsid w:val="004371AB"/>
    <w:rsid w:val="00437B3D"/>
    <w:rsid w:val="004402A7"/>
    <w:rsid w:val="0044035D"/>
    <w:rsid w:val="004403B3"/>
    <w:rsid w:val="00440EA5"/>
    <w:rsid w:val="00440EBC"/>
    <w:rsid w:val="0044131C"/>
    <w:rsid w:val="0044142F"/>
    <w:rsid w:val="00441729"/>
    <w:rsid w:val="00441D86"/>
    <w:rsid w:val="004423B8"/>
    <w:rsid w:val="004425C2"/>
    <w:rsid w:val="00442824"/>
    <w:rsid w:val="00442942"/>
    <w:rsid w:val="00442DCF"/>
    <w:rsid w:val="00442FFB"/>
    <w:rsid w:val="004430FD"/>
    <w:rsid w:val="0044335B"/>
    <w:rsid w:val="004442A7"/>
    <w:rsid w:val="004448DE"/>
    <w:rsid w:val="00444901"/>
    <w:rsid w:val="00444934"/>
    <w:rsid w:val="00444F5E"/>
    <w:rsid w:val="00444FF7"/>
    <w:rsid w:val="0044540F"/>
    <w:rsid w:val="00445494"/>
    <w:rsid w:val="00445513"/>
    <w:rsid w:val="00445907"/>
    <w:rsid w:val="00445CFF"/>
    <w:rsid w:val="00445E2C"/>
    <w:rsid w:val="00446087"/>
    <w:rsid w:val="004462AF"/>
    <w:rsid w:val="004464DB"/>
    <w:rsid w:val="00446505"/>
    <w:rsid w:val="0044662A"/>
    <w:rsid w:val="0044666E"/>
    <w:rsid w:val="00446B69"/>
    <w:rsid w:val="00447134"/>
    <w:rsid w:val="00447486"/>
    <w:rsid w:val="0044782A"/>
    <w:rsid w:val="004501F5"/>
    <w:rsid w:val="00450778"/>
    <w:rsid w:val="00450D3B"/>
    <w:rsid w:val="004517CD"/>
    <w:rsid w:val="004518D5"/>
    <w:rsid w:val="004519BF"/>
    <w:rsid w:val="00451A88"/>
    <w:rsid w:val="00451B06"/>
    <w:rsid w:val="00451B73"/>
    <w:rsid w:val="00451BEB"/>
    <w:rsid w:val="004525E6"/>
    <w:rsid w:val="004527C0"/>
    <w:rsid w:val="00453058"/>
    <w:rsid w:val="00453871"/>
    <w:rsid w:val="00453DEF"/>
    <w:rsid w:val="00453E84"/>
    <w:rsid w:val="00453F94"/>
    <w:rsid w:val="004543E4"/>
    <w:rsid w:val="004546B1"/>
    <w:rsid w:val="004548E5"/>
    <w:rsid w:val="00454F08"/>
    <w:rsid w:val="0045501A"/>
    <w:rsid w:val="00455105"/>
    <w:rsid w:val="00455440"/>
    <w:rsid w:val="0045567E"/>
    <w:rsid w:val="00455838"/>
    <w:rsid w:val="00455C09"/>
    <w:rsid w:val="004560D9"/>
    <w:rsid w:val="00456114"/>
    <w:rsid w:val="0045675A"/>
    <w:rsid w:val="00456971"/>
    <w:rsid w:val="00456B9B"/>
    <w:rsid w:val="00456C51"/>
    <w:rsid w:val="0045742D"/>
    <w:rsid w:val="00457983"/>
    <w:rsid w:val="00457C5E"/>
    <w:rsid w:val="00457CAA"/>
    <w:rsid w:val="00457E0E"/>
    <w:rsid w:val="00457FB9"/>
    <w:rsid w:val="0046026D"/>
    <w:rsid w:val="0046027A"/>
    <w:rsid w:val="004603F1"/>
    <w:rsid w:val="004605CC"/>
    <w:rsid w:val="0046072D"/>
    <w:rsid w:val="004607B0"/>
    <w:rsid w:val="00460894"/>
    <w:rsid w:val="00460921"/>
    <w:rsid w:val="00460958"/>
    <w:rsid w:val="004609F3"/>
    <w:rsid w:val="00460A81"/>
    <w:rsid w:val="0046110A"/>
    <w:rsid w:val="004612C8"/>
    <w:rsid w:val="004614A1"/>
    <w:rsid w:val="004614BB"/>
    <w:rsid w:val="0046164D"/>
    <w:rsid w:val="004616E5"/>
    <w:rsid w:val="004616FF"/>
    <w:rsid w:val="004617A0"/>
    <w:rsid w:val="0046194F"/>
    <w:rsid w:val="00461C00"/>
    <w:rsid w:val="00461C5D"/>
    <w:rsid w:val="00461DF8"/>
    <w:rsid w:val="00461F05"/>
    <w:rsid w:val="004622A1"/>
    <w:rsid w:val="004622D0"/>
    <w:rsid w:val="00462420"/>
    <w:rsid w:val="0046267C"/>
    <w:rsid w:val="00462A9C"/>
    <w:rsid w:val="00462B09"/>
    <w:rsid w:val="00462B29"/>
    <w:rsid w:val="00462EF1"/>
    <w:rsid w:val="00462FC4"/>
    <w:rsid w:val="00463303"/>
    <w:rsid w:val="00463448"/>
    <w:rsid w:val="00463940"/>
    <w:rsid w:val="00463AC1"/>
    <w:rsid w:val="00464130"/>
    <w:rsid w:val="0046434B"/>
    <w:rsid w:val="004644C0"/>
    <w:rsid w:val="00464513"/>
    <w:rsid w:val="0046487F"/>
    <w:rsid w:val="00464919"/>
    <w:rsid w:val="00464A0E"/>
    <w:rsid w:val="00464DB0"/>
    <w:rsid w:val="00464EE0"/>
    <w:rsid w:val="00465461"/>
    <w:rsid w:val="00465467"/>
    <w:rsid w:val="00465573"/>
    <w:rsid w:val="0046567F"/>
    <w:rsid w:val="00465709"/>
    <w:rsid w:val="004658C3"/>
    <w:rsid w:val="00465EB3"/>
    <w:rsid w:val="0046645E"/>
    <w:rsid w:val="00466508"/>
    <w:rsid w:val="004666E0"/>
    <w:rsid w:val="0046698E"/>
    <w:rsid w:val="00466F60"/>
    <w:rsid w:val="004671AF"/>
    <w:rsid w:val="00467838"/>
    <w:rsid w:val="00467B6A"/>
    <w:rsid w:val="00467E77"/>
    <w:rsid w:val="0047041E"/>
    <w:rsid w:val="00470750"/>
    <w:rsid w:val="00470893"/>
    <w:rsid w:val="00470E35"/>
    <w:rsid w:val="0047166D"/>
    <w:rsid w:val="00471856"/>
    <w:rsid w:val="004719A1"/>
    <w:rsid w:val="00471CEC"/>
    <w:rsid w:val="00471DB0"/>
    <w:rsid w:val="00471F3B"/>
    <w:rsid w:val="00471FAB"/>
    <w:rsid w:val="00472ACB"/>
    <w:rsid w:val="00472D06"/>
    <w:rsid w:val="004734A1"/>
    <w:rsid w:val="004734C7"/>
    <w:rsid w:val="00473975"/>
    <w:rsid w:val="00473F4A"/>
    <w:rsid w:val="00473F5F"/>
    <w:rsid w:val="00473F72"/>
    <w:rsid w:val="0047410D"/>
    <w:rsid w:val="00474D84"/>
    <w:rsid w:val="00474FB4"/>
    <w:rsid w:val="00475131"/>
    <w:rsid w:val="00475260"/>
    <w:rsid w:val="004755D5"/>
    <w:rsid w:val="0047574D"/>
    <w:rsid w:val="004757B3"/>
    <w:rsid w:val="004758FA"/>
    <w:rsid w:val="00475A1B"/>
    <w:rsid w:val="00475D3E"/>
    <w:rsid w:val="00475E50"/>
    <w:rsid w:val="00475F90"/>
    <w:rsid w:val="00476734"/>
    <w:rsid w:val="00476747"/>
    <w:rsid w:val="00476D8B"/>
    <w:rsid w:val="00476EAE"/>
    <w:rsid w:val="004770A2"/>
    <w:rsid w:val="004774C5"/>
    <w:rsid w:val="004775ED"/>
    <w:rsid w:val="004777C7"/>
    <w:rsid w:val="00480073"/>
    <w:rsid w:val="004800FE"/>
    <w:rsid w:val="004803A9"/>
    <w:rsid w:val="00480459"/>
    <w:rsid w:val="004804A2"/>
    <w:rsid w:val="004807D5"/>
    <w:rsid w:val="00480B03"/>
    <w:rsid w:val="00480B9E"/>
    <w:rsid w:val="00480C91"/>
    <w:rsid w:val="00480D77"/>
    <w:rsid w:val="00480E5E"/>
    <w:rsid w:val="004810EC"/>
    <w:rsid w:val="004814F6"/>
    <w:rsid w:val="00481607"/>
    <w:rsid w:val="004821B4"/>
    <w:rsid w:val="00482389"/>
    <w:rsid w:val="004824F5"/>
    <w:rsid w:val="00482642"/>
    <w:rsid w:val="00482943"/>
    <w:rsid w:val="00482ADC"/>
    <w:rsid w:val="00482B0E"/>
    <w:rsid w:val="00482B1F"/>
    <w:rsid w:val="00482BAD"/>
    <w:rsid w:val="00483058"/>
    <w:rsid w:val="00483620"/>
    <w:rsid w:val="00483D11"/>
    <w:rsid w:val="00483D20"/>
    <w:rsid w:val="00483D55"/>
    <w:rsid w:val="00483FA7"/>
    <w:rsid w:val="0048406D"/>
    <w:rsid w:val="0048410E"/>
    <w:rsid w:val="004847D3"/>
    <w:rsid w:val="00484C46"/>
    <w:rsid w:val="00485969"/>
    <w:rsid w:val="0048597D"/>
    <w:rsid w:val="0048598C"/>
    <w:rsid w:val="00485C9E"/>
    <w:rsid w:val="00485E8A"/>
    <w:rsid w:val="00485FEB"/>
    <w:rsid w:val="0048620B"/>
    <w:rsid w:val="004862DE"/>
    <w:rsid w:val="0048647C"/>
    <w:rsid w:val="0048658B"/>
    <w:rsid w:val="00486CF2"/>
    <w:rsid w:val="00486EC5"/>
    <w:rsid w:val="00487442"/>
    <w:rsid w:val="004876BE"/>
    <w:rsid w:val="00487924"/>
    <w:rsid w:val="00487967"/>
    <w:rsid w:val="00487A13"/>
    <w:rsid w:val="00487BB8"/>
    <w:rsid w:val="00487F28"/>
    <w:rsid w:val="0049005F"/>
    <w:rsid w:val="00490649"/>
    <w:rsid w:val="0049093B"/>
    <w:rsid w:val="00490E94"/>
    <w:rsid w:val="00490EE3"/>
    <w:rsid w:val="00491043"/>
    <w:rsid w:val="0049143D"/>
    <w:rsid w:val="004916E8"/>
    <w:rsid w:val="004918A0"/>
    <w:rsid w:val="0049230F"/>
    <w:rsid w:val="004924E5"/>
    <w:rsid w:val="00492619"/>
    <w:rsid w:val="0049277B"/>
    <w:rsid w:val="00492B8A"/>
    <w:rsid w:val="00493138"/>
    <w:rsid w:val="0049349F"/>
    <w:rsid w:val="004935A4"/>
    <w:rsid w:val="00493916"/>
    <w:rsid w:val="00493D08"/>
    <w:rsid w:val="004941D3"/>
    <w:rsid w:val="00494AF5"/>
    <w:rsid w:val="00494C34"/>
    <w:rsid w:val="00494CCB"/>
    <w:rsid w:val="00494E75"/>
    <w:rsid w:val="00495071"/>
    <w:rsid w:val="00495227"/>
    <w:rsid w:val="00495ABF"/>
    <w:rsid w:val="004961DB"/>
    <w:rsid w:val="004963E2"/>
    <w:rsid w:val="0049653E"/>
    <w:rsid w:val="00496BEF"/>
    <w:rsid w:val="00497053"/>
    <w:rsid w:val="004970A1"/>
    <w:rsid w:val="004971B2"/>
    <w:rsid w:val="00497251"/>
    <w:rsid w:val="00497838"/>
    <w:rsid w:val="00497867"/>
    <w:rsid w:val="0049792C"/>
    <w:rsid w:val="00497A42"/>
    <w:rsid w:val="00497BD3"/>
    <w:rsid w:val="00497F24"/>
    <w:rsid w:val="00497F2F"/>
    <w:rsid w:val="004A01E1"/>
    <w:rsid w:val="004A06BD"/>
    <w:rsid w:val="004A09A7"/>
    <w:rsid w:val="004A0E00"/>
    <w:rsid w:val="004A15F7"/>
    <w:rsid w:val="004A1600"/>
    <w:rsid w:val="004A1956"/>
    <w:rsid w:val="004A1B20"/>
    <w:rsid w:val="004A201F"/>
    <w:rsid w:val="004A2130"/>
    <w:rsid w:val="004A23B8"/>
    <w:rsid w:val="004A23C0"/>
    <w:rsid w:val="004A24C9"/>
    <w:rsid w:val="004A2677"/>
    <w:rsid w:val="004A28D4"/>
    <w:rsid w:val="004A2908"/>
    <w:rsid w:val="004A2AC5"/>
    <w:rsid w:val="004A2B3D"/>
    <w:rsid w:val="004A2BE1"/>
    <w:rsid w:val="004A2E44"/>
    <w:rsid w:val="004A30B7"/>
    <w:rsid w:val="004A30F7"/>
    <w:rsid w:val="004A31F1"/>
    <w:rsid w:val="004A343B"/>
    <w:rsid w:val="004A366E"/>
    <w:rsid w:val="004A36C0"/>
    <w:rsid w:val="004A36FB"/>
    <w:rsid w:val="004A37B1"/>
    <w:rsid w:val="004A3A2A"/>
    <w:rsid w:val="004A3AA3"/>
    <w:rsid w:val="004A3AB1"/>
    <w:rsid w:val="004A4247"/>
    <w:rsid w:val="004A4635"/>
    <w:rsid w:val="004A4900"/>
    <w:rsid w:val="004A4A0F"/>
    <w:rsid w:val="004A4BE8"/>
    <w:rsid w:val="004A4D38"/>
    <w:rsid w:val="004A4E7E"/>
    <w:rsid w:val="004A4E95"/>
    <w:rsid w:val="004A4FEE"/>
    <w:rsid w:val="004A5270"/>
    <w:rsid w:val="004A555D"/>
    <w:rsid w:val="004A55D4"/>
    <w:rsid w:val="004A5667"/>
    <w:rsid w:val="004A57FC"/>
    <w:rsid w:val="004A5F92"/>
    <w:rsid w:val="004A65EE"/>
    <w:rsid w:val="004A6663"/>
    <w:rsid w:val="004A66D4"/>
    <w:rsid w:val="004A681B"/>
    <w:rsid w:val="004A6953"/>
    <w:rsid w:val="004A705C"/>
    <w:rsid w:val="004A717D"/>
    <w:rsid w:val="004A7276"/>
    <w:rsid w:val="004A7A81"/>
    <w:rsid w:val="004A7EE7"/>
    <w:rsid w:val="004A7FB0"/>
    <w:rsid w:val="004B03E2"/>
    <w:rsid w:val="004B06A0"/>
    <w:rsid w:val="004B06EF"/>
    <w:rsid w:val="004B0706"/>
    <w:rsid w:val="004B0787"/>
    <w:rsid w:val="004B0A36"/>
    <w:rsid w:val="004B1313"/>
    <w:rsid w:val="004B169E"/>
    <w:rsid w:val="004B1B53"/>
    <w:rsid w:val="004B1C42"/>
    <w:rsid w:val="004B1D77"/>
    <w:rsid w:val="004B2700"/>
    <w:rsid w:val="004B27EF"/>
    <w:rsid w:val="004B2B31"/>
    <w:rsid w:val="004B2C33"/>
    <w:rsid w:val="004B2CDB"/>
    <w:rsid w:val="004B3099"/>
    <w:rsid w:val="004B3447"/>
    <w:rsid w:val="004B36BE"/>
    <w:rsid w:val="004B385B"/>
    <w:rsid w:val="004B3C3F"/>
    <w:rsid w:val="004B45A2"/>
    <w:rsid w:val="004B4A0F"/>
    <w:rsid w:val="004B4AA2"/>
    <w:rsid w:val="004B4C44"/>
    <w:rsid w:val="004B4C67"/>
    <w:rsid w:val="004B4F05"/>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346"/>
    <w:rsid w:val="004C03CC"/>
    <w:rsid w:val="004C0A25"/>
    <w:rsid w:val="004C0AE9"/>
    <w:rsid w:val="004C0B5B"/>
    <w:rsid w:val="004C0EE4"/>
    <w:rsid w:val="004C0F99"/>
    <w:rsid w:val="004C130D"/>
    <w:rsid w:val="004C132F"/>
    <w:rsid w:val="004C1624"/>
    <w:rsid w:val="004C171F"/>
    <w:rsid w:val="004C19E0"/>
    <w:rsid w:val="004C20BB"/>
    <w:rsid w:val="004C2371"/>
    <w:rsid w:val="004C2C4E"/>
    <w:rsid w:val="004C2F01"/>
    <w:rsid w:val="004C2F96"/>
    <w:rsid w:val="004C3472"/>
    <w:rsid w:val="004C34E8"/>
    <w:rsid w:val="004C3C51"/>
    <w:rsid w:val="004C3E9B"/>
    <w:rsid w:val="004C4384"/>
    <w:rsid w:val="004C4595"/>
    <w:rsid w:val="004C47FE"/>
    <w:rsid w:val="004C4957"/>
    <w:rsid w:val="004C4BCE"/>
    <w:rsid w:val="004C4BF3"/>
    <w:rsid w:val="004C4F33"/>
    <w:rsid w:val="004C5203"/>
    <w:rsid w:val="004C521E"/>
    <w:rsid w:val="004C5225"/>
    <w:rsid w:val="004C53F2"/>
    <w:rsid w:val="004C5489"/>
    <w:rsid w:val="004C5C61"/>
    <w:rsid w:val="004C5EF0"/>
    <w:rsid w:val="004C63D6"/>
    <w:rsid w:val="004C660B"/>
    <w:rsid w:val="004C6627"/>
    <w:rsid w:val="004C6782"/>
    <w:rsid w:val="004C6915"/>
    <w:rsid w:val="004C695D"/>
    <w:rsid w:val="004C6B69"/>
    <w:rsid w:val="004C6D25"/>
    <w:rsid w:val="004C730E"/>
    <w:rsid w:val="004C75AB"/>
    <w:rsid w:val="004C7739"/>
    <w:rsid w:val="004C7A83"/>
    <w:rsid w:val="004C7BDF"/>
    <w:rsid w:val="004C7EFE"/>
    <w:rsid w:val="004D0200"/>
    <w:rsid w:val="004D0E42"/>
    <w:rsid w:val="004D171F"/>
    <w:rsid w:val="004D1A33"/>
    <w:rsid w:val="004D1D64"/>
    <w:rsid w:val="004D1DED"/>
    <w:rsid w:val="004D2204"/>
    <w:rsid w:val="004D2474"/>
    <w:rsid w:val="004D24F2"/>
    <w:rsid w:val="004D27C4"/>
    <w:rsid w:val="004D2B5A"/>
    <w:rsid w:val="004D2E1A"/>
    <w:rsid w:val="004D2E57"/>
    <w:rsid w:val="004D2EEB"/>
    <w:rsid w:val="004D31C8"/>
    <w:rsid w:val="004D320E"/>
    <w:rsid w:val="004D3251"/>
    <w:rsid w:val="004D3E3B"/>
    <w:rsid w:val="004D409C"/>
    <w:rsid w:val="004D4968"/>
    <w:rsid w:val="004D4977"/>
    <w:rsid w:val="004D49E4"/>
    <w:rsid w:val="004D4A8A"/>
    <w:rsid w:val="004D4BB0"/>
    <w:rsid w:val="004D4BEA"/>
    <w:rsid w:val="004D4C05"/>
    <w:rsid w:val="004D50CC"/>
    <w:rsid w:val="004D5309"/>
    <w:rsid w:val="004D58D1"/>
    <w:rsid w:val="004D5F02"/>
    <w:rsid w:val="004D68C0"/>
    <w:rsid w:val="004D69C6"/>
    <w:rsid w:val="004D69EF"/>
    <w:rsid w:val="004D710C"/>
    <w:rsid w:val="004D7448"/>
    <w:rsid w:val="004D767B"/>
    <w:rsid w:val="004E0033"/>
    <w:rsid w:val="004E00E5"/>
    <w:rsid w:val="004E03BE"/>
    <w:rsid w:val="004E0619"/>
    <w:rsid w:val="004E0CD0"/>
    <w:rsid w:val="004E1234"/>
    <w:rsid w:val="004E1260"/>
    <w:rsid w:val="004E17FE"/>
    <w:rsid w:val="004E1A6D"/>
    <w:rsid w:val="004E1CBB"/>
    <w:rsid w:val="004E1D07"/>
    <w:rsid w:val="004E1FC0"/>
    <w:rsid w:val="004E209D"/>
    <w:rsid w:val="004E21D3"/>
    <w:rsid w:val="004E2AFF"/>
    <w:rsid w:val="004E2C41"/>
    <w:rsid w:val="004E2E33"/>
    <w:rsid w:val="004E2F51"/>
    <w:rsid w:val="004E2F60"/>
    <w:rsid w:val="004E3579"/>
    <w:rsid w:val="004E3892"/>
    <w:rsid w:val="004E3FD8"/>
    <w:rsid w:val="004E471C"/>
    <w:rsid w:val="004E4754"/>
    <w:rsid w:val="004E47BD"/>
    <w:rsid w:val="004E48A1"/>
    <w:rsid w:val="004E4B2F"/>
    <w:rsid w:val="004E5181"/>
    <w:rsid w:val="004E53AE"/>
    <w:rsid w:val="004E5449"/>
    <w:rsid w:val="004E5C25"/>
    <w:rsid w:val="004E5C61"/>
    <w:rsid w:val="004E5FA5"/>
    <w:rsid w:val="004E6154"/>
    <w:rsid w:val="004E6158"/>
    <w:rsid w:val="004E6184"/>
    <w:rsid w:val="004E6267"/>
    <w:rsid w:val="004E63C9"/>
    <w:rsid w:val="004E675B"/>
    <w:rsid w:val="004E684F"/>
    <w:rsid w:val="004E68C1"/>
    <w:rsid w:val="004E6CEA"/>
    <w:rsid w:val="004E6E83"/>
    <w:rsid w:val="004E7280"/>
    <w:rsid w:val="004E7691"/>
    <w:rsid w:val="004E76A5"/>
    <w:rsid w:val="004E7A4D"/>
    <w:rsid w:val="004E7B7F"/>
    <w:rsid w:val="004E7E45"/>
    <w:rsid w:val="004F0025"/>
    <w:rsid w:val="004F010F"/>
    <w:rsid w:val="004F01B4"/>
    <w:rsid w:val="004F020A"/>
    <w:rsid w:val="004F0527"/>
    <w:rsid w:val="004F080C"/>
    <w:rsid w:val="004F09EF"/>
    <w:rsid w:val="004F0C82"/>
    <w:rsid w:val="004F114A"/>
    <w:rsid w:val="004F133C"/>
    <w:rsid w:val="004F13D2"/>
    <w:rsid w:val="004F1891"/>
    <w:rsid w:val="004F1A00"/>
    <w:rsid w:val="004F1D32"/>
    <w:rsid w:val="004F2168"/>
    <w:rsid w:val="004F257F"/>
    <w:rsid w:val="004F2826"/>
    <w:rsid w:val="004F2AA6"/>
    <w:rsid w:val="004F2B9C"/>
    <w:rsid w:val="004F2CCE"/>
    <w:rsid w:val="004F2D47"/>
    <w:rsid w:val="004F33A9"/>
    <w:rsid w:val="004F359A"/>
    <w:rsid w:val="004F3DD1"/>
    <w:rsid w:val="004F3F8F"/>
    <w:rsid w:val="004F40F1"/>
    <w:rsid w:val="004F4477"/>
    <w:rsid w:val="004F460A"/>
    <w:rsid w:val="004F4760"/>
    <w:rsid w:val="004F497D"/>
    <w:rsid w:val="004F4E53"/>
    <w:rsid w:val="004F4F06"/>
    <w:rsid w:val="004F5363"/>
    <w:rsid w:val="004F5507"/>
    <w:rsid w:val="004F58AB"/>
    <w:rsid w:val="004F627A"/>
    <w:rsid w:val="004F6438"/>
    <w:rsid w:val="004F66FA"/>
    <w:rsid w:val="004F67A9"/>
    <w:rsid w:val="004F6AFE"/>
    <w:rsid w:val="004F6F20"/>
    <w:rsid w:val="004F72EA"/>
    <w:rsid w:val="004F7373"/>
    <w:rsid w:val="004F73A5"/>
    <w:rsid w:val="004F74B2"/>
    <w:rsid w:val="004F75B4"/>
    <w:rsid w:val="004F75D0"/>
    <w:rsid w:val="004F76A6"/>
    <w:rsid w:val="004F7799"/>
    <w:rsid w:val="004F78C3"/>
    <w:rsid w:val="004F7B47"/>
    <w:rsid w:val="004F7C51"/>
    <w:rsid w:val="004F7CE6"/>
    <w:rsid w:val="004F7F1A"/>
    <w:rsid w:val="005002BF"/>
    <w:rsid w:val="0050031C"/>
    <w:rsid w:val="005004F7"/>
    <w:rsid w:val="00500798"/>
    <w:rsid w:val="005007E7"/>
    <w:rsid w:val="00500A59"/>
    <w:rsid w:val="00500BA0"/>
    <w:rsid w:val="00501131"/>
    <w:rsid w:val="005011C4"/>
    <w:rsid w:val="005012BB"/>
    <w:rsid w:val="0050132F"/>
    <w:rsid w:val="00501577"/>
    <w:rsid w:val="00501723"/>
    <w:rsid w:val="00501A8C"/>
    <w:rsid w:val="00501F0D"/>
    <w:rsid w:val="00502425"/>
    <w:rsid w:val="005029A2"/>
    <w:rsid w:val="005029FC"/>
    <w:rsid w:val="00502FCA"/>
    <w:rsid w:val="005035E7"/>
    <w:rsid w:val="005038A7"/>
    <w:rsid w:val="00503C88"/>
    <w:rsid w:val="00503FAD"/>
    <w:rsid w:val="00504639"/>
    <w:rsid w:val="0050472A"/>
    <w:rsid w:val="00504C3F"/>
    <w:rsid w:val="00505078"/>
    <w:rsid w:val="005050F8"/>
    <w:rsid w:val="00505A2A"/>
    <w:rsid w:val="00505ABD"/>
    <w:rsid w:val="00505E39"/>
    <w:rsid w:val="0050614B"/>
    <w:rsid w:val="00506571"/>
    <w:rsid w:val="00506A8D"/>
    <w:rsid w:val="00506C2E"/>
    <w:rsid w:val="00506E46"/>
    <w:rsid w:val="00506F24"/>
    <w:rsid w:val="005071C3"/>
    <w:rsid w:val="005074C9"/>
    <w:rsid w:val="00507718"/>
    <w:rsid w:val="00507754"/>
    <w:rsid w:val="00507CAF"/>
    <w:rsid w:val="00507DB4"/>
    <w:rsid w:val="00510185"/>
    <w:rsid w:val="00510374"/>
    <w:rsid w:val="00510444"/>
    <w:rsid w:val="00510B25"/>
    <w:rsid w:val="00510B64"/>
    <w:rsid w:val="00510FF3"/>
    <w:rsid w:val="0051179B"/>
    <w:rsid w:val="00511E67"/>
    <w:rsid w:val="005126B2"/>
    <w:rsid w:val="00512747"/>
    <w:rsid w:val="00512E1C"/>
    <w:rsid w:val="00512E6A"/>
    <w:rsid w:val="0051349D"/>
    <w:rsid w:val="005136B4"/>
    <w:rsid w:val="00513F8F"/>
    <w:rsid w:val="00514455"/>
    <w:rsid w:val="005147E7"/>
    <w:rsid w:val="00514882"/>
    <w:rsid w:val="005149A2"/>
    <w:rsid w:val="00514CEE"/>
    <w:rsid w:val="005150A0"/>
    <w:rsid w:val="005150E4"/>
    <w:rsid w:val="005156B4"/>
    <w:rsid w:val="00515907"/>
    <w:rsid w:val="00515E2B"/>
    <w:rsid w:val="0051685C"/>
    <w:rsid w:val="00516B96"/>
    <w:rsid w:val="00517217"/>
    <w:rsid w:val="0051733F"/>
    <w:rsid w:val="005173A4"/>
    <w:rsid w:val="0051770E"/>
    <w:rsid w:val="00517B28"/>
    <w:rsid w:val="0052001B"/>
    <w:rsid w:val="005205C8"/>
    <w:rsid w:val="00521D65"/>
    <w:rsid w:val="005221A4"/>
    <w:rsid w:val="005227AC"/>
    <w:rsid w:val="005227C2"/>
    <w:rsid w:val="00522CA8"/>
    <w:rsid w:val="00522D7B"/>
    <w:rsid w:val="00522F19"/>
    <w:rsid w:val="00522F69"/>
    <w:rsid w:val="00523366"/>
    <w:rsid w:val="0052351B"/>
    <w:rsid w:val="00523E18"/>
    <w:rsid w:val="00523F32"/>
    <w:rsid w:val="005240E5"/>
    <w:rsid w:val="0052422C"/>
    <w:rsid w:val="005243F4"/>
    <w:rsid w:val="005244D5"/>
    <w:rsid w:val="005245BE"/>
    <w:rsid w:val="0052463E"/>
    <w:rsid w:val="005246B7"/>
    <w:rsid w:val="005248C4"/>
    <w:rsid w:val="00524AD1"/>
    <w:rsid w:val="00524C54"/>
    <w:rsid w:val="00524DEC"/>
    <w:rsid w:val="00524E6A"/>
    <w:rsid w:val="005251DA"/>
    <w:rsid w:val="00525407"/>
    <w:rsid w:val="00525F16"/>
    <w:rsid w:val="00525F4D"/>
    <w:rsid w:val="00525F71"/>
    <w:rsid w:val="00526270"/>
    <w:rsid w:val="005269C2"/>
    <w:rsid w:val="00526AC4"/>
    <w:rsid w:val="00526C7A"/>
    <w:rsid w:val="00526C8A"/>
    <w:rsid w:val="00527337"/>
    <w:rsid w:val="00527489"/>
    <w:rsid w:val="0053012B"/>
    <w:rsid w:val="00530406"/>
    <w:rsid w:val="0053058D"/>
    <w:rsid w:val="00530AFD"/>
    <w:rsid w:val="00530F11"/>
    <w:rsid w:val="005310B2"/>
    <w:rsid w:val="00531639"/>
    <w:rsid w:val="0053173A"/>
    <w:rsid w:val="0053175D"/>
    <w:rsid w:val="00531824"/>
    <w:rsid w:val="00531AF4"/>
    <w:rsid w:val="00531B7F"/>
    <w:rsid w:val="00531F71"/>
    <w:rsid w:val="005323A7"/>
    <w:rsid w:val="00532462"/>
    <w:rsid w:val="00532486"/>
    <w:rsid w:val="00532B16"/>
    <w:rsid w:val="00532C7E"/>
    <w:rsid w:val="00532C9D"/>
    <w:rsid w:val="00532DBB"/>
    <w:rsid w:val="00533215"/>
    <w:rsid w:val="005333E0"/>
    <w:rsid w:val="005334E4"/>
    <w:rsid w:val="005338BD"/>
    <w:rsid w:val="0053394F"/>
    <w:rsid w:val="00533B01"/>
    <w:rsid w:val="00533C04"/>
    <w:rsid w:val="00533E63"/>
    <w:rsid w:val="0053432F"/>
    <w:rsid w:val="005347FB"/>
    <w:rsid w:val="005349C5"/>
    <w:rsid w:val="005349EB"/>
    <w:rsid w:val="00534AA6"/>
    <w:rsid w:val="00534C83"/>
    <w:rsid w:val="00534DB1"/>
    <w:rsid w:val="00535A27"/>
    <w:rsid w:val="00535C80"/>
    <w:rsid w:val="0053637E"/>
    <w:rsid w:val="005365F6"/>
    <w:rsid w:val="00536625"/>
    <w:rsid w:val="00536AEE"/>
    <w:rsid w:val="00536D3C"/>
    <w:rsid w:val="00536ECB"/>
    <w:rsid w:val="0053713E"/>
    <w:rsid w:val="00537BE9"/>
    <w:rsid w:val="00537E22"/>
    <w:rsid w:val="00540147"/>
    <w:rsid w:val="00540355"/>
    <w:rsid w:val="00540EB6"/>
    <w:rsid w:val="00540FF7"/>
    <w:rsid w:val="0054101A"/>
    <w:rsid w:val="00541679"/>
    <w:rsid w:val="00541735"/>
    <w:rsid w:val="005417A0"/>
    <w:rsid w:val="00541B6E"/>
    <w:rsid w:val="00541E2B"/>
    <w:rsid w:val="00542477"/>
    <w:rsid w:val="005424F4"/>
    <w:rsid w:val="005436D7"/>
    <w:rsid w:val="00543703"/>
    <w:rsid w:val="00543A66"/>
    <w:rsid w:val="00543A83"/>
    <w:rsid w:val="00544120"/>
    <w:rsid w:val="00544220"/>
    <w:rsid w:val="005444D2"/>
    <w:rsid w:val="005448FC"/>
    <w:rsid w:val="00544C33"/>
    <w:rsid w:val="00544D61"/>
    <w:rsid w:val="00544EDF"/>
    <w:rsid w:val="00544F2A"/>
    <w:rsid w:val="005452CD"/>
    <w:rsid w:val="005453CE"/>
    <w:rsid w:val="0054556F"/>
    <w:rsid w:val="0054576D"/>
    <w:rsid w:val="005457A9"/>
    <w:rsid w:val="005458F0"/>
    <w:rsid w:val="00545C3D"/>
    <w:rsid w:val="00545E32"/>
    <w:rsid w:val="00545E6A"/>
    <w:rsid w:val="00545FD7"/>
    <w:rsid w:val="00546310"/>
    <w:rsid w:val="00546738"/>
    <w:rsid w:val="00546761"/>
    <w:rsid w:val="005467D6"/>
    <w:rsid w:val="00546942"/>
    <w:rsid w:val="00547123"/>
    <w:rsid w:val="00547591"/>
    <w:rsid w:val="005504D9"/>
    <w:rsid w:val="005507D2"/>
    <w:rsid w:val="00550B85"/>
    <w:rsid w:val="00550C80"/>
    <w:rsid w:val="00550D6F"/>
    <w:rsid w:val="00550E94"/>
    <w:rsid w:val="005511B1"/>
    <w:rsid w:val="00551A20"/>
    <w:rsid w:val="00551BFD"/>
    <w:rsid w:val="00551E1E"/>
    <w:rsid w:val="00551E52"/>
    <w:rsid w:val="00552038"/>
    <w:rsid w:val="0055233E"/>
    <w:rsid w:val="00552569"/>
    <w:rsid w:val="005526F2"/>
    <w:rsid w:val="00552FF4"/>
    <w:rsid w:val="00553F00"/>
    <w:rsid w:val="0055410A"/>
    <w:rsid w:val="005547B9"/>
    <w:rsid w:val="005547CB"/>
    <w:rsid w:val="00554DB6"/>
    <w:rsid w:val="00554DF7"/>
    <w:rsid w:val="00555675"/>
    <w:rsid w:val="0055569E"/>
    <w:rsid w:val="00555713"/>
    <w:rsid w:val="00555772"/>
    <w:rsid w:val="00555D6F"/>
    <w:rsid w:val="00555DC4"/>
    <w:rsid w:val="00556680"/>
    <w:rsid w:val="005567AA"/>
    <w:rsid w:val="005567BF"/>
    <w:rsid w:val="005569D2"/>
    <w:rsid w:val="00556CE7"/>
    <w:rsid w:val="005570E7"/>
    <w:rsid w:val="0055718D"/>
    <w:rsid w:val="00557250"/>
    <w:rsid w:val="00557464"/>
    <w:rsid w:val="005575DE"/>
    <w:rsid w:val="0055771C"/>
    <w:rsid w:val="00557CAB"/>
    <w:rsid w:val="005603B1"/>
    <w:rsid w:val="0056043E"/>
    <w:rsid w:val="005607CE"/>
    <w:rsid w:val="00560AC9"/>
    <w:rsid w:val="00560D1F"/>
    <w:rsid w:val="00560DDA"/>
    <w:rsid w:val="00561250"/>
    <w:rsid w:val="0056134D"/>
    <w:rsid w:val="0056166E"/>
    <w:rsid w:val="005617E8"/>
    <w:rsid w:val="00561A95"/>
    <w:rsid w:val="00561B22"/>
    <w:rsid w:val="00561BF6"/>
    <w:rsid w:val="00561E4A"/>
    <w:rsid w:val="0056249A"/>
    <w:rsid w:val="00562524"/>
    <w:rsid w:val="0056254A"/>
    <w:rsid w:val="00562908"/>
    <w:rsid w:val="00562CDC"/>
    <w:rsid w:val="00563855"/>
    <w:rsid w:val="00563AD5"/>
    <w:rsid w:val="00563FD2"/>
    <w:rsid w:val="0056434D"/>
    <w:rsid w:val="0056477B"/>
    <w:rsid w:val="00564E2D"/>
    <w:rsid w:val="00564F02"/>
    <w:rsid w:val="00564FA8"/>
    <w:rsid w:val="00565679"/>
    <w:rsid w:val="005656F2"/>
    <w:rsid w:val="00565C99"/>
    <w:rsid w:val="00565D3B"/>
    <w:rsid w:val="00565D4B"/>
    <w:rsid w:val="00565F48"/>
    <w:rsid w:val="00566AC7"/>
    <w:rsid w:val="00566BA8"/>
    <w:rsid w:val="00566BD5"/>
    <w:rsid w:val="0056719E"/>
    <w:rsid w:val="005677C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628"/>
    <w:rsid w:val="00571DB3"/>
    <w:rsid w:val="00572583"/>
    <w:rsid w:val="00572643"/>
    <w:rsid w:val="005726C5"/>
    <w:rsid w:val="00572E58"/>
    <w:rsid w:val="00572F26"/>
    <w:rsid w:val="00573056"/>
    <w:rsid w:val="005730FF"/>
    <w:rsid w:val="00573317"/>
    <w:rsid w:val="00573343"/>
    <w:rsid w:val="0057380A"/>
    <w:rsid w:val="005738D0"/>
    <w:rsid w:val="00573948"/>
    <w:rsid w:val="00573990"/>
    <w:rsid w:val="00573BB0"/>
    <w:rsid w:val="00573D2B"/>
    <w:rsid w:val="00573D7F"/>
    <w:rsid w:val="00573E2B"/>
    <w:rsid w:val="00573F01"/>
    <w:rsid w:val="00573F24"/>
    <w:rsid w:val="00574167"/>
    <w:rsid w:val="0057431C"/>
    <w:rsid w:val="0057462A"/>
    <w:rsid w:val="0057462E"/>
    <w:rsid w:val="00574886"/>
    <w:rsid w:val="00574B86"/>
    <w:rsid w:val="005753DB"/>
    <w:rsid w:val="005755A4"/>
    <w:rsid w:val="005757AC"/>
    <w:rsid w:val="005758BA"/>
    <w:rsid w:val="00575E27"/>
    <w:rsid w:val="00575EC1"/>
    <w:rsid w:val="00576694"/>
    <w:rsid w:val="00576A37"/>
    <w:rsid w:val="00576FC7"/>
    <w:rsid w:val="00576FCB"/>
    <w:rsid w:val="00577368"/>
    <w:rsid w:val="005773FD"/>
    <w:rsid w:val="005777AC"/>
    <w:rsid w:val="00577AA7"/>
    <w:rsid w:val="00577BB2"/>
    <w:rsid w:val="00577D01"/>
    <w:rsid w:val="00577EB4"/>
    <w:rsid w:val="00577ECB"/>
    <w:rsid w:val="00577F3D"/>
    <w:rsid w:val="00577FE9"/>
    <w:rsid w:val="005809EB"/>
    <w:rsid w:val="00580B2A"/>
    <w:rsid w:val="00580E45"/>
    <w:rsid w:val="00581013"/>
    <w:rsid w:val="00581089"/>
    <w:rsid w:val="005815D2"/>
    <w:rsid w:val="0058162E"/>
    <w:rsid w:val="005818D4"/>
    <w:rsid w:val="005819D7"/>
    <w:rsid w:val="00581F00"/>
    <w:rsid w:val="00581F40"/>
    <w:rsid w:val="0058282C"/>
    <w:rsid w:val="005829CC"/>
    <w:rsid w:val="00582BCD"/>
    <w:rsid w:val="00582D98"/>
    <w:rsid w:val="00582E3D"/>
    <w:rsid w:val="00582F33"/>
    <w:rsid w:val="005830E9"/>
    <w:rsid w:val="005830F0"/>
    <w:rsid w:val="00583147"/>
    <w:rsid w:val="005834CE"/>
    <w:rsid w:val="005836D0"/>
    <w:rsid w:val="005838AC"/>
    <w:rsid w:val="00583C6C"/>
    <w:rsid w:val="00583E78"/>
    <w:rsid w:val="00583F5E"/>
    <w:rsid w:val="00584496"/>
    <w:rsid w:val="00584D31"/>
    <w:rsid w:val="00584DB8"/>
    <w:rsid w:val="00584E12"/>
    <w:rsid w:val="00584FC6"/>
    <w:rsid w:val="005854EF"/>
    <w:rsid w:val="005856D6"/>
    <w:rsid w:val="00585821"/>
    <w:rsid w:val="00585932"/>
    <w:rsid w:val="00585C3A"/>
    <w:rsid w:val="00585D33"/>
    <w:rsid w:val="0058628A"/>
    <w:rsid w:val="005863AF"/>
    <w:rsid w:val="00586897"/>
    <w:rsid w:val="005869C6"/>
    <w:rsid w:val="00587117"/>
    <w:rsid w:val="0058759B"/>
    <w:rsid w:val="0058764D"/>
    <w:rsid w:val="005876F1"/>
    <w:rsid w:val="00590203"/>
    <w:rsid w:val="00590749"/>
    <w:rsid w:val="00590A0E"/>
    <w:rsid w:val="00590BF6"/>
    <w:rsid w:val="00591048"/>
    <w:rsid w:val="0059150E"/>
    <w:rsid w:val="00591777"/>
    <w:rsid w:val="00591809"/>
    <w:rsid w:val="005918C5"/>
    <w:rsid w:val="00591B9C"/>
    <w:rsid w:val="00592160"/>
    <w:rsid w:val="005923C9"/>
    <w:rsid w:val="005927CA"/>
    <w:rsid w:val="0059284F"/>
    <w:rsid w:val="00593B27"/>
    <w:rsid w:val="00593E31"/>
    <w:rsid w:val="00594131"/>
    <w:rsid w:val="005942B6"/>
    <w:rsid w:val="005943C6"/>
    <w:rsid w:val="0059485A"/>
    <w:rsid w:val="00594882"/>
    <w:rsid w:val="005954F2"/>
    <w:rsid w:val="00595777"/>
    <w:rsid w:val="00595E99"/>
    <w:rsid w:val="00596308"/>
    <w:rsid w:val="005968C4"/>
    <w:rsid w:val="005968F0"/>
    <w:rsid w:val="00596A56"/>
    <w:rsid w:val="00596F5D"/>
    <w:rsid w:val="005970DB"/>
    <w:rsid w:val="0059715B"/>
    <w:rsid w:val="005973C7"/>
    <w:rsid w:val="00597605"/>
    <w:rsid w:val="00597788"/>
    <w:rsid w:val="0059780D"/>
    <w:rsid w:val="00597A36"/>
    <w:rsid w:val="00597E86"/>
    <w:rsid w:val="00597E93"/>
    <w:rsid w:val="005A05C6"/>
    <w:rsid w:val="005A05DF"/>
    <w:rsid w:val="005A0753"/>
    <w:rsid w:val="005A0CB6"/>
    <w:rsid w:val="005A1515"/>
    <w:rsid w:val="005A1D03"/>
    <w:rsid w:val="005A2229"/>
    <w:rsid w:val="005A2A35"/>
    <w:rsid w:val="005A320D"/>
    <w:rsid w:val="005A36E3"/>
    <w:rsid w:val="005A3A31"/>
    <w:rsid w:val="005A3B1E"/>
    <w:rsid w:val="005A3F96"/>
    <w:rsid w:val="005A404E"/>
    <w:rsid w:val="005A40D5"/>
    <w:rsid w:val="005A4674"/>
    <w:rsid w:val="005A4999"/>
    <w:rsid w:val="005A4D29"/>
    <w:rsid w:val="005A4E38"/>
    <w:rsid w:val="005A4E39"/>
    <w:rsid w:val="005A50CE"/>
    <w:rsid w:val="005A588D"/>
    <w:rsid w:val="005A59CF"/>
    <w:rsid w:val="005A5C58"/>
    <w:rsid w:val="005A5F82"/>
    <w:rsid w:val="005A61FB"/>
    <w:rsid w:val="005A6441"/>
    <w:rsid w:val="005A6A3A"/>
    <w:rsid w:val="005A6B41"/>
    <w:rsid w:val="005A6FA1"/>
    <w:rsid w:val="005A73D7"/>
    <w:rsid w:val="005A7A52"/>
    <w:rsid w:val="005A7F72"/>
    <w:rsid w:val="005B00FD"/>
    <w:rsid w:val="005B0209"/>
    <w:rsid w:val="005B0235"/>
    <w:rsid w:val="005B0814"/>
    <w:rsid w:val="005B0AD4"/>
    <w:rsid w:val="005B0E74"/>
    <w:rsid w:val="005B107A"/>
    <w:rsid w:val="005B147D"/>
    <w:rsid w:val="005B1A0D"/>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A55"/>
    <w:rsid w:val="005B5C26"/>
    <w:rsid w:val="005B6477"/>
    <w:rsid w:val="005B66A9"/>
    <w:rsid w:val="005B66F3"/>
    <w:rsid w:val="005B671E"/>
    <w:rsid w:val="005B6FAE"/>
    <w:rsid w:val="005B703E"/>
    <w:rsid w:val="005B70E8"/>
    <w:rsid w:val="005B7824"/>
    <w:rsid w:val="005B7BDB"/>
    <w:rsid w:val="005B7E2B"/>
    <w:rsid w:val="005C023B"/>
    <w:rsid w:val="005C0625"/>
    <w:rsid w:val="005C0904"/>
    <w:rsid w:val="005C09BF"/>
    <w:rsid w:val="005C0D61"/>
    <w:rsid w:val="005C0DDE"/>
    <w:rsid w:val="005C11DA"/>
    <w:rsid w:val="005C1225"/>
    <w:rsid w:val="005C132F"/>
    <w:rsid w:val="005C1752"/>
    <w:rsid w:val="005C2144"/>
    <w:rsid w:val="005C2476"/>
    <w:rsid w:val="005C2D85"/>
    <w:rsid w:val="005C2F53"/>
    <w:rsid w:val="005C31BF"/>
    <w:rsid w:val="005C376D"/>
    <w:rsid w:val="005C3A65"/>
    <w:rsid w:val="005C3CDF"/>
    <w:rsid w:val="005C41D6"/>
    <w:rsid w:val="005C44FE"/>
    <w:rsid w:val="005C4677"/>
    <w:rsid w:val="005C4766"/>
    <w:rsid w:val="005C482A"/>
    <w:rsid w:val="005C4B4D"/>
    <w:rsid w:val="005C4DE3"/>
    <w:rsid w:val="005C50E9"/>
    <w:rsid w:val="005C5320"/>
    <w:rsid w:val="005C5379"/>
    <w:rsid w:val="005C53FC"/>
    <w:rsid w:val="005C5459"/>
    <w:rsid w:val="005C5656"/>
    <w:rsid w:val="005C5849"/>
    <w:rsid w:val="005C5985"/>
    <w:rsid w:val="005C61E1"/>
    <w:rsid w:val="005C6D0E"/>
    <w:rsid w:val="005C7340"/>
    <w:rsid w:val="005C7364"/>
    <w:rsid w:val="005C742B"/>
    <w:rsid w:val="005C7A54"/>
    <w:rsid w:val="005C7CAD"/>
    <w:rsid w:val="005C7EF8"/>
    <w:rsid w:val="005D0102"/>
    <w:rsid w:val="005D01D8"/>
    <w:rsid w:val="005D02FA"/>
    <w:rsid w:val="005D047B"/>
    <w:rsid w:val="005D0536"/>
    <w:rsid w:val="005D0790"/>
    <w:rsid w:val="005D0FCE"/>
    <w:rsid w:val="005D1374"/>
    <w:rsid w:val="005D1383"/>
    <w:rsid w:val="005D20FC"/>
    <w:rsid w:val="005D241F"/>
    <w:rsid w:val="005D24A2"/>
    <w:rsid w:val="005D26D7"/>
    <w:rsid w:val="005D2A49"/>
    <w:rsid w:val="005D2B7E"/>
    <w:rsid w:val="005D2EE8"/>
    <w:rsid w:val="005D31D3"/>
    <w:rsid w:val="005D32ED"/>
    <w:rsid w:val="005D351D"/>
    <w:rsid w:val="005D35F5"/>
    <w:rsid w:val="005D37FF"/>
    <w:rsid w:val="005D38F9"/>
    <w:rsid w:val="005D4400"/>
    <w:rsid w:val="005D4764"/>
    <w:rsid w:val="005D4856"/>
    <w:rsid w:val="005D4DA7"/>
    <w:rsid w:val="005D5499"/>
    <w:rsid w:val="005D576B"/>
    <w:rsid w:val="005D594D"/>
    <w:rsid w:val="005D5E46"/>
    <w:rsid w:val="005D609E"/>
    <w:rsid w:val="005D64A5"/>
    <w:rsid w:val="005D6929"/>
    <w:rsid w:val="005D698D"/>
    <w:rsid w:val="005D6B30"/>
    <w:rsid w:val="005D6E1C"/>
    <w:rsid w:val="005D7741"/>
    <w:rsid w:val="005D7E04"/>
    <w:rsid w:val="005D7FED"/>
    <w:rsid w:val="005E0082"/>
    <w:rsid w:val="005E0C79"/>
    <w:rsid w:val="005E0D58"/>
    <w:rsid w:val="005E1385"/>
    <w:rsid w:val="005E1393"/>
    <w:rsid w:val="005E1A58"/>
    <w:rsid w:val="005E1C06"/>
    <w:rsid w:val="005E2BC2"/>
    <w:rsid w:val="005E2E2C"/>
    <w:rsid w:val="005E3318"/>
    <w:rsid w:val="005E35FD"/>
    <w:rsid w:val="005E383F"/>
    <w:rsid w:val="005E3B8D"/>
    <w:rsid w:val="005E3C1D"/>
    <w:rsid w:val="005E4293"/>
    <w:rsid w:val="005E43AE"/>
    <w:rsid w:val="005E43BA"/>
    <w:rsid w:val="005E48F7"/>
    <w:rsid w:val="005E4AA6"/>
    <w:rsid w:val="005E4F68"/>
    <w:rsid w:val="005E4F80"/>
    <w:rsid w:val="005E4FBD"/>
    <w:rsid w:val="005E5009"/>
    <w:rsid w:val="005E5062"/>
    <w:rsid w:val="005E5256"/>
    <w:rsid w:val="005E5563"/>
    <w:rsid w:val="005E580A"/>
    <w:rsid w:val="005E5AB6"/>
    <w:rsid w:val="005E5B43"/>
    <w:rsid w:val="005E66F1"/>
    <w:rsid w:val="005E6888"/>
    <w:rsid w:val="005E6AFB"/>
    <w:rsid w:val="005E7551"/>
    <w:rsid w:val="005E7698"/>
    <w:rsid w:val="005E7E29"/>
    <w:rsid w:val="005E7F1A"/>
    <w:rsid w:val="005F031E"/>
    <w:rsid w:val="005F0324"/>
    <w:rsid w:val="005F0362"/>
    <w:rsid w:val="005F0B4C"/>
    <w:rsid w:val="005F0B53"/>
    <w:rsid w:val="005F0C46"/>
    <w:rsid w:val="005F0D77"/>
    <w:rsid w:val="005F12B2"/>
    <w:rsid w:val="005F13EA"/>
    <w:rsid w:val="005F172A"/>
    <w:rsid w:val="005F1912"/>
    <w:rsid w:val="005F1C6B"/>
    <w:rsid w:val="005F1D64"/>
    <w:rsid w:val="005F1FE4"/>
    <w:rsid w:val="005F20AF"/>
    <w:rsid w:val="005F2309"/>
    <w:rsid w:val="005F2405"/>
    <w:rsid w:val="005F2441"/>
    <w:rsid w:val="005F327D"/>
    <w:rsid w:val="005F3527"/>
    <w:rsid w:val="005F369B"/>
    <w:rsid w:val="005F3702"/>
    <w:rsid w:val="005F3F7F"/>
    <w:rsid w:val="005F40E5"/>
    <w:rsid w:val="005F4660"/>
    <w:rsid w:val="005F46D9"/>
    <w:rsid w:val="005F4950"/>
    <w:rsid w:val="005F4BBE"/>
    <w:rsid w:val="005F509E"/>
    <w:rsid w:val="005F529D"/>
    <w:rsid w:val="005F5526"/>
    <w:rsid w:val="005F5ADB"/>
    <w:rsid w:val="005F5BF5"/>
    <w:rsid w:val="005F632F"/>
    <w:rsid w:val="005F660A"/>
    <w:rsid w:val="005F6680"/>
    <w:rsid w:val="005F668B"/>
    <w:rsid w:val="005F6697"/>
    <w:rsid w:val="005F6F9C"/>
    <w:rsid w:val="005F6FFC"/>
    <w:rsid w:val="005F7A13"/>
    <w:rsid w:val="005F7F11"/>
    <w:rsid w:val="006004DE"/>
    <w:rsid w:val="00600C9C"/>
    <w:rsid w:val="00600E1A"/>
    <w:rsid w:val="0060105C"/>
    <w:rsid w:val="00601072"/>
    <w:rsid w:val="0060144E"/>
    <w:rsid w:val="00601754"/>
    <w:rsid w:val="00601A30"/>
    <w:rsid w:val="00601C4E"/>
    <w:rsid w:val="00601D4D"/>
    <w:rsid w:val="00601FCD"/>
    <w:rsid w:val="00602354"/>
    <w:rsid w:val="0060243B"/>
    <w:rsid w:val="0060254B"/>
    <w:rsid w:val="00602656"/>
    <w:rsid w:val="0060268D"/>
    <w:rsid w:val="00602798"/>
    <w:rsid w:val="00602C8E"/>
    <w:rsid w:val="006039C5"/>
    <w:rsid w:val="00603B1B"/>
    <w:rsid w:val="00603DEF"/>
    <w:rsid w:val="00603F0B"/>
    <w:rsid w:val="00604148"/>
    <w:rsid w:val="006041CC"/>
    <w:rsid w:val="0060423B"/>
    <w:rsid w:val="006043D7"/>
    <w:rsid w:val="00604594"/>
    <w:rsid w:val="0060466F"/>
    <w:rsid w:val="00604708"/>
    <w:rsid w:val="00604AAE"/>
    <w:rsid w:val="00604CFF"/>
    <w:rsid w:val="00604FB9"/>
    <w:rsid w:val="00605207"/>
    <w:rsid w:val="00605399"/>
    <w:rsid w:val="006054EE"/>
    <w:rsid w:val="0060591D"/>
    <w:rsid w:val="006059EC"/>
    <w:rsid w:val="00605B5D"/>
    <w:rsid w:val="00605CD6"/>
    <w:rsid w:val="00605CF3"/>
    <w:rsid w:val="00605EBC"/>
    <w:rsid w:val="00606F6B"/>
    <w:rsid w:val="00607039"/>
    <w:rsid w:val="006074A6"/>
    <w:rsid w:val="006074B1"/>
    <w:rsid w:val="00607858"/>
    <w:rsid w:val="006079D8"/>
    <w:rsid w:val="00607ADE"/>
    <w:rsid w:val="00607CFB"/>
    <w:rsid w:val="00607E68"/>
    <w:rsid w:val="00607EA3"/>
    <w:rsid w:val="0061005A"/>
    <w:rsid w:val="006102C6"/>
    <w:rsid w:val="006103F0"/>
    <w:rsid w:val="00610473"/>
    <w:rsid w:val="006113A9"/>
    <w:rsid w:val="00611A0D"/>
    <w:rsid w:val="00611A24"/>
    <w:rsid w:val="00611E96"/>
    <w:rsid w:val="00612A01"/>
    <w:rsid w:val="00612C73"/>
    <w:rsid w:val="00612DCB"/>
    <w:rsid w:val="00613036"/>
    <w:rsid w:val="0061329B"/>
    <w:rsid w:val="00613422"/>
    <w:rsid w:val="006134CE"/>
    <w:rsid w:val="006138D8"/>
    <w:rsid w:val="00614064"/>
    <w:rsid w:val="006141D8"/>
    <w:rsid w:val="00614CB4"/>
    <w:rsid w:val="00614D1E"/>
    <w:rsid w:val="0061524B"/>
    <w:rsid w:val="0061565F"/>
    <w:rsid w:val="00615850"/>
    <w:rsid w:val="00615BDB"/>
    <w:rsid w:val="00615DA7"/>
    <w:rsid w:val="006163CC"/>
    <w:rsid w:val="00616885"/>
    <w:rsid w:val="00616B98"/>
    <w:rsid w:val="00616E6A"/>
    <w:rsid w:val="0061717F"/>
    <w:rsid w:val="006171DC"/>
    <w:rsid w:val="0061723D"/>
    <w:rsid w:val="006175CF"/>
    <w:rsid w:val="00617AAC"/>
    <w:rsid w:val="006201A2"/>
    <w:rsid w:val="00620254"/>
    <w:rsid w:val="00620686"/>
    <w:rsid w:val="006209E8"/>
    <w:rsid w:val="0062155F"/>
    <w:rsid w:val="00621669"/>
    <w:rsid w:val="00621B6A"/>
    <w:rsid w:val="00621C0B"/>
    <w:rsid w:val="00621C72"/>
    <w:rsid w:val="00621CAD"/>
    <w:rsid w:val="006225EE"/>
    <w:rsid w:val="006226CA"/>
    <w:rsid w:val="0062286B"/>
    <w:rsid w:val="00622DF3"/>
    <w:rsid w:val="00623427"/>
    <w:rsid w:val="00623780"/>
    <w:rsid w:val="00623EF3"/>
    <w:rsid w:val="00623FCD"/>
    <w:rsid w:val="00624304"/>
    <w:rsid w:val="00624721"/>
    <w:rsid w:val="00624AFA"/>
    <w:rsid w:val="00624C16"/>
    <w:rsid w:val="00624C6E"/>
    <w:rsid w:val="00624FB3"/>
    <w:rsid w:val="00625423"/>
    <w:rsid w:val="00625B24"/>
    <w:rsid w:val="0062657C"/>
    <w:rsid w:val="00626850"/>
    <w:rsid w:val="006269CB"/>
    <w:rsid w:val="00626C25"/>
    <w:rsid w:val="00626E64"/>
    <w:rsid w:val="00626EB1"/>
    <w:rsid w:val="0062765A"/>
    <w:rsid w:val="00627BA3"/>
    <w:rsid w:val="00627BF8"/>
    <w:rsid w:val="00627C39"/>
    <w:rsid w:val="00627E44"/>
    <w:rsid w:val="006300D7"/>
    <w:rsid w:val="0063046A"/>
    <w:rsid w:val="006307B0"/>
    <w:rsid w:val="00631007"/>
    <w:rsid w:val="00631826"/>
    <w:rsid w:val="00631E8A"/>
    <w:rsid w:val="00632507"/>
    <w:rsid w:val="006326BC"/>
    <w:rsid w:val="00632927"/>
    <w:rsid w:val="00632A0E"/>
    <w:rsid w:val="00632A4C"/>
    <w:rsid w:val="00632BF5"/>
    <w:rsid w:val="00633296"/>
    <w:rsid w:val="00633780"/>
    <w:rsid w:val="006338F7"/>
    <w:rsid w:val="00633951"/>
    <w:rsid w:val="00633965"/>
    <w:rsid w:val="00633A6D"/>
    <w:rsid w:val="00633B27"/>
    <w:rsid w:val="00633B5E"/>
    <w:rsid w:val="00633C0A"/>
    <w:rsid w:val="00633C58"/>
    <w:rsid w:val="00633D62"/>
    <w:rsid w:val="00633E1D"/>
    <w:rsid w:val="0063405E"/>
    <w:rsid w:val="006340D3"/>
    <w:rsid w:val="006341AD"/>
    <w:rsid w:val="006345BB"/>
    <w:rsid w:val="006347F5"/>
    <w:rsid w:val="00635372"/>
    <w:rsid w:val="00635389"/>
    <w:rsid w:val="00635AEE"/>
    <w:rsid w:val="00635EDC"/>
    <w:rsid w:val="00635F56"/>
    <w:rsid w:val="00636094"/>
    <w:rsid w:val="0063681F"/>
    <w:rsid w:val="00636A76"/>
    <w:rsid w:val="00636D5C"/>
    <w:rsid w:val="00636D86"/>
    <w:rsid w:val="00636FB3"/>
    <w:rsid w:val="00637395"/>
    <w:rsid w:val="006373B0"/>
    <w:rsid w:val="006373C7"/>
    <w:rsid w:val="006374F0"/>
    <w:rsid w:val="00637E00"/>
    <w:rsid w:val="006401C6"/>
    <w:rsid w:val="00640207"/>
    <w:rsid w:val="00640222"/>
    <w:rsid w:val="00640529"/>
    <w:rsid w:val="00640613"/>
    <w:rsid w:val="006409F3"/>
    <w:rsid w:val="00640C8D"/>
    <w:rsid w:val="00640D97"/>
    <w:rsid w:val="00641061"/>
    <w:rsid w:val="006416DD"/>
    <w:rsid w:val="006419B1"/>
    <w:rsid w:val="006419ED"/>
    <w:rsid w:val="00642BA1"/>
    <w:rsid w:val="00642D10"/>
    <w:rsid w:val="006434BA"/>
    <w:rsid w:val="00643769"/>
    <w:rsid w:val="006437A9"/>
    <w:rsid w:val="006438EE"/>
    <w:rsid w:val="00643973"/>
    <w:rsid w:val="00644177"/>
    <w:rsid w:val="00644200"/>
    <w:rsid w:val="0064428B"/>
    <w:rsid w:val="00644511"/>
    <w:rsid w:val="0064486C"/>
    <w:rsid w:val="00644E60"/>
    <w:rsid w:val="00644F00"/>
    <w:rsid w:val="006457B7"/>
    <w:rsid w:val="0064795E"/>
    <w:rsid w:val="00647CB1"/>
    <w:rsid w:val="00647CB3"/>
    <w:rsid w:val="00647D60"/>
    <w:rsid w:val="00650150"/>
    <w:rsid w:val="0065043A"/>
    <w:rsid w:val="00650854"/>
    <w:rsid w:val="00650B51"/>
    <w:rsid w:val="00650CF1"/>
    <w:rsid w:val="00650D1E"/>
    <w:rsid w:val="00650D8D"/>
    <w:rsid w:val="00650DFE"/>
    <w:rsid w:val="00650EB8"/>
    <w:rsid w:val="00650F7C"/>
    <w:rsid w:val="00650FBE"/>
    <w:rsid w:val="00651216"/>
    <w:rsid w:val="006513D5"/>
    <w:rsid w:val="006518B1"/>
    <w:rsid w:val="00651AD3"/>
    <w:rsid w:val="00651CE8"/>
    <w:rsid w:val="00651F1A"/>
    <w:rsid w:val="00651FA0"/>
    <w:rsid w:val="006529A8"/>
    <w:rsid w:val="00652BB4"/>
    <w:rsid w:val="00652F9D"/>
    <w:rsid w:val="00653273"/>
    <w:rsid w:val="00653A03"/>
    <w:rsid w:val="00653BEA"/>
    <w:rsid w:val="006542FE"/>
    <w:rsid w:val="00654346"/>
    <w:rsid w:val="0065443C"/>
    <w:rsid w:val="006544F6"/>
    <w:rsid w:val="00654A45"/>
    <w:rsid w:val="00654B42"/>
    <w:rsid w:val="00654C1F"/>
    <w:rsid w:val="00654C81"/>
    <w:rsid w:val="00654EFE"/>
    <w:rsid w:val="00655070"/>
    <w:rsid w:val="00655223"/>
    <w:rsid w:val="00655595"/>
    <w:rsid w:val="00655780"/>
    <w:rsid w:val="0065594D"/>
    <w:rsid w:val="006561FF"/>
    <w:rsid w:val="0065657D"/>
    <w:rsid w:val="00656D6F"/>
    <w:rsid w:val="00657005"/>
    <w:rsid w:val="006571EB"/>
    <w:rsid w:val="006578D9"/>
    <w:rsid w:val="00657F67"/>
    <w:rsid w:val="006600A5"/>
    <w:rsid w:val="006601A6"/>
    <w:rsid w:val="006601F9"/>
    <w:rsid w:val="006602D1"/>
    <w:rsid w:val="0066055C"/>
    <w:rsid w:val="006605DC"/>
    <w:rsid w:val="00660AF9"/>
    <w:rsid w:val="00661324"/>
    <w:rsid w:val="00661636"/>
    <w:rsid w:val="00661664"/>
    <w:rsid w:val="00661CC2"/>
    <w:rsid w:val="00661D38"/>
    <w:rsid w:val="00661F9A"/>
    <w:rsid w:val="00662166"/>
    <w:rsid w:val="00662BF0"/>
    <w:rsid w:val="00662DE9"/>
    <w:rsid w:val="00662FA2"/>
    <w:rsid w:val="006635DC"/>
    <w:rsid w:val="00663908"/>
    <w:rsid w:val="0066402E"/>
    <w:rsid w:val="00664250"/>
    <w:rsid w:val="0066467E"/>
    <w:rsid w:val="006646F4"/>
    <w:rsid w:val="00664BF5"/>
    <w:rsid w:val="00665229"/>
    <w:rsid w:val="00665316"/>
    <w:rsid w:val="006654E8"/>
    <w:rsid w:val="00665589"/>
    <w:rsid w:val="0066568F"/>
    <w:rsid w:val="00665882"/>
    <w:rsid w:val="00665CCE"/>
    <w:rsid w:val="0066604E"/>
    <w:rsid w:val="006662D2"/>
    <w:rsid w:val="00666948"/>
    <w:rsid w:val="00666C94"/>
    <w:rsid w:val="006672FC"/>
    <w:rsid w:val="0066736D"/>
    <w:rsid w:val="00667490"/>
    <w:rsid w:val="00667A27"/>
    <w:rsid w:val="006704BF"/>
    <w:rsid w:val="00670A74"/>
    <w:rsid w:val="00670AD6"/>
    <w:rsid w:val="00670D20"/>
    <w:rsid w:val="00670ECD"/>
    <w:rsid w:val="006710F4"/>
    <w:rsid w:val="00671773"/>
    <w:rsid w:val="00671C8F"/>
    <w:rsid w:val="006723C8"/>
    <w:rsid w:val="00672966"/>
    <w:rsid w:val="006729A2"/>
    <w:rsid w:val="00672F44"/>
    <w:rsid w:val="00672F59"/>
    <w:rsid w:val="00673201"/>
    <w:rsid w:val="0067330E"/>
    <w:rsid w:val="006735BC"/>
    <w:rsid w:val="006737DD"/>
    <w:rsid w:val="006738D4"/>
    <w:rsid w:val="00673BDE"/>
    <w:rsid w:val="00673EB7"/>
    <w:rsid w:val="00673F0A"/>
    <w:rsid w:val="00673FBF"/>
    <w:rsid w:val="006742D7"/>
    <w:rsid w:val="00674460"/>
    <w:rsid w:val="00674474"/>
    <w:rsid w:val="00674AC9"/>
    <w:rsid w:val="00674C05"/>
    <w:rsid w:val="0067517B"/>
    <w:rsid w:val="00675652"/>
    <w:rsid w:val="006757DC"/>
    <w:rsid w:val="006767B8"/>
    <w:rsid w:val="00676D77"/>
    <w:rsid w:val="00677370"/>
    <w:rsid w:val="00677725"/>
    <w:rsid w:val="006777A2"/>
    <w:rsid w:val="006777EC"/>
    <w:rsid w:val="00677F20"/>
    <w:rsid w:val="00677FC7"/>
    <w:rsid w:val="0068013A"/>
    <w:rsid w:val="00680199"/>
    <w:rsid w:val="0068092D"/>
    <w:rsid w:val="00680A97"/>
    <w:rsid w:val="00680C05"/>
    <w:rsid w:val="00680F30"/>
    <w:rsid w:val="00680F81"/>
    <w:rsid w:val="0068102D"/>
    <w:rsid w:val="0068139A"/>
    <w:rsid w:val="006818AD"/>
    <w:rsid w:val="006819F6"/>
    <w:rsid w:val="00681A9A"/>
    <w:rsid w:val="00681BF2"/>
    <w:rsid w:val="0068226B"/>
    <w:rsid w:val="00682318"/>
    <w:rsid w:val="006827C5"/>
    <w:rsid w:val="00682A4A"/>
    <w:rsid w:val="00682A54"/>
    <w:rsid w:val="00682EBF"/>
    <w:rsid w:val="00682ED3"/>
    <w:rsid w:val="00683136"/>
    <w:rsid w:val="00683BF9"/>
    <w:rsid w:val="00683D7F"/>
    <w:rsid w:val="00683D8A"/>
    <w:rsid w:val="00684035"/>
    <w:rsid w:val="006841F4"/>
    <w:rsid w:val="00684258"/>
    <w:rsid w:val="00684353"/>
    <w:rsid w:val="00684D09"/>
    <w:rsid w:val="00685586"/>
    <w:rsid w:val="00685725"/>
    <w:rsid w:val="00685C19"/>
    <w:rsid w:val="00685C28"/>
    <w:rsid w:val="00685D3B"/>
    <w:rsid w:val="0068623E"/>
    <w:rsid w:val="00686366"/>
    <w:rsid w:val="0068653A"/>
    <w:rsid w:val="0068657C"/>
    <w:rsid w:val="006866A7"/>
    <w:rsid w:val="0068673B"/>
    <w:rsid w:val="00686C33"/>
    <w:rsid w:val="0068721F"/>
    <w:rsid w:val="006874DD"/>
    <w:rsid w:val="00687778"/>
    <w:rsid w:val="006879C9"/>
    <w:rsid w:val="006879D8"/>
    <w:rsid w:val="00690386"/>
    <w:rsid w:val="006904C0"/>
    <w:rsid w:val="00690D12"/>
    <w:rsid w:val="00690F0E"/>
    <w:rsid w:val="006919C5"/>
    <w:rsid w:val="00691D43"/>
    <w:rsid w:val="00692526"/>
    <w:rsid w:val="00692602"/>
    <w:rsid w:val="00692799"/>
    <w:rsid w:val="006927F0"/>
    <w:rsid w:val="00692979"/>
    <w:rsid w:val="00692A0D"/>
    <w:rsid w:val="00693077"/>
    <w:rsid w:val="00693096"/>
    <w:rsid w:val="00693295"/>
    <w:rsid w:val="00693386"/>
    <w:rsid w:val="00693B74"/>
    <w:rsid w:val="00693CA1"/>
    <w:rsid w:val="00693CCC"/>
    <w:rsid w:val="006943ED"/>
    <w:rsid w:val="0069447C"/>
    <w:rsid w:val="0069461D"/>
    <w:rsid w:val="006949AD"/>
    <w:rsid w:val="006949CD"/>
    <w:rsid w:val="00694D1C"/>
    <w:rsid w:val="00694D7A"/>
    <w:rsid w:val="00695A99"/>
    <w:rsid w:val="00695E95"/>
    <w:rsid w:val="00695ED9"/>
    <w:rsid w:val="00696244"/>
    <w:rsid w:val="006969D6"/>
    <w:rsid w:val="0069755C"/>
    <w:rsid w:val="006979DC"/>
    <w:rsid w:val="00697C2C"/>
    <w:rsid w:val="006A05EF"/>
    <w:rsid w:val="006A0942"/>
    <w:rsid w:val="006A0950"/>
    <w:rsid w:val="006A18CF"/>
    <w:rsid w:val="006A18DD"/>
    <w:rsid w:val="006A221C"/>
    <w:rsid w:val="006A2347"/>
    <w:rsid w:val="006A24B3"/>
    <w:rsid w:val="006A267B"/>
    <w:rsid w:val="006A2733"/>
    <w:rsid w:val="006A2CB0"/>
    <w:rsid w:val="006A2D0E"/>
    <w:rsid w:val="006A2E66"/>
    <w:rsid w:val="006A2F39"/>
    <w:rsid w:val="006A3227"/>
    <w:rsid w:val="006A3290"/>
    <w:rsid w:val="006A334D"/>
    <w:rsid w:val="006A3396"/>
    <w:rsid w:val="006A3574"/>
    <w:rsid w:val="006A3976"/>
    <w:rsid w:val="006A3C8E"/>
    <w:rsid w:val="006A3D47"/>
    <w:rsid w:val="006A3F94"/>
    <w:rsid w:val="006A4113"/>
    <w:rsid w:val="006A457C"/>
    <w:rsid w:val="006A4584"/>
    <w:rsid w:val="006A484F"/>
    <w:rsid w:val="006A49B5"/>
    <w:rsid w:val="006A5185"/>
    <w:rsid w:val="006A5A45"/>
    <w:rsid w:val="006A5CA3"/>
    <w:rsid w:val="006A5E26"/>
    <w:rsid w:val="006A606B"/>
    <w:rsid w:val="006A63DA"/>
    <w:rsid w:val="006A64B0"/>
    <w:rsid w:val="006A6725"/>
    <w:rsid w:val="006A67F4"/>
    <w:rsid w:val="006A6B69"/>
    <w:rsid w:val="006A6CCF"/>
    <w:rsid w:val="006A6D8A"/>
    <w:rsid w:val="006A7574"/>
    <w:rsid w:val="006A7984"/>
    <w:rsid w:val="006A7BF2"/>
    <w:rsid w:val="006A7C40"/>
    <w:rsid w:val="006A7FDD"/>
    <w:rsid w:val="006B01C8"/>
    <w:rsid w:val="006B0489"/>
    <w:rsid w:val="006B0A5E"/>
    <w:rsid w:val="006B0B1F"/>
    <w:rsid w:val="006B0C66"/>
    <w:rsid w:val="006B1235"/>
    <w:rsid w:val="006B14F4"/>
    <w:rsid w:val="006B1605"/>
    <w:rsid w:val="006B163E"/>
    <w:rsid w:val="006B166D"/>
    <w:rsid w:val="006B18B8"/>
    <w:rsid w:val="006B19B2"/>
    <w:rsid w:val="006B1A22"/>
    <w:rsid w:val="006B1DA2"/>
    <w:rsid w:val="006B1F5F"/>
    <w:rsid w:val="006B20F8"/>
    <w:rsid w:val="006B21E9"/>
    <w:rsid w:val="006B242D"/>
    <w:rsid w:val="006B2790"/>
    <w:rsid w:val="006B32B5"/>
    <w:rsid w:val="006B393F"/>
    <w:rsid w:val="006B3E55"/>
    <w:rsid w:val="006B4566"/>
    <w:rsid w:val="006B460F"/>
    <w:rsid w:val="006B47AD"/>
    <w:rsid w:val="006B4A50"/>
    <w:rsid w:val="006B4D4E"/>
    <w:rsid w:val="006B4EB4"/>
    <w:rsid w:val="006B50E1"/>
    <w:rsid w:val="006B59E7"/>
    <w:rsid w:val="006B6125"/>
    <w:rsid w:val="006B6A1A"/>
    <w:rsid w:val="006B6A81"/>
    <w:rsid w:val="006B6AD0"/>
    <w:rsid w:val="006B6B4C"/>
    <w:rsid w:val="006B6BA3"/>
    <w:rsid w:val="006B6C95"/>
    <w:rsid w:val="006B725C"/>
    <w:rsid w:val="006B7402"/>
    <w:rsid w:val="006B785D"/>
    <w:rsid w:val="006B7864"/>
    <w:rsid w:val="006B789D"/>
    <w:rsid w:val="006C02E3"/>
    <w:rsid w:val="006C03B2"/>
    <w:rsid w:val="006C0611"/>
    <w:rsid w:val="006C09DD"/>
    <w:rsid w:val="006C0A1A"/>
    <w:rsid w:val="006C10B4"/>
    <w:rsid w:val="006C1134"/>
    <w:rsid w:val="006C1B3F"/>
    <w:rsid w:val="006C200A"/>
    <w:rsid w:val="006C2113"/>
    <w:rsid w:val="006C2116"/>
    <w:rsid w:val="006C27DA"/>
    <w:rsid w:val="006C3009"/>
    <w:rsid w:val="006C375B"/>
    <w:rsid w:val="006C377A"/>
    <w:rsid w:val="006C3F40"/>
    <w:rsid w:val="006C4411"/>
    <w:rsid w:val="006C44D3"/>
    <w:rsid w:val="006C45C1"/>
    <w:rsid w:val="006C4B0F"/>
    <w:rsid w:val="006C4B11"/>
    <w:rsid w:val="006C4C1C"/>
    <w:rsid w:val="006C4D69"/>
    <w:rsid w:val="006C5023"/>
    <w:rsid w:val="006C50C3"/>
    <w:rsid w:val="006C50D3"/>
    <w:rsid w:val="006C5215"/>
    <w:rsid w:val="006C566C"/>
    <w:rsid w:val="006C57EC"/>
    <w:rsid w:val="006C5A4C"/>
    <w:rsid w:val="006C5A93"/>
    <w:rsid w:val="006C5B3E"/>
    <w:rsid w:val="006C5C20"/>
    <w:rsid w:val="006C5FF1"/>
    <w:rsid w:val="006C6253"/>
    <w:rsid w:val="006C6287"/>
    <w:rsid w:val="006C6649"/>
    <w:rsid w:val="006C677C"/>
    <w:rsid w:val="006C6A05"/>
    <w:rsid w:val="006C6E76"/>
    <w:rsid w:val="006C6E92"/>
    <w:rsid w:val="006C6FF5"/>
    <w:rsid w:val="006C7428"/>
    <w:rsid w:val="006C75C9"/>
    <w:rsid w:val="006D011A"/>
    <w:rsid w:val="006D0233"/>
    <w:rsid w:val="006D03CD"/>
    <w:rsid w:val="006D0A70"/>
    <w:rsid w:val="006D0AD9"/>
    <w:rsid w:val="006D0DED"/>
    <w:rsid w:val="006D19ED"/>
    <w:rsid w:val="006D1A23"/>
    <w:rsid w:val="006D1F1A"/>
    <w:rsid w:val="006D21FF"/>
    <w:rsid w:val="006D2627"/>
    <w:rsid w:val="006D2B11"/>
    <w:rsid w:val="006D2B29"/>
    <w:rsid w:val="006D3104"/>
    <w:rsid w:val="006D31AF"/>
    <w:rsid w:val="006D31DD"/>
    <w:rsid w:val="006D343D"/>
    <w:rsid w:val="006D38D1"/>
    <w:rsid w:val="006D3D66"/>
    <w:rsid w:val="006D3E35"/>
    <w:rsid w:val="006D409F"/>
    <w:rsid w:val="006D47FF"/>
    <w:rsid w:val="006D492A"/>
    <w:rsid w:val="006D493C"/>
    <w:rsid w:val="006D4E49"/>
    <w:rsid w:val="006D4F72"/>
    <w:rsid w:val="006D5606"/>
    <w:rsid w:val="006D59BF"/>
    <w:rsid w:val="006D5AE7"/>
    <w:rsid w:val="006D5EC2"/>
    <w:rsid w:val="006D5FEF"/>
    <w:rsid w:val="006D615D"/>
    <w:rsid w:val="006D63C2"/>
    <w:rsid w:val="006D7598"/>
    <w:rsid w:val="006D7B93"/>
    <w:rsid w:val="006D7D41"/>
    <w:rsid w:val="006D7DAD"/>
    <w:rsid w:val="006E0166"/>
    <w:rsid w:val="006E0ADC"/>
    <w:rsid w:val="006E0B16"/>
    <w:rsid w:val="006E0E60"/>
    <w:rsid w:val="006E0ED0"/>
    <w:rsid w:val="006E16A3"/>
    <w:rsid w:val="006E176F"/>
    <w:rsid w:val="006E22CC"/>
    <w:rsid w:val="006E2AA6"/>
    <w:rsid w:val="006E3854"/>
    <w:rsid w:val="006E3BA9"/>
    <w:rsid w:val="006E3D3A"/>
    <w:rsid w:val="006E40E5"/>
    <w:rsid w:val="006E459B"/>
    <w:rsid w:val="006E4752"/>
    <w:rsid w:val="006E4917"/>
    <w:rsid w:val="006E4989"/>
    <w:rsid w:val="006E5093"/>
    <w:rsid w:val="006E512D"/>
    <w:rsid w:val="006E5151"/>
    <w:rsid w:val="006E54EC"/>
    <w:rsid w:val="006E554E"/>
    <w:rsid w:val="006E564B"/>
    <w:rsid w:val="006E574E"/>
    <w:rsid w:val="006E5C5E"/>
    <w:rsid w:val="006E5F8F"/>
    <w:rsid w:val="006E5FE9"/>
    <w:rsid w:val="006E6043"/>
    <w:rsid w:val="006E6A05"/>
    <w:rsid w:val="006E6DA9"/>
    <w:rsid w:val="006E6F03"/>
    <w:rsid w:val="006E71A8"/>
    <w:rsid w:val="006E7320"/>
    <w:rsid w:val="006E7496"/>
    <w:rsid w:val="006E792F"/>
    <w:rsid w:val="006E7969"/>
    <w:rsid w:val="006E7E49"/>
    <w:rsid w:val="006E7F71"/>
    <w:rsid w:val="006E7F8D"/>
    <w:rsid w:val="006F0072"/>
    <w:rsid w:val="006F04E2"/>
    <w:rsid w:val="006F05C2"/>
    <w:rsid w:val="006F090B"/>
    <w:rsid w:val="006F0C12"/>
    <w:rsid w:val="006F0E20"/>
    <w:rsid w:val="006F0EB1"/>
    <w:rsid w:val="006F0EE4"/>
    <w:rsid w:val="006F0F6F"/>
    <w:rsid w:val="006F1008"/>
    <w:rsid w:val="006F1295"/>
    <w:rsid w:val="006F18C5"/>
    <w:rsid w:val="006F1D86"/>
    <w:rsid w:val="006F22CB"/>
    <w:rsid w:val="006F291E"/>
    <w:rsid w:val="006F2E21"/>
    <w:rsid w:val="006F3052"/>
    <w:rsid w:val="006F305E"/>
    <w:rsid w:val="006F314D"/>
    <w:rsid w:val="006F3431"/>
    <w:rsid w:val="006F3738"/>
    <w:rsid w:val="006F3B01"/>
    <w:rsid w:val="006F3BDF"/>
    <w:rsid w:val="006F4072"/>
    <w:rsid w:val="006F4189"/>
    <w:rsid w:val="006F4A19"/>
    <w:rsid w:val="006F543B"/>
    <w:rsid w:val="006F557B"/>
    <w:rsid w:val="006F5B41"/>
    <w:rsid w:val="006F6689"/>
    <w:rsid w:val="006F6740"/>
    <w:rsid w:val="006F6967"/>
    <w:rsid w:val="006F7181"/>
    <w:rsid w:val="006F73A7"/>
    <w:rsid w:val="006F746D"/>
    <w:rsid w:val="006F7A92"/>
    <w:rsid w:val="006F7C53"/>
    <w:rsid w:val="006F7E42"/>
    <w:rsid w:val="00700042"/>
    <w:rsid w:val="0070023A"/>
    <w:rsid w:val="00700292"/>
    <w:rsid w:val="007002E7"/>
    <w:rsid w:val="007003F7"/>
    <w:rsid w:val="0070179E"/>
    <w:rsid w:val="007017EA"/>
    <w:rsid w:val="0070181F"/>
    <w:rsid w:val="0070193E"/>
    <w:rsid w:val="00701B27"/>
    <w:rsid w:val="0070212B"/>
    <w:rsid w:val="00702371"/>
    <w:rsid w:val="00702A12"/>
    <w:rsid w:val="00702BFC"/>
    <w:rsid w:val="0070339E"/>
    <w:rsid w:val="007034BC"/>
    <w:rsid w:val="007035F6"/>
    <w:rsid w:val="007036E5"/>
    <w:rsid w:val="00703717"/>
    <w:rsid w:val="00703AE5"/>
    <w:rsid w:val="00703D58"/>
    <w:rsid w:val="00703E70"/>
    <w:rsid w:val="007044C2"/>
    <w:rsid w:val="007047A7"/>
    <w:rsid w:val="00704A33"/>
    <w:rsid w:val="00704DEB"/>
    <w:rsid w:val="00704E92"/>
    <w:rsid w:val="007053AB"/>
    <w:rsid w:val="00705584"/>
    <w:rsid w:val="00705E96"/>
    <w:rsid w:val="007062A3"/>
    <w:rsid w:val="00706E08"/>
    <w:rsid w:val="00706F3F"/>
    <w:rsid w:val="0070711F"/>
    <w:rsid w:val="0070730D"/>
    <w:rsid w:val="0070743B"/>
    <w:rsid w:val="0070796A"/>
    <w:rsid w:val="00707A89"/>
    <w:rsid w:val="00707AF0"/>
    <w:rsid w:val="00710046"/>
    <w:rsid w:val="007101EE"/>
    <w:rsid w:val="00710905"/>
    <w:rsid w:val="00710994"/>
    <w:rsid w:val="007109CD"/>
    <w:rsid w:val="00710A3E"/>
    <w:rsid w:val="00710D33"/>
    <w:rsid w:val="007110FE"/>
    <w:rsid w:val="007112E2"/>
    <w:rsid w:val="00711760"/>
    <w:rsid w:val="0071196B"/>
    <w:rsid w:val="00711A0F"/>
    <w:rsid w:val="00711AE4"/>
    <w:rsid w:val="00711CBA"/>
    <w:rsid w:val="00711D10"/>
    <w:rsid w:val="00711D73"/>
    <w:rsid w:val="00711E0C"/>
    <w:rsid w:val="00711F36"/>
    <w:rsid w:val="00712163"/>
    <w:rsid w:val="007128DA"/>
    <w:rsid w:val="00712A0F"/>
    <w:rsid w:val="00712DBC"/>
    <w:rsid w:val="00712FDB"/>
    <w:rsid w:val="0071374D"/>
    <w:rsid w:val="00713CC0"/>
    <w:rsid w:val="0071405A"/>
    <w:rsid w:val="00714095"/>
    <w:rsid w:val="00714312"/>
    <w:rsid w:val="00714526"/>
    <w:rsid w:val="00714722"/>
    <w:rsid w:val="00714A2D"/>
    <w:rsid w:val="00714D6A"/>
    <w:rsid w:val="00715920"/>
    <w:rsid w:val="00715F49"/>
    <w:rsid w:val="007162F2"/>
    <w:rsid w:val="007163BF"/>
    <w:rsid w:val="0071649C"/>
    <w:rsid w:val="00716528"/>
    <w:rsid w:val="007166BC"/>
    <w:rsid w:val="00716FC0"/>
    <w:rsid w:val="00717267"/>
    <w:rsid w:val="007178EE"/>
    <w:rsid w:val="00717B0A"/>
    <w:rsid w:val="00720557"/>
    <w:rsid w:val="00720759"/>
    <w:rsid w:val="007208FF"/>
    <w:rsid w:val="00720BD4"/>
    <w:rsid w:val="00721011"/>
    <w:rsid w:val="0072116F"/>
    <w:rsid w:val="007215A9"/>
    <w:rsid w:val="007215BF"/>
    <w:rsid w:val="007218A9"/>
    <w:rsid w:val="0072190B"/>
    <w:rsid w:val="00721E1D"/>
    <w:rsid w:val="00721E87"/>
    <w:rsid w:val="00721F9A"/>
    <w:rsid w:val="00722B72"/>
    <w:rsid w:val="00723701"/>
    <w:rsid w:val="00723C3F"/>
    <w:rsid w:val="00723C7E"/>
    <w:rsid w:val="00723E4E"/>
    <w:rsid w:val="00723EC3"/>
    <w:rsid w:val="00724426"/>
    <w:rsid w:val="00724EC7"/>
    <w:rsid w:val="00725068"/>
    <w:rsid w:val="007254B1"/>
    <w:rsid w:val="0072560E"/>
    <w:rsid w:val="00725CB6"/>
    <w:rsid w:val="00725D75"/>
    <w:rsid w:val="0072602E"/>
    <w:rsid w:val="00726281"/>
    <w:rsid w:val="0072665F"/>
    <w:rsid w:val="007268C3"/>
    <w:rsid w:val="00726EAA"/>
    <w:rsid w:val="00727E9F"/>
    <w:rsid w:val="00727F22"/>
    <w:rsid w:val="00730302"/>
    <w:rsid w:val="00730E1C"/>
    <w:rsid w:val="0073128B"/>
    <w:rsid w:val="0073171A"/>
    <w:rsid w:val="00731793"/>
    <w:rsid w:val="007319D1"/>
    <w:rsid w:val="00731A41"/>
    <w:rsid w:val="00731AFA"/>
    <w:rsid w:val="00731C75"/>
    <w:rsid w:val="00731D37"/>
    <w:rsid w:val="00731DAC"/>
    <w:rsid w:val="00731E4B"/>
    <w:rsid w:val="00732321"/>
    <w:rsid w:val="0073323F"/>
    <w:rsid w:val="00733315"/>
    <w:rsid w:val="00733858"/>
    <w:rsid w:val="00733A2B"/>
    <w:rsid w:val="00733A74"/>
    <w:rsid w:val="00733A80"/>
    <w:rsid w:val="00733AA9"/>
    <w:rsid w:val="00733B85"/>
    <w:rsid w:val="00733C23"/>
    <w:rsid w:val="00733D80"/>
    <w:rsid w:val="00733F4E"/>
    <w:rsid w:val="00734133"/>
    <w:rsid w:val="0073448F"/>
    <w:rsid w:val="0073473D"/>
    <w:rsid w:val="0073497A"/>
    <w:rsid w:val="00735519"/>
    <w:rsid w:val="007356D0"/>
    <w:rsid w:val="0073637C"/>
    <w:rsid w:val="00736521"/>
    <w:rsid w:val="007366CA"/>
    <w:rsid w:val="007366E4"/>
    <w:rsid w:val="00736D7B"/>
    <w:rsid w:val="007377ED"/>
    <w:rsid w:val="007379C8"/>
    <w:rsid w:val="00740087"/>
    <w:rsid w:val="00740094"/>
    <w:rsid w:val="00740698"/>
    <w:rsid w:val="007406C0"/>
    <w:rsid w:val="00740AC1"/>
    <w:rsid w:val="00740BBF"/>
    <w:rsid w:val="00740CD3"/>
    <w:rsid w:val="0074108B"/>
    <w:rsid w:val="007418A6"/>
    <w:rsid w:val="00741A05"/>
    <w:rsid w:val="00741A48"/>
    <w:rsid w:val="007420C9"/>
    <w:rsid w:val="00742235"/>
    <w:rsid w:val="00742695"/>
    <w:rsid w:val="007426B7"/>
    <w:rsid w:val="00742A51"/>
    <w:rsid w:val="00742BFB"/>
    <w:rsid w:val="00742EC0"/>
    <w:rsid w:val="007430F0"/>
    <w:rsid w:val="00743739"/>
    <w:rsid w:val="00743757"/>
    <w:rsid w:val="0074383F"/>
    <w:rsid w:val="00743867"/>
    <w:rsid w:val="007439D6"/>
    <w:rsid w:val="00744055"/>
    <w:rsid w:val="00744234"/>
    <w:rsid w:val="0074460B"/>
    <w:rsid w:val="00744F0F"/>
    <w:rsid w:val="00744FB1"/>
    <w:rsid w:val="00745307"/>
    <w:rsid w:val="0074576E"/>
    <w:rsid w:val="00745EB5"/>
    <w:rsid w:val="00745EBB"/>
    <w:rsid w:val="00746167"/>
    <w:rsid w:val="00746199"/>
    <w:rsid w:val="007462A6"/>
    <w:rsid w:val="0074644A"/>
    <w:rsid w:val="007464E7"/>
    <w:rsid w:val="00747446"/>
    <w:rsid w:val="0074769D"/>
    <w:rsid w:val="0074779C"/>
    <w:rsid w:val="00747BD8"/>
    <w:rsid w:val="00747E09"/>
    <w:rsid w:val="00747F05"/>
    <w:rsid w:val="007500FC"/>
    <w:rsid w:val="0075038A"/>
    <w:rsid w:val="007509F9"/>
    <w:rsid w:val="00750AE2"/>
    <w:rsid w:val="00750EF0"/>
    <w:rsid w:val="007512D3"/>
    <w:rsid w:val="007515C8"/>
    <w:rsid w:val="007517D1"/>
    <w:rsid w:val="00751F76"/>
    <w:rsid w:val="00752438"/>
    <w:rsid w:val="00752497"/>
    <w:rsid w:val="0075250F"/>
    <w:rsid w:val="007527B8"/>
    <w:rsid w:val="00752880"/>
    <w:rsid w:val="0075288B"/>
    <w:rsid w:val="00752C5C"/>
    <w:rsid w:val="00752FE7"/>
    <w:rsid w:val="0075312F"/>
    <w:rsid w:val="007536BB"/>
    <w:rsid w:val="00753B0F"/>
    <w:rsid w:val="00753B9D"/>
    <w:rsid w:val="00753F01"/>
    <w:rsid w:val="0075412E"/>
    <w:rsid w:val="00754D64"/>
    <w:rsid w:val="00754EDC"/>
    <w:rsid w:val="0075563B"/>
    <w:rsid w:val="007557D1"/>
    <w:rsid w:val="0075583A"/>
    <w:rsid w:val="00755B06"/>
    <w:rsid w:val="00755BE6"/>
    <w:rsid w:val="00755C07"/>
    <w:rsid w:val="00755E06"/>
    <w:rsid w:val="00756381"/>
    <w:rsid w:val="007564B4"/>
    <w:rsid w:val="007565E2"/>
    <w:rsid w:val="00756C92"/>
    <w:rsid w:val="007570A3"/>
    <w:rsid w:val="007572E9"/>
    <w:rsid w:val="00757495"/>
    <w:rsid w:val="00757A61"/>
    <w:rsid w:val="00757BD1"/>
    <w:rsid w:val="00757CD9"/>
    <w:rsid w:val="00757D4D"/>
    <w:rsid w:val="00757E8E"/>
    <w:rsid w:val="00757FE8"/>
    <w:rsid w:val="007600CF"/>
    <w:rsid w:val="00760194"/>
    <w:rsid w:val="00760224"/>
    <w:rsid w:val="007604E2"/>
    <w:rsid w:val="0076065A"/>
    <w:rsid w:val="007606BF"/>
    <w:rsid w:val="00760756"/>
    <w:rsid w:val="00760BFF"/>
    <w:rsid w:val="00760D79"/>
    <w:rsid w:val="00760E75"/>
    <w:rsid w:val="007613AF"/>
    <w:rsid w:val="00761471"/>
    <w:rsid w:val="00761941"/>
    <w:rsid w:val="007619FB"/>
    <w:rsid w:val="00761D21"/>
    <w:rsid w:val="0076200C"/>
    <w:rsid w:val="007624B9"/>
    <w:rsid w:val="00762924"/>
    <w:rsid w:val="0076295C"/>
    <w:rsid w:val="00762DC1"/>
    <w:rsid w:val="00763055"/>
    <w:rsid w:val="007631E2"/>
    <w:rsid w:val="0076375B"/>
    <w:rsid w:val="007638B8"/>
    <w:rsid w:val="00763D32"/>
    <w:rsid w:val="00763F7A"/>
    <w:rsid w:val="00764A37"/>
    <w:rsid w:val="00764C3D"/>
    <w:rsid w:val="00764CDD"/>
    <w:rsid w:val="00764E4E"/>
    <w:rsid w:val="00764EB8"/>
    <w:rsid w:val="00764F42"/>
    <w:rsid w:val="00765098"/>
    <w:rsid w:val="00765220"/>
    <w:rsid w:val="007657DE"/>
    <w:rsid w:val="007657E5"/>
    <w:rsid w:val="0076598E"/>
    <w:rsid w:val="00765E5F"/>
    <w:rsid w:val="00765FDC"/>
    <w:rsid w:val="00766559"/>
    <w:rsid w:val="007667D5"/>
    <w:rsid w:val="00766B0E"/>
    <w:rsid w:val="00766BFB"/>
    <w:rsid w:val="00766CD1"/>
    <w:rsid w:val="00766CD5"/>
    <w:rsid w:val="00766DFE"/>
    <w:rsid w:val="0076704A"/>
    <w:rsid w:val="0076727D"/>
    <w:rsid w:val="0076731C"/>
    <w:rsid w:val="0076735A"/>
    <w:rsid w:val="00767416"/>
    <w:rsid w:val="0076747C"/>
    <w:rsid w:val="007678B6"/>
    <w:rsid w:val="00767D5D"/>
    <w:rsid w:val="00770544"/>
    <w:rsid w:val="00770CEE"/>
    <w:rsid w:val="007712B7"/>
    <w:rsid w:val="00771C48"/>
    <w:rsid w:val="00771D7E"/>
    <w:rsid w:val="007721AD"/>
    <w:rsid w:val="00772277"/>
    <w:rsid w:val="00772963"/>
    <w:rsid w:val="00772C06"/>
    <w:rsid w:val="00772C23"/>
    <w:rsid w:val="00772D15"/>
    <w:rsid w:val="00772DC3"/>
    <w:rsid w:val="007731A4"/>
    <w:rsid w:val="00773322"/>
    <w:rsid w:val="007733C4"/>
    <w:rsid w:val="007733E9"/>
    <w:rsid w:val="007738B4"/>
    <w:rsid w:val="00773A60"/>
    <w:rsid w:val="007743A1"/>
    <w:rsid w:val="007744EF"/>
    <w:rsid w:val="00774E74"/>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E9"/>
    <w:rsid w:val="00780186"/>
    <w:rsid w:val="00780657"/>
    <w:rsid w:val="0078087C"/>
    <w:rsid w:val="007808E3"/>
    <w:rsid w:val="00780980"/>
    <w:rsid w:val="007809E1"/>
    <w:rsid w:val="00780D72"/>
    <w:rsid w:val="00780E03"/>
    <w:rsid w:val="0078146E"/>
    <w:rsid w:val="00781633"/>
    <w:rsid w:val="0078165E"/>
    <w:rsid w:val="007816FD"/>
    <w:rsid w:val="00781B9A"/>
    <w:rsid w:val="00781DAD"/>
    <w:rsid w:val="00782266"/>
    <w:rsid w:val="007822AB"/>
    <w:rsid w:val="0078243D"/>
    <w:rsid w:val="007828D4"/>
    <w:rsid w:val="00782BF2"/>
    <w:rsid w:val="00782D8A"/>
    <w:rsid w:val="00783315"/>
    <w:rsid w:val="007833C3"/>
    <w:rsid w:val="007833DA"/>
    <w:rsid w:val="007837BE"/>
    <w:rsid w:val="0078380D"/>
    <w:rsid w:val="007842FE"/>
    <w:rsid w:val="00784442"/>
    <w:rsid w:val="007844AA"/>
    <w:rsid w:val="00784702"/>
    <w:rsid w:val="00784C31"/>
    <w:rsid w:val="00784EA1"/>
    <w:rsid w:val="00784FC7"/>
    <w:rsid w:val="0078513B"/>
    <w:rsid w:val="00785383"/>
    <w:rsid w:val="0078570D"/>
    <w:rsid w:val="007861D1"/>
    <w:rsid w:val="00786272"/>
    <w:rsid w:val="007864B2"/>
    <w:rsid w:val="00786613"/>
    <w:rsid w:val="00786620"/>
    <w:rsid w:val="007868B7"/>
    <w:rsid w:val="0078692B"/>
    <w:rsid w:val="00786BC0"/>
    <w:rsid w:val="0078723F"/>
    <w:rsid w:val="0078756D"/>
    <w:rsid w:val="007875C4"/>
    <w:rsid w:val="00787736"/>
    <w:rsid w:val="00787977"/>
    <w:rsid w:val="00787A55"/>
    <w:rsid w:val="00787FF1"/>
    <w:rsid w:val="007900EB"/>
    <w:rsid w:val="00790267"/>
    <w:rsid w:val="00790371"/>
    <w:rsid w:val="00790E7E"/>
    <w:rsid w:val="007913A8"/>
    <w:rsid w:val="007916D2"/>
    <w:rsid w:val="00791ADE"/>
    <w:rsid w:val="00791BEA"/>
    <w:rsid w:val="00792486"/>
    <w:rsid w:val="007926B7"/>
    <w:rsid w:val="00792A89"/>
    <w:rsid w:val="00792D23"/>
    <w:rsid w:val="00792ECC"/>
    <w:rsid w:val="0079321B"/>
    <w:rsid w:val="007939C7"/>
    <w:rsid w:val="00793F70"/>
    <w:rsid w:val="0079400D"/>
    <w:rsid w:val="00794188"/>
    <w:rsid w:val="0079455C"/>
    <w:rsid w:val="007947FB"/>
    <w:rsid w:val="00794842"/>
    <w:rsid w:val="0079485D"/>
    <w:rsid w:val="007954AC"/>
    <w:rsid w:val="0079601B"/>
    <w:rsid w:val="007962E1"/>
    <w:rsid w:val="00796589"/>
    <w:rsid w:val="00796639"/>
    <w:rsid w:val="0079663F"/>
    <w:rsid w:val="00796853"/>
    <w:rsid w:val="0079687E"/>
    <w:rsid w:val="0079692D"/>
    <w:rsid w:val="00796F91"/>
    <w:rsid w:val="007976AE"/>
    <w:rsid w:val="00797DAA"/>
    <w:rsid w:val="00797FCF"/>
    <w:rsid w:val="007A05D0"/>
    <w:rsid w:val="007A0616"/>
    <w:rsid w:val="007A0726"/>
    <w:rsid w:val="007A091C"/>
    <w:rsid w:val="007A0DAC"/>
    <w:rsid w:val="007A0EB5"/>
    <w:rsid w:val="007A1189"/>
    <w:rsid w:val="007A15BA"/>
    <w:rsid w:val="007A166E"/>
    <w:rsid w:val="007A16BA"/>
    <w:rsid w:val="007A1847"/>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2D"/>
    <w:rsid w:val="007A44BE"/>
    <w:rsid w:val="007A49C9"/>
    <w:rsid w:val="007A4AF1"/>
    <w:rsid w:val="007A4BE6"/>
    <w:rsid w:val="007A4E56"/>
    <w:rsid w:val="007A5168"/>
    <w:rsid w:val="007A5288"/>
    <w:rsid w:val="007A5F33"/>
    <w:rsid w:val="007A618D"/>
    <w:rsid w:val="007A6333"/>
    <w:rsid w:val="007A6477"/>
    <w:rsid w:val="007A67D0"/>
    <w:rsid w:val="007A6909"/>
    <w:rsid w:val="007A6D88"/>
    <w:rsid w:val="007A75A3"/>
    <w:rsid w:val="007A76D0"/>
    <w:rsid w:val="007A7D52"/>
    <w:rsid w:val="007B0253"/>
    <w:rsid w:val="007B073B"/>
    <w:rsid w:val="007B0865"/>
    <w:rsid w:val="007B08D1"/>
    <w:rsid w:val="007B09ED"/>
    <w:rsid w:val="007B0B92"/>
    <w:rsid w:val="007B0C4D"/>
    <w:rsid w:val="007B0E72"/>
    <w:rsid w:val="007B1061"/>
    <w:rsid w:val="007B1DF0"/>
    <w:rsid w:val="007B1F9A"/>
    <w:rsid w:val="007B21A9"/>
    <w:rsid w:val="007B2638"/>
    <w:rsid w:val="007B314C"/>
    <w:rsid w:val="007B31E2"/>
    <w:rsid w:val="007B322B"/>
    <w:rsid w:val="007B3476"/>
    <w:rsid w:val="007B3AAA"/>
    <w:rsid w:val="007B3D55"/>
    <w:rsid w:val="007B4097"/>
    <w:rsid w:val="007B40AD"/>
    <w:rsid w:val="007B448A"/>
    <w:rsid w:val="007B44DC"/>
    <w:rsid w:val="007B4543"/>
    <w:rsid w:val="007B4937"/>
    <w:rsid w:val="007B506B"/>
    <w:rsid w:val="007B5155"/>
    <w:rsid w:val="007B51B7"/>
    <w:rsid w:val="007B53E5"/>
    <w:rsid w:val="007B543A"/>
    <w:rsid w:val="007B5A66"/>
    <w:rsid w:val="007B630D"/>
    <w:rsid w:val="007B697F"/>
    <w:rsid w:val="007B6B11"/>
    <w:rsid w:val="007B74C5"/>
    <w:rsid w:val="007B7A2C"/>
    <w:rsid w:val="007C0702"/>
    <w:rsid w:val="007C0880"/>
    <w:rsid w:val="007C0BD2"/>
    <w:rsid w:val="007C0CF6"/>
    <w:rsid w:val="007C0F3A"/>
    <w:rsid w:val="007C1065"/>
    <w:rsid w:val="007C114A"/>
    <w:rsid w:val="007C1537"/>
    <w:rsid w:val="007C1B94"/>
    <w:rsid w:val="007C1DAA"/>
    <w:rsid w:val="007C2A39"/>
    <w:rsid w:val="007C2C1E"/>
    <w:rsid w:val="007C2DBF"/>
    <w:rsid w:val="007C3059"/>
    <w:rsid w:val="007C3093"/>
    <w:rsid w:val="007C33C5"/>
    <w:rsid w:val="007C3D88"/>
    <w:rsid w:val="007C3F14"/>
    <w:rsid w:val="007C4DB6"/>
    <w:rsid w:val="007C508D"/>
    <w:rsid w:val="007C515A"/>
    <w:rsid w:val="007C52ED"/>
    <w:rsid w:val="007C56CE"/>
    <w:rsid w:val="007C5750"/>
    <w:rsid w:val="007C5768"/>
    <w:rsid w:val="007C5AB0"/>
    <w:rsid w:val="007C5CE6"/>
    <w:rsid w:val="007C5DB6"/>
    <w:rsid w:val="007C61E0"/>
    <w:rsid w:val="007C64BC"/>
    <w:rsid w:val="007C6566"/>
    <w:rsid w:val="007C6939"/>
    <w:rsid w:val="007C6941"/>
    <w:rsid w:val="007C6AFC"/>
    <w:rsid w:val="007C6D8A"/>
    <w:rsid w:val="007C6E76"/>
    <w:rsid w:val="007C6ED4"/>
    <w:rsid w:val="007C72F8"/>
    <w:rsid w:val="007C735F"/>
    <w:rsid w:val="007C768A"/>
    <w:rsid w:val="007C79FA"/>
    <w:rsid w:val="007C7EF3"/>
    <w:rsid w:val="007D00E8"/>
    <w:rsid w:val="007D00EA"/>
    <w:rsid w:val="007D020B"/>
    <w:rsid w:val="007D0287"/>
    <w:rsid w:val="007D0677"/>
    <w:rsid w:val="007D0779"/>
    <w:rsid w:val="007D096E"/>
    <w:rsid w:val="007D098C"/>
    <w:rsid w:val="007D1085"/>
    <w:rsid w:val="007D11B6"/>
    <w:rsid w:val="007D149C"/>
    <w:rsid w:val="007D1558"/>
    <w:rsid w:val="007D19B4"/>
    <w:rsid w:val="007D1B7C"/>
    <w:rsid w:val="007D1B7D"/>
    <w:rsid w:val="007D1D9C"/>
    <w:rsid w:val="007D1DB9"/>
    <w:rsid w:val="007D1E84"/>
    <w:rsid w:val="007D214A"/>
    <w:rsid w:val="007D2CA3"/>
    <w:rsid w:val="007D2FA9"/>
    <w:rsid w:val="007D3427"/>
    <w:rsid w:val="007D357E"/>
    <w:rsid w:val="007D3889"/>
    <w:rsid w:val="007D39A2"/>
    <w:rsid w:val="007D39AC"/>
    <w:rsid w:val="007D39D7"/>
    <w:rsid w:val="007D3A84"/>
    <w:rsid w:val="007D4383"/>
    <w:rsid w:val="007D4EA2"/>
    <w:rsid w:val="007D4FF2"/>
    <w:rsid w:val="007D512C"/>
    <w:rsid w:val="007D526F"/>
    <w:rsid w:val="007D588A"/>
    <w:rsid w:val="007D6310"/>
    <w:rsid w:val="007D647B"/>
    <w:rsid w:val="007D654A"/>
    <w:rsid w:val="007D673F"/>
    <w:rsid w:val="007D68F4"/>
    <w:rsid w:val="007D6916"/>
    <w:rsid w:val="007D692B"/>
    <w:rsid w:val="007D6C84"/>
    <w:rsid w:val="007D6CE5"/>
    <w:rsid w:val="007D6EF0"/>
    <w:rsid w:val="007D7042"/>
    <w:rsid w:val="007D7059"/>
    <w:rsid w:val="007D781D"/>
    <w:rsid w:val="007D794A"/>
    <w:rsid w:val="007D7B01"/>
    <w:rsid w:val="007D7E94"/>
    <w:rsid w:val="007D7FF3"/>
    <w:rsid w:val="007E0071"/>
    <w:rsid w:val="007E0162"/>
    <w:rsid w:val="007E02CC"/>
    <w:rsid w:val="007E07FD"/>
    <w:rsid w:val="007E08EA"/>
    <w:rsid w:val="007E0981"/>
    <w:rsid w:val="007E0986"/>
    <w:rsid w:val="007E0C8C"/>
    <w:rsid w:val="007E1261"/>
    <w:rsid w:val="007E1479"/>
    <w:rsid w:val="007E148E"/>
    <w:rsid w:val="007E152B"/>
    <w:rsid w:val="007E1A37"/>
    <w:rsid w:val="007E1A55"/>
    <w:rsid w:val="007E1CA0"/>
    <w:rsid w:val="007E1CB1"/>
    <w:rsid w:val="007E201B"/>
    <w:rsid w:val="007E2146"/>
    <w:rsid w:val="007E2B64"/>
    <w:rsid w:val="007E2B78"/>
    <w:rsid w:val="007E2E4B"/>
    <w:rsid w:val="007E2EF8"/>
    <w:rsid w:val="007E46A3"/>
    <w:rsid w:val="007E478B"/>
    <w:rsid w:val="007E4854"/>
    <w:rsid w:val="007E486F"/>
    <w:rsid w:val="007E48CD"/>
    <w:rsid w:val="007E48E4"/>
    <w:rsid w:val="007E4C1C"/>
    <w:rsid w:val="007E4CBD"/>
    <w:rsid w:val="007E4F0D"/>
    <w:rsid w:val="007E5160"/>
    <w:rsid w:val="007E531F"/>
    <w:rsid w:val="007E5636"/>
    <w:rsid w:val="007E58E9"/>
    <w:rsid w:val="007E5A14"/>
    <w:rsid w:val="007E5FFD"/>
    <w:rsid w:val="007E62C6"/>
    <w:rsid w:val="007E6735"/>
    <w:rsid w:val="007E67F4"/>
    <w:rsid w:val="007E6936"/>
    <w:rsid w:val="007E6B86"/>
    <w:rsid w:val="007E6EF1"/>
    <w:rsid w:val="007E7B2B"/>
    <w:rsid w:val="007E7CBA"/>
    <w:rsid w:val="007F0076"/>
    <w:rsid w:val="007F02A8"/>
    <w:rsid w:val="007F03AA"/>
    <w:rsid w:val="007F05E0"/>
    <w:rsid w:val="007F0B77"/>
    <w:rsid w:val="007F0DD3"/>
    <w:rsid w:val="007F1436"/>
    <w:rsid w:val="007F18C0"/>
    <w:rsid w:val="007F1A4C"/>
    <w:rsid w:val="007F22A5"/>
    <w:rsid w:val="007F2771"/>
    <w:rsid w:val="007F279B"/>
    <w:rsid w:val="007F2807"/>
    <w:rsid w:val="007F2DBB"/>
    <w:rsid w:val="007F2ED4"/>
    <w:rsid w:val="007F325B"/>
    <w:rsid w:val="007F379F"/>
    <w:rsid w:val="007F3F4B"/>
    <w:rsid w:val="007F3FB0"/>
    <w:rsid w:val="007F43A9"/>
    <w:rsid w:val="007F4CEC"/>
    <w:rsid w:val="007F4E64"/>
    <w:rsid w:val="007F5608"/>
    <w:rsid w:val="007F5874"/>
    <w:rsid w:val="007F5D4A"/>
    <w:rsid w:val="007F6398"/>
    <w:rsid w:val="007F6562"/>
    <w:rsid w:val="007F65F2"/>
    <w:rsid w:val="007F6FFB"/>
    <w:rsid w:val="007F70D6"/>
    <w:rsid w:val="007F76C4"/>
    <w:rsid w:val="007F7864"/>
    <w:rsid w:val="007F795B"/>
    <w:rsid w:val="007F7B6D"/>
    <w:rsid w:val="007F7C2F"/>
    <w:rsid w:val="008000A5"/>
    <w:rsid w:val="00800104"/>
    <w:rsid w:val="00800184"/>
    <w:rsid w:val="00800994"/>
    <w:rsid w:val="00800D5F"/>
    <w:rsid w:val="00800FAF"/>
    <w:rsid w:val="00801185"/>
    <w:rsid w:val="008013B8"/>
    <w:rsid w:val="0080150F"/>
    <w:rsid w:val="0080179D"/>
    <w:rsid w:val="00801838"/>
    <w:rsid w:val="00801B56"/>
    <w:rsid w:val="00801D99"/>
    <w:rsid w:val="00801DCC"/>
    <w:rsid w:val="00801F82"/>
    <w:rsid w:val="00801FBC"/>
    <w:rsid w:val="00801FC8"/>
    <w:rsid w:val="008021CF"/>
    <w:rsid w:val="00802350"/>
    <w:rsid w:val="00802410"/>
    <w:rsid w:val="008028F4"/>
    <w:rsid w:val="00803A20"/>
    <w:rsid w:val="00803E2E"/>
    <w:rsid w:val="008041E1"/>
    <w:rsid w:val="00804437"/>
    <w:rsid w:val="00804867"/>
    <w:rsid w:val="00804B2F"/>
    <w:rsid w:val="00804C3F"/>
    <w:rsid w:val="00805227"/>
    <w:rsid w:val="00805365"/>
    <w:rsid w:val="00806979"/>
    <w:rsid w:val="0080699F"/>
    <w:rsid w:val="00806A88"/>
    <w:rsid w:val="00806ACA"/>
    <w:rsid w:val="00806D29"/>
    <w:rsid w:val="00807676"/>
    <w:rsid w:val="0080770D"/>
    <w:rsid w:val="00807D28"/>
    <w:rsid w:val="00807D5E"/>
    <w:rsid w:val="00807E1B"/>
    <w:rsid w:val="0081012C"/>
    <w:rsid w:val="00810234"/>
    <w:rsid w:val="008102E8"/>
    <w:rsid w:val="00810552"/>
    <w:rsid w:val="00810B1B"/>
    <w:rsid w:val="00810C3E"/>
    <w:rsid w:val="00810DC9"/>
    <w:rsid w:val="00810DE9"/>
    <w:rsid w:val="00810EAE"/>
    <w:rsid w:val="00811036"/>
    <w:rsid w:val="008110E0"/>
    <w:rsid w:val="008113D7"/>
    <w:rsid w:val="00811A91"/>
    <w:rsid w:val="00811EF6"/>
    <w:rsid w:val="00811EFB"/>
    <w:rsid w:val="008123D5"/>
    <w:rsid w:val="0081242E"/>
    <w:rsid w:val="00812487"/>
    <w:rsid w:val="008124FE"/>
    <w:rsid w:val="00812506"/>
    <w:rsid w:val="008127B0"/>
    <w:rsid w:val="00813116"/>
    <w:rsid w:val="0081389D"/>
    <w:rsid w:val="008138CD"/>
    <w:rsid w:val="00813942"/>
    <w:rsid w:val="00813CE0"/>
    <w:rsid w:val="0081433F"/>
    <w:rsid w:val="008143A0"/>
    <w:rsid w:val="00814593"/>
    <w:rsid w:val="00814617"/>
    <w:rsid w:val="00814694"/>
    <w:rsid w:val="00814834"/>
    <w:rsid w:val="00814A14"/>
    <w:rsid w:val="00814B38"/>
    <w:rsid w:val="00814B65"/>
    <w:rsid w:val="00814C34"/>
    <w:rsid w:val="00814D2B"/>
    <w:rsid w:val="008154B6"/>
    <w:rsid w:val="008155E8"/>
    <w:rsid w:val="00815706"/>
    <w:rsid w:val="00815BBF"/>
    <w:rsid w:val="00815E33"/>
    <w:rsid w:val="00815E46"/>
    <w:rsid w:val="00815F85"/>
    <w:rsid w:val="00816654"/>
    <w:rsid w:val="00816A54"/>
    <w:rsid w:val="00816AA4"/>
    <w:rsid w:val="00816D94"/>
    <w:rsid w:val="00816E87"/>
    <w:rsid w:val="00816F5B"/>
    <w:rsid w:val="00817508"/>
    <w:rsid w:val="008176CB"/>
    <w:rsid w:val="0081787C"/>
    <w:rsid w:val="008178B3"/>
    <w:rsid w:val="008178CB"/>
    <w:rsid w:val="00817B8F"/>
    <w:rsid w:val="00817C0A"/>
    <w:rsid w:val="00817C50"/>
    <w:rsid w:val="00817C96"/>
    <w:rsid w:val="00817D2A"/>
    <w:rsid w:val="00817F27"/>
    <w:rsid w:val="00820C88"/>
    <w:rsid w:val="00820CBE"/>
    <w:rsid w:val="00820DF1"/>
    <w:rsid w:val="00820F31"/>
    <w:rsid w:val="0082172C"/>
    <w:rsid w:val="00821992"/>
    <w:rsid w:val="00821D8A"/>
    <w:rsid w:val="00821E9E"/>
    <w:rsid w:val="0082266A"/>
    <w:rsid w:val="00822A4A"/>
    <w:rsid w:val="00823335"/>
    <w:rsid w:val="0082344C"/>
    <w:rsid w:val="00823571"/>
    <w:rsid w:val="008237B2"/>
    <w:rsid w:val="00823F61"/>
    <w:rsid w:val="0082449E"/>
    <w:rsid w:val="008249FF"/>
    <w:rsid w:val="00824C16"/>
    <w:rsid w:val="008251EC"/>
    <w:rsid w:val="0082530C"/>
    <w:rsid w:val="0082540D"/>
    <w:rsid w:val="00825A10"/>
    <w:rsid w:val="00825DD4"/>
    <w:rsid w:val="00826204"/>
    <w:rsid w:val="008268E7"/>
    <w:rsid w:val="00826D90"/>
    <w:rsid w:val="00826D9C"/>
    <w:rsid w:val="00826DE8"/>
    <w:rsid w:val="00827015"/>
    <w:rsid w:val="00827105"/>
    <w:rsid w:val="00827109"/>
    <w:rsid w:val="00827648"/>
    <w:rsid w:val="00827A41"/>
    <w:rsid w:val="00827AF3"/>
    <w:rsid w:val="00827F55"/>
    <w:rsid w:val="008303FD"/>
    <w:rsid w:val="0083056F"/>
    <w:rsid w:val="008307F2"/>
    <w:rsid w:val="008309E1"/>
    <w:rsid w:val="00830F16"/>
    <w:rsid w:val="00831198"/>
    <w:rsid w:val="008312E2"/>
    <w:rsid w:val="008314BC"/>
    <w:rsid w:val="00832142"/>
    <w:rsid w:val="008323AC"/>
    <w:rsid w:val="00832609"/>
    <w:rsid w:val="00832BE0"/>
    <w:rsid w:val="00832C18"/>
    <w:rsid w:val="00832CAF"/>
    <w:rsid w:val="00832EC1"/>
    <w:rsid w:val="00832FA4"/>
    <w:rsid w:val="008330DB"/>
    <w:rsid w:val="008332BB"/>
    <w:rsid w:val="00833EF5"/>
    <w:rsid w:val="00833F06"/>
    <w:rsid w:val="008340A5"/>
    <w:rsid w:val="0083417A"/>
    <w:rsid w:val="00834512"/>
    <w:rsid w:val="00834746"/>
    <w:rsid w:val="008349C3"/>
    <w:rsid w:val="008349E7"/>
    <w:rsid w:val="0083516E"/>
    <w:rsid w:val="0083565D"/>
    <w:rsid w:val="0083582B"/>
    <w:rsid w:val="00835B0A"/>
    <w:rsid w:val="00835B82"/>
    <w:rsid w:val="00836133"/>
    <w:rsid w:val="00836548"/>
    <w:rsid w:val="0083657B"/>
    <w:rsid w:val="00836B5B"/>
    <w:rsid w:val="00836FC2"/>
    <w:rsid w:val="00837034"/>
    <w:rsid w:val="0083768C"/>
    <w:rsid w:val="00837974"/>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A01"/>
    <w:rsid w:val="00841AA8"/>
    <w:rsid w:val="00841E55"/>
    <w:rsid w:val="00841EB3"/>
    <w:rsid w:val="00842061"/>
    <w:rsid w:val="00842B18"/>
    <w:rsid w:val="00842DB7"/>
    <w:rsid w:val="0084370B"/>
    <w:rsid w:val="0084387F"/>
    <w:rsid w:val="00843AFD"/>
    <w:rsid w:val="00843FEF"/>
    <w:rsid w:val="008444F8"/>
    <w:rsid w:val="0084464F"/>
    <w:rsid w:val="00844750"/>
    <w:rsid w:val="00845409"/>
    <w:rsid w:val="00845433"/>
    <w:rsid w:val="00845866"/>
    <w:rsid w:val="00845F51"/>
    <w:rsid w:val="00845F6D"/>
    <w:rsid w:val="00846106"/>
    <w:rsid w:val="008461FE"/>
    <w:rsid w:val="008462E7"/>
    <w:rsid w:val="00846368"/>
    <w:rsid w:val="008463A4"/>
    <w:rsid w:val="00846467"/>
    <w:rsid w:val="008464D7"/>
    <w:rsid w:val="008468AF"/>
    <w:rsid w:val="00846EED"/>
    <w:rsid w:val="00847291"/>
    <w:rsid w:val="00847721"/>
    <w:rsid w:val="00847991"/>
    <w:rsid w:val="00847BA6"/>
    <w:rsid w:val="00847C4E"/>
    <w:rsid w:val="00847F04"/>
    <w:rsid w:val="00850752"/>
    <w:rsid w:val="0085130C"/>
    <w:rsid w:val="00851B22"/>
    <w:rsid w:val="00852154"/>
    <w:rsid w:val="008521C5"/>
    <w:rsid w:val="00852338"/>
    <w:rsid w:val="0085241D"/>
    <w:rsid w:val="00852F3B"/>
    <w:rsid w:val="00853132"/>
    <w:rsid w:val="0085379A"/>
    <w:rsid w:val="00853A5B"/>
    <w:rsid w:val="00853B2A"/>
    <w:rsid w:val="00853B65"/>
    <w:rsid w:val="00853C45"/>
    <w:rsid w:val="00853C94"/>
    <w:rsid w:val="00853D0C"/>
    <w:rsid w:val="00853F11"/>
    <w:rsid w:val="00854090"/>
    <w:rsid w:val="008540E5"/>
    <w:rsid w:val="00854983"/>
    <w:rsid w:val="00854B60"/>
    <w:rsid w:val="00856301"/>
    <w:rsid w:val="00856562"/>
    <w:rsid w:val="008566E7"/>
    <w:rsid w:val="008569DF"/>
    <w:rsid w:val="00856A3A"/>
    <w:rsid w:val="00856E4A"/>
    <w:rsid w:val="00856FF3"/>
    <w:rsid w:val="0085722A"/>
    <w:rsid w:val="00857434"/>
    <w:rsid w:val="008577BE"/>
    <w:rsid w:val="00857AB4"/>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2BC"/>
    <w:rsid w:val="00863479"/>
    <w:rsid w:val="00863AA0"/>
    <w:rsid w:val="00863C8A"/>
    <w:rsid w:val="00863FFC"/>
    <w:rsid w:val="00864243"/>
    <w:rsid w:val="008644F7"/>
    <w:rsid w:val="008648FC"/>
    <w:rsid w:val="00864A9F"/>
    <w:rsid w:val="008650AB"/>
    <w:rsid w:val="0086544E"/>
    <w:rsid w:val="00865696"/>
    <w:rsid w:val="00865D4C"/>
    <w:rsid w:val="00865DE1"/>
    <w:rsid w:val="008662E6"/>
    <w:rsid w:val="00866453"/>
    <w:rsid w:val="00866781"/>
    <w:rsid w:val="00867347"/>
    <w:rsid w:val="008674A2"/>
    <w:rsid w:val="0086777D"/>
    <w:rsid w:val="00867F66"/>
    <w:rsid w:val="00870018"/>
    <w:rsid w:val="00870094"/>
    <w:rsid w:val="00870793"/>
    <w:rsid w:val="00870A1C"/>
    <w:rsid w:val="00870E13"/>
    <w:rsid w:val="00871029"/>
    <w:rsid w:val="00871096"/>
    <w:rsid w:val="008710EF"/>
    <w:rsid w:val="00871171"/>
    <w:rsid w:val="008712B8"/>
    <w:rsid w:val="008713C8"/>
    <w:rsid w:val="0087182F"/>
    <w:rsid w:val="0087184A"/>
    <w:rsid w:val="00871B2F"/>
    <w:rsid w:val="00871C11"/>
    <w:rsid w:val="00871CDF"/>
    <w:rsid w:val="00871D14"/>
    <w:rsid w:val="008721CB"/>
    <w:rsid w:val="0087229F"/>
    <w:rsid w:val="008722B0"/>
    <w:rsid w:val="0087250F"/>
    <w:rsid w:val="008726C4"/>
    <w:rsid w:val="008734E7"/>
    <w:rsid w:val="0087352A"/>
    <w:rsid w:val="00873AA8"/>
    <w:rsid w:val="00873BF0"/>
    <w:rsid w:val="0087462F"/>
    <w:rsid w:val="00874BB3"/>
    <w:rsid w:val="00874BD7"/>
    <w:rsid w:val="00874C39"/>
    <w:rsid w:val="00874D5F"/>
    <w:rsid w:val="00874E33"/>
    <w:rsid w:val="00874FAC"/>
    <w:rsid w:val="0087504C"/>
    <w:rsid w:val="00875758"/>
    <w:rsid w:val="0087578A"/>
    <w:rsid w:val="00875905"/>
    <w:rsid w:val="00875E7F"/>
    <w:rsid w:val="00875F79"/>
    <w:rsid w:val="00875FBD"/>
    <w:rsid w:val="00875FF5"/>
    <w:rsid w:val="00876586"/>
    <w:rsid w:val="00876AC7"/>
    <w:rsid w:val="0087721D"/>
    <w:rsid w:val="0087728E"/>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75D"/>
    <w:rsid w:val="00881842"/>
    <w:rsid w:val="00881F28"/>
    <w:rsid w:val="008825EE"/>
    <w:rsid w:val="0088261A"/>
    <w:rsid w:val="00882BB1"/>
    <w:rsid w:val="00883004"/>
    <w:rsid w:val="00883585"/>
    <w:rsid w:val="008839D0"/>
    <w:rsid w:val="00883D18"/>
    <w:rsid w:val="00883ED6"/>
    <w:rsid w:val="00883F8F"/>
    <w:rsid w:val="008841D5"/>
    <w:rsid w:val="00884255"/>
    <w:rsid w:val="0088425B"/>
    <w:rsid w:val="00885037"/>
    <w:rsid w:val="00885664"/>
    <w:rsid w:val="0088579F"/>
    <w:rsid w:val="0088599D"/>
    <w:rsid w:val="00885BB3"/>
    <w:rsid w:val="00885D5D"/>
    <w:rsid w:val="00885F0A"/>
    <w:rsid w:val="00885F46"/>
    <w:rsid w:val="00886116"/>
    <w:rsid w:val="0088651F"/>
    <w:rsid w:val="008867A8"/>
    <w:rsid w:val="00887184"/>
    <w:rsid w:val="008873A5"/>
    <w:rsid w:val="00887771"/>
    <w:rsid w:val="00887F2E"/>
    <w:rsid w:val="008901A9"/>
    <w:rsid w:val="0089035C"/>
    <w:rsid w:val="008907B2"/>
    <w:rsid w:val="00890B03"/>
    <w:rsid w:val="00890BCD"/>
    <w:rsid w:val="00890BE2"/>
    <w:rsid w:val="00890D15"/>
    <w:rsid w:val="00890EFE"/>
    <w:rsid w:val="00890F04"/>
    <w:rsid w:val="00890F2B"/>
    <w:rsid w:val="008911A2"/>
    <w:rsid w:val="0089129F"/>
    <w:rsid w:val="00891F63"/>
    <w:rsid w:val="008922DC"/>
    <w:rsid w:val="008922DF"/>
    <w:rsid w:val="00892357"/>
    <w:rsid w:val="00892379"/>
    <w:rsid w:val="00892494"/>
    <w:rsid w:val="00893024"/>
    <w:rsid w:val="00893B3B"/>
    <w:rsid w:val="00893E3B"/>
    <w:rsid w:val="00894148"/>
    <w:rsid w:val="00894304"/>
    <w:rsid w:val="0089430B"/>
    <w:rsid w:val="00894C16"/>
    <w:rsid w:val="00894C3B"/>
    <w:rsid w:val="00894D6C"/>
    <w:rsid w:val="00894FEF"/>
    <w:rsid w:val="00895243"/>
    <w:rsid w:val="008953B7"/>
    <w:rsid w:val="008953FF"/>
    <w:rsid w:val="00895A0C"/>
    <w:rsid w:val="0089622F"/>
    <w:rsid w:val="00896A6F"/>
    <w:rsid w:val="00896D10"/>
    <w:rsid w:val="00896DF5"/>
    <w:rsid w:val="00897680"/>
    <w:rsid w:val="00897868"/>
    <w:rsid w:val="0089794F"/>
    <w:rsid w:val="008A0173"/>
    <w:rsid w:val="008A0339"/>
    <w:rsid w:val="008A03A0"/>
    <w:rsid w:val="008A0473"/>
    <w:rsid w:val="008A04C7"/>
    <w:rsid w:val="008A0506"/>
    <w:rsid w:val="008A111D"/>
    <w:rsid w:val="008A1732"/>
    <w:rsid w:val="008A197B"/>
    <w:rsid w:val="008A1B4E"/>
    <w:rsid w:val="008A1C65"/>
    <w:rsid w:val="008A1C6C"/>
    <w:rsid w:val="008A1EA1"/>
    <w:rsid w:val="008A2023"/>
    <w:rsid w:val="008A21DE"/>
    <w:rsid w:val="008A24BD"/>
    <w:rsid w:val="008A29E2"/>
    <w:rsid w:val="008A2AAE"/>
    <w:rsid w:val="008A2AD3"/>
    <w:rsid w:val="008A2F26"/>
    <w:rsid w:val="008A2F9B"/>
    <w:rsid w:val="008A36DE"/>
    <w:rsid w:val="008A36ED"/>
    <w:rsid w:val="008A3786"/>
    <w:rsid w:val="008A3898"/>
    <w:rsid w:val="008A3F07"/>
    <w:rsid w:val="008A42D8"/>
    <w:rsid w:val="008A457F"/>
    <w:rsid w:val="008A478E"/>
    <w:rsid w:val="008A53C3"/>
    <w:rsid w:val="008A5405"/>
    <w:rsid w:val="008A59E9"/>
    <w:rsid w:val="008A5BFE"/>
    <w:rsid w:val="008A61F4"/>
    <w:rsid w:val="008A631F"/>
    <w:rsid w:val="008A668F"/>
    <w:rsid w:val="008A7052"/>
    <w:rsid w:val="008A725C"/>
    <w:rsid w:val="008A72A4"/>
    <w:rsid w:val="008A74E8"/>
    <w:rsid w:val="008A758D"/>
    <w:rsid w:val="008A75C5"/>
    <w:rsid w:val="008A7630"/>
    <w:rsid w:val="008A7669"/>
    <w:rsid w:val="008A7819"/>
    <w:rsid w:val="008A78BC"/>
    <w:rsid w:val="008A7BEA"/>
    <w:rsid w:val="008A7C09"/>
    <w:rsid w:val="008A7F80"/>
    <w:rsid w:val="008B01A2"/>
    <w:rsid w:val="008B097E"/>
    <w:rsid w:val="008B0C49"/>
    <w:rsid w:val="008B0CD0"/>
    <w:rsid w:val="008B0FE8"/>
    <w:rsid w:val="008B1245"/>
    <w:rsid w:val="008B130E"/>
    <w:rsid w:val="008B1651"/>
    <w:rsid w:val="008B175A"/>
    <w:rsid w:val="008B1C8C"/>
    <w:rsid w:val="008B1E55"/>
    <w:rsid w:val="008B1EFF"/>
    <w:rsid w:val="008B1F30"/>
    <w:rsid w:val="008B20B6"/>
    <w:rsid w:val="008B20E5"/>
    <w:rsid w:val="008B21F5"/>
    <w:rsid w:val="008B269F"/>
    <w:rsid w:val="008B2A2E"/>
    <w:rsid w:val="008B2D1D"/>
    <w:rsid w:val="008B2DEB"/>
    <w:rsid w:val="008B35ED"/>
    <w:rsid w:val="008B363C"/>
    <w:rsid w:val="008B41EF"/>
    <w:rsid w:val="008B4230"/>
    <w:rsid w:val="008B447F"/>
    <w:rsid w:val="008B4804"/>
    <w:rsid w:val="008B480C"/>
    <w:rsid w:val="008B4B0D"/>
    <w:rsid w:val="008B4B33"/>
    <w:rsid w:val="008B4ECD"/>
    <w:rsid w:val="008B50A1"/>
    <w:rsid w:val="008B5577"/>
    <w:rsid w:val="008B60E9"/>
    <w:rsid w:val="008B60ED"/>
    <w:rsid w:val="008B614C"/>
    <w:rsid w:val="008B6807"/>
    <w:rsid w:val="008B6E5C"/>
    <w:rsid w:val="008B739E"/>
    <w:rsid w:val="008B766A"/>
    <w:rsid w:val="008B7A0E"/>
    <w:rsid w:val="008B7A37"/>
    <w:rsid w:val="008B7BD4"/>
    <w:rsid w:val="008B7E5B"/>
    <w:rsid w:val="008C022D"/>
    <w:rsid w:val="008C0431"/>
    <w:rsid w:val="008C0610"/>
    <w:rsid w:val="008C15B6"/>
    <w:rsid w:val="008C1ABE"/>
    <w:rsid w:val="008C1F55"/>
    <w:rsid w:val="008C2426"/>
    <w:rsid w:val="008C2453"/>
    <w:rsid w:val="008C265E"/>
    <w:rsid w:val="008C26B4"/>
    <w:rsid w:val="008C28BA"/>
    <w:rsid w:val="008C3240"/>
    <w:rsid w:val="008C4188"/>
    <w:rsid w:val="008C46C2"/>
    <w:rsid w:val="008C49D5"/>
    <w:rsid w:val="008C4B47"/>
    <w:rsid w:val="008C4F07"/>
    <w:rsid w:val="008C59D5"/>
    <w:rsid w:val="008C5B10"/>
    <w:rsid w:val="008C5C1A"/>
    <w:rsid w:val="008C6276"/>
    <w:rsid w:val="008C6337"/>
    <w:rsid w:val="008C6345"/>
    <w:rsid w:val="008C6C7A"/>
    <w:rsid w:val="008C6E82"/>
    <w:rsid w:val="008C6F4F"/>
    <w:rsid w:val="008C738F"/>
    <w:rsid w:val="008C74CC"/>
    <w:rsid w:val="008C74F9"/>
    <w:rsid w:val="008C775C"/>
    <w:rsid w:val="008C7791"/>
    <w:rsid w:val="008C7C58"/>
    <w:rsid w:val="008C7D37"/>
    <w:rsid w:val="008C7E30"/>
    <w:rsid w:val="008C7F77"/>
    <w:rsid w:val="008D0083"/>
    <w:rsid w:val="008D02CB"/>
    <w:rsid w:val="008D0459"/>
    <w:rsid w:val="008D05D2"/>
    <w:rsid w:val="008D0ECB"/>
    <w:rsid w:val="008D13DC"/>
    <w:rsid w:val="008D149D"/>
    <w:rsid w:val="008D1D2C"/>
    <w:rsid w:val="008D1E23"/>
    <w:rsid w:val="008D2039"/>
    <w:rsid w:val="008D2461"/>
    <w:rsid w:val="008D2D60"/>
    <w:rsid w:val="008D3208"/>
    <w:rsid w:val="008D382D"/>
    <w:rsid w:val="008D3A72"/>
    <w:rsid w:val="008D3E0C"/>
    <w:rsid w:val="008D3F21"/>
    <w:rsid w:val="008D40FF"/>
    <w:rsid w:val="008D4277"/>
    <w:rsid w:val="008D453F"/>
    <w:rsid w:val="008D508F"/>
    <w:rsid w:val="008D538D"/>
    <w:rsid w:val="008D592F"/>
    <w:rsid w:val="008D59D0"/>
    <w:rsid w:val="008D5B32"/>
    <w:rsid w:val="008D5F2E"/>
    <w:rsid w:val="008D5FCD"/>
    <w:rsid w:val="008D6733"/>
    <w:rsid w:val="008D6D0E"/>
    <w:rsid w:val="008D6F90"/>
    <w:rsid w:val="008D722D"/>
    <w:rsid w:val="008D72A4"/>
    <w:rsid w:val="008D72D8"/>
    <w:rsid w:val="008D7378"/>
    <w:rsid w:val="008D7554"/>
    <w:rsid w:val="008D7615"/>
    <w:rsid w:val="008D76A0"/>
    <w:rsid w:val="008D78C3"/>
    <w:rsid w:val="008D7A41"/>
    <w:rsid w:val="008D7ACD"/>
    <w:rsid w:val="008D7DDC"/>
    <w:rsid w:val="008D7DEB"/>
    <w:rsid w:val="008E037E"/>
    <w:rsid w:val="008E03BA"/>
    <w:rsid w:val="008E04B5"/>
    <w:rsid w:val="008E0610"/>
    <w:rsid w:val="008E0804"/>
    <w:rsid w:val="008E0CDD"/>
    <w:rsid w:val="008E0E89"/>
    <w:rsid w:val="008E0E8C"/>
    <w:rsid w:val="008E0F24"/>
    <w:rsid w:val="008E1217"/>
    <w:rsid w:val="008E174C"/>
    <w:rsid w:val="008E1CFE"/>
    <w:rsid w:val="008E1FDF"/>
    <w:rsid w:val="008E2051"/>
    <w:rsid w:val="008E20EC"/>
    <w:rsid w:val="008E2562"/>
    <w:rsid w:val="008E256F"/>
    <w:rsid w:val="008E290D"/>
    <w:rsid w:val="008E2B47"/>
    <w:rsid w:val="008E2C59"/>
    <w:rsid w:val="008E2D90"/>
    <w:rsid w:val="008E2FFE"/>
    <w:rsid w:val="008E329C"/>
    <w:rsid w:val="008E339D"/>
    <w:rsid w:val="008E35C0"/>
    <w:rsid w:val="008E3737"/>
    <w:rsid w:val="008E378A"/>
    <w:rsid w:val="008E388C"/>
    <w:rsid w:val="008E3F52"/>
    <w:rsid w:val="008E412D"/>
    <w:rsid w:val="008E427C"/>
    <w:rsid w:val="008E4310"/>
    <w:rsid w:val="008E451A"/>
    <w:rsid w:val="008E4820"/>
    <w:rsid w:val="008E494E"/>
    <w:rsid w:val="008E4979"/>
    <w:rsid w:val="008E49C6"/>
    <w:rsid w:val="008E4E26"/>
    <w:rsid w:val="008E5525"/>
    <w:rsid w:val="008E5B5F"/>
    <w:rsid w:val="008E5D5A"/>
    <w:rsid w:val="008E6012"/>
    <w:rsid w:val="008E606F"/>
    <w:rsid w:val="008E60B3"/>
    <w:rsid w:val="008E6333"/>
    <w:rsid w:val="008E6658"/>
    <w:rsid w:val="008E6788"/>
    <w:rsid w:val="008E6C71"/>
    <w:rsid w:val="008E6F34"/>
    <w:rsid w:val="008E70B2"/>
    <w:rsid w:val="008E7136"/>
    <w:rsid w:val="008E7DB3"/>
    <w:rsid w:val="008E7E01"/>
    <w:rsid w:val="008E7E0A"/>
    <w:rsid w:val="008F01AB"/>
    <w:rsid w:val="008F0460"/>
    <w:rsid w:val="008F0D27"/>
    <w:rsid w:val="008F0D5C"/>
    <w:rsid w:val="008F0F7D"/>
    <w:rsid w:val="008F1C32"/>
    <w:rsid w:val="008F1CF8"/>
    <w:rsid w:val="008F2201"/>
    <w:rsid w:val="008F2595"/>
    <w:rsid w:val="008F2B4B"/>
    <w:rsid w:val="008F357B"/>
    <w:rsid w:val="008F3937"/>
    <w:rsid w:val="008F3A67"/>
    <w:rsid w:val="008F3BCE"/>
    <w:rsid w:val="008F3D2D"/>
    <w:rsid w:val="008F3D7C"/>
    <w:rsid w:val="008F3DC9"/>
    <w:rsid w:val="008F4107"/>
    <w:rsid w:val="008F45C1"/>
    <w:rsid w:val="008F4667"/>
    <w:rsid w:val="008F473A"/>
    <w:rsid w:val="008F4BFE"/>
    <w:rsid w:val="008F4D3D"/>
    <w:rsid w:val="008F4E3F"/>
    <w:rsid w:val="008F5184"/>
    <w:rsid w:val="008F58C6"/>
    <w:rsid w:val="008F595E"/>
    <w:rsid w:val="008F6150"/>
    <w:rsid w:val="008F6188"/>
    <w:rsid w:val="008F6649"/>
    <w:rsid w:val="008F6CD1"/>
    <w:rsid w:val="008F6D5B"/>
    <w:rsid w:val="008F6EB8"/>
    <w:rsid w:val="008F6F2B"/>
    <w:rsid w:val="008F7069"/>
    <w:rsid w:val="008F74EA"/>
    <w:rsid w:val="008F74ED"/>
    <w:rsid w:val="008F7BD6"/>
    <w:rsid w:val="008F7CEF"/>
    <w:rsid w:val="009000FD"/>
    <w:rsid w:val="009003D0"/>
    <w:rsid w:val="00900DDE"/>
    <w:rsid w:val="00900DF1"/>
    <w:rsid w:val="00901134"/>
    <w:rsid w:val="00901845"/>
    <w:rsid w:val="00901F96"/>
    <w:rsid w:val="00901F9A"/>
    <w:rsid w:val="009022BC"/>
    <w:rsid w:val="0090255A"/>
    <w:rsid w:val="0090272F"/>
    <w:rsid w:val="00902734"/>
    <w:rsid w:val="00902997"/>
    <w:rsid w:val="00902DFE"/>
    <w:rsid w:val="00902FA0"/>
    <w:rsid w:val="00903281"/>
    <w:rsid w:val="00903A10"/>
    <w:rsid w:val="00903C24"/>
    <w:rsid w:val="00903C5A"/>
    <w:rsid w:val="00903F59"/>
    <w:rsid w:val="0090411E"/>
    <w:rsid w:val="00904562"/>
    <w:rsid w:val="009045C7"/>
    <w:rsid w:val="0090480E"/>
    <w:rsid w:val="00904961"/>
    <w:rsid w:val="00904A52"/>
    <w:rsid w:val="00904A62"/>
    <w:rsid w:val="00904B6D"/>
    <w:rsid w:val="0090513A"/>
    <w:rsid w:val="009051C5"/>
    <w:rsid w:val="00905261"/>
    <w:rsid w:val="00905598"/>
    <w:rsid w:val="00905A06"/>
    <w:rsid w:val="00905D00"/>
    <w:rsid w:val="00906100"/>
    <w:rsid w:val="009061A5"/>
    <w:rsid w:val="009067B8"/>
    <w:rsid w:val="00906DA9"/>
    <w:rsid w:val="00906EED"/>
    <w:rsid w:val="00907071"/>
    <w:rsid w:val="00907135"/>
    <w:rsid w:val="0090715C"/>
    <w:rsid w:val="009108A7"/>
    <w:rsid w:val="00910D9E"/>
    <w:rsid w:val="00910ED6"/>
    <w:rsid w:val="00911E1A"/>
    <w:rsid w:val="009121EF"/>
    <w:rsid w:val="009123B9"/>
    <w:rsid w:val="00912531"/>
    <w:rsid w:val="009138F9"/>
    <w:rsid w:val="00913B37"/>
    <w:rsid w:val="00913F4C"/>
    <w:rsid w:val="00913F9C"/>
    <w:rsid w:val="0091404B"/>
    <w:rsid w:val="0091423A"/>
    <w:rsid w:val="00914A5D"/>
    <w:rsid w:val="00914F86"/>
    <w:rsid w:val="00914FBF"/>
    <w:rsid w:val="00915032"/>
    <w:rsid w:val="0091537E"/>
    <w:rsid w:val="009154BD"/>
    <w:rsid w:val="009154CF"/>
    <w:rsid w:val="00915AB4"/>
    <w:rsid w:val="00915F97"/>
    <w:rsid w:val="009160C9"/>
    <w:rsid w:val="0091610F"/>
    <w:rsid w:val="009161BA"/>
    <w:rsid w:val="00916611"/>
    <w:rsid w:val="00916827"/>
    <w:rsid w:val="00917B1B"/>
    <w:rsid w:val="009206BA"/>
    <w:rsid w:val="00920FE4"/>
    <w:rsid w:val="00921140"/>
    <w:rsid w:val="0092169A"/>
    <w:rsid w:val="009216BF"/>
    <w:rsid w:val="009218D2"/>
    <w:rsid w:val="009219A7"/>
    <w:rsid w:val="00921A74"/>
    <w:rsid w:val="00921C9F"/>
    <w:rsid w:val="00921ED5"/>
    <w:rsid w:val="00921FA1"/>
    <w:rsid w:val="009225B6"/>
    <w:rsid w:val="0092286C"/>
    <w:rsid w:val="00922C09"/>
    <w:rsid w:val="00922C34"/>
    <w:rsid w:val="00922E70"/>
    <w:rsid w:val="00923151"/>
    <w:rsid w:val="00923560"/>
    <w:rsid w:val="00923ABA"/>
    <w:rsid w:val="00923EB5"/>
    <w:rsid w:val="00923F1B"/>
    <w:rsid w:val="00924108"/>
    <w:rsid w:val="0092423D"/>
    <w:rsid w:val="0092434B"/>
    <w:rsid w:val="009243A8"/>
    <w:rsid w:val="009247D8"/>
    <w:rsid w:val="00924F5D"/>
    <w:rsid w:val="0092507E"/>
    <w:rsid w:val="009250BC"/>
    <w:rsid w:val="0092550A"/>
    <w:rsid w:val="00925836"/>
    <w:rsid w:val="00925B23"/>
    <w:rsid w:val="00925DD1"/>
    <w:rsid w:val="009260EC"/>
    <w:rsid w:val="00926264"/>
    <w:rsid w:val="00926269"/>
    <w:rsid w:val="00926595"/>
    <w:rsid w:val="00926944"/>
    <w:rsid w:val="0092698B"/>
    <w:rsid w:val="009269EB"/>
    <w:rsid w:val="00926F6B"/>
    <w:rsid w:val="00927211"/>
    <w:rsid w:val="00927752"/>
    <w:rsid w:val="0092779E"/>
    <w:rsid w:val="00927F04"/>
    <w:rsid w:val="00930305"/>
    <w:rsid w:val="0093047C"/>
    <w:rsid w:val="0093063D"/>
    <w:rsid w:val="00930704"/>
    <w:rsid w:val="00930A17"/>
    <w:rsid w:val="00931196"/>
    <w:rsid w:val="0093135E"/>
    <w:rsid w:val="0093161F"/>
    <w:rsid w:val="0093195D"/>
    <w:rsid w:val="00932109"/>
    <w:rsid w:val="009322AC"/>
    <w:rsid w:val="009324B1"/>
    <w:rsid w:val="009327B5"/>
    <w:rsid w:val="0093285B"/>
    <w:rsid w:val="00932907"/>
    <w:rsid w:val="00932A16"/>
    <w:rsid w:val="00932A20"/>
    <w:rsid w:val="00932AE5"/>
    <w:rsid w:val="00932C32"/>
    <w:rsid w:val="00932E4B"/>
    <w:rsid w:val="0093311E"/>
    <w:rsid w:val="009332CF"/>
    <w:rsid w:val="00933C2F"/>
    <w:rsid w:val="00933D61"/>
    <w:rsid w:val="00933DE4"/>
    <w:rsid w:val="009343DA"/>
    <w:rsid w:val="0093457F"/>
    <w:rsid w:val="00934996"/>
    <w:rsid w:val="00934A98"/>
    <w:rsid w:val="00934F8E"/>
    <w:rsid w:val="00934FF1"/>
    <w:rsid w:val="0093508B"/>
    <w:rsid w:val="009355F0"/>
    <w:rsid w:val="00935790"/>
    <w:rsid w:val="009358ED"/>
    <w:rsid w:val="009359BA"/>
    <w:rsid w:val="009359D2"/>
    <w:rsid w:val="00935B52"/>
    <w:rsid w:val="00935BD1"/>
    <w:rsid w:val="0093676F"/>
    <w:rsid w:val="00936951"/>
    <w:rsid w:val="00936A90"/>
    <w:rsid w:val="00936AB3"/>
    <w:rsid w:val="00936B53"/>
    <w:rsid w:val="009370A6"/>
    <w:rsid w:val="0093798A"/>
    <w:rsid w:val="00937AC7"/>
    <w:rsid w:val="00937D15"/>
    <w:rsid w:val="00937FB5"/>
    <w:rsid w:val="0094003E"/>
    <w:rsid w:val="00940472"/>
    <w:rsid w:val="009406F4"/>
    <w:rsid w:val="00940920"/>
    <w:rsid w:val="00940A5D"/>
    <w:rsid w:val="00940BCB"/>
    <w:rsid w:val="00940D85"/>
    <w:rsid w:val="00940D96"/>
    <w:rsid w:val="00940DF4"/>
    <w:rsid w:val="00940F0D"/>
    <w:rsid w:val="00940FB5"/>
    <w:rsid w:val="00940FFF"/>
    <w:rsid w:val="009413A5"/>
    <w:rsid w:val="0094148B"/>
    <w:rsid w:val="009415DC"/>
    <w:rsid w:val="00941A1C"/>
    <w:rsid w:val="00941B97"/>
    <w:rsid w:val="00941CFB"/>
    <w:rsid w:val="009429BB"/>
    <w:rsid w:val="00942A63"/>
    <w:rsid w:val="00942BB8"/>
    <w:rsid w:val="00943128"/>
    <w:rsid w:val="0094335F"/>
    <w:rsid w:val="00943629"/>
    <w:rsid w:val="0094375B"/>
    <w:rsid w:val="00943D09"/>
    <w:rsid w:val="009440F3"/>
    <w:rsid w:val="00944202"/>
    <w:rsid w:val="00944224"/>
    <w:rsid w:val="00944335"/>
    <w:rsid w:val="00944710"/>
    <w:rsid w:val="0094480B"/>
    <w:rsid w:val="00944A7C"/>
    <w:rsid w:val="00944AF4"/>
    <w:rsid w:val="00944C77"/>
    <w:rsid w:val="00944D54"/>
    <w:rsid w:val="00945493"/>
    <w:rsid w:val="0094564D"/>
    <w:rsid w:val="00945E49"/>
    <w:rsid w:val="009460A4"/>
    <w:rsid w:val="009462D8"/>
    <w:rsid w:val="00946388"/>
    <w:rsid w:val="00946860"/>
    <w:rsid w:val="00946F59"/>
    <w:rsid w:val="00947415"/>
    <w:rsid w:val="00947C6E"/>
    <w:rsid w:val="009500B6"/>
    <w:rsid w:val="00950917"/>
    <w:rsid w:val="009509D7"/>
    <w:rsid w:val="00950B09"/>
    <w:rsid w:val="00950DD1"/>
    <w:rsid w:val="00951417"/>
    <w:rsid w:val="0095154C"/>
    <w:rsid w:val="009517A9"/>
    <w:rsid w:val="009518BD"/>
    <w:rsid w:val="00951995"/>
    <w:rsid w:val="00951C7E"/>
    <w:rsid w:val="00951CF6"/>
    <w:rsid w:val="00951F82"/>
    <w:rsid w:val="0095225E"/>
    <w:rsid w:val="00952824"/>
    <w:rsid w:val="00952ACA"/>
    <w:rsid w:val="00952D41"/>
    <w:rsid w:val="00952E47"/>
    <w:rsid w:val="00952F19"/>
    <w:rsid w:val="009537A7"/>
    <w:rsid w:val="00953B1F"/>
    <w:rsid w:val="009542C9"/>
    <w:rsid w:val="00954332"/>
    <w:rsid w:val="0095466F"/>
    <w:rsid w:val="009548C3"/>
    <w:rsid w:val="00954E15"/>
    <w:rsid w:val="0095506D"/>
    <w:rsid w:val="009555E2"/>
    <w:rsid w:val="0095570A"/>
    <w:rsid w:val="009557DF"/>
    <w:rsid w:val="00955A2E"/>
    <w:rsid w:val="00956101"/>
    <w:rsid w:val="0095629D"/>
    <w:rsid w:val="00956305"/>
    <w:rsid w:val="009563E4"/>
    <w:rsid w:val="00956534"/>
    <w:rsid w:val="0095660B"/>
    <w:rsid w:val="00956769"/>
    <w:rsid w:val="009567D1"/>
    <w:rsid w:val="00956B4A"/>
    <w:rsid w:val="00957060"/>
    <w:rsid w:val="009572DC"/>
    <w:rsid w:val="00957487"/>
    <w:rsid w:val="00957656"/>
    <w:rsid w:val="00957D9C"/>
    <w:rsid w:val="00957E3F"/>
    <w:rsid w:val="00957FE7"/>
    <w:rsid w:val="009603AB"/>
    <w:rsid w:val="009607AF"/>
    <w:rsid w:val="00960A88"/>
    <w:rsid w:val="00960B54"/>
    <w:rsid w:val="00960C68"/>
    <w:rsid w:val="00960CB6"/>
    <w:rsid w:val="00960D27"/>
    <w:rsid w:val="00961023"/>
    <w:rsid w:val="009612F1"/>
    <w:rsid w:val="009613DF"/>
    <w:rsid w:val="009616FA"/>
    <w:rsid w:val="00961BAB"/>
    <w:rsid w:val="00961E6D"/>
    <w:rsid w:val="00961F21"/>
    <w:rsid w:val="009621FF"/>
    <w:rsid w:val="0096292B"/>
    <w:rsid w:val="0096336E"/>
    <w:rsid w:val="00963519"/>
    <w:rsid w:val="0096372E"/>
    <w:rsid w:val="0096375C"/>
    <w:rsid w:val="0096392B"/>
    <w:rsid w:val="0096397B"/>
    <w:rsid w:val="00963985"/>
    <w:rsid w:val="009640C7"/>
    <w:rsid w:val="00964E3C"/>
    <w:rsid w:val="00964E69"/>
    <w:rsid w:val="0096504D"/>
    <w:rsid w:val="0096527C"/>
    <w:rsid w:val="009654F0"/>
    <w:rsid w:val="00965753"/>
    <w:rsid w:val="00965915"/>
    <w:rsid w:val="009659EA"/>
    <w:rsid w:val="0096606A"/>
    <w:rsid w:val="0096691D"/>
    <w:rsid w:val="00966EC4"/>
    <w:rsid w:val="0096766C"/>
    <w:rsid w:val="00967851"/>
    <w:rsid w:val="0096791C"/>
    <w:rsid w:val="00967AE4"/>
    <w:rsid w:val="00967CF3"/>
    <w:rsid w:val="00967D2D"/>
    <w:rsid w:val="0097041D"/>
    <w:rsid w:val="00970949"/>
    <w:rsid w:val="009709A8"/>
    <w:rsid w:val="00970A5B"/>
    <w:rsid w:val="00970F7A"/>
    <w:rsid w:val="00970FE3"/>
    <w:rsid w:val="00971190"/>
    <w:rsid w:val="00971EC5"/>
    <w:rsid w:val="00971F6B"/>
    <w:rsid w:val="00971FCC"/>
    <w:rsid w:val="0097298A"/>
    <w:rsid w:val="00972A0B"/>
    <w:rsid w:val="00972A81"/>
    <w:rsid w:val="00972BB7"/>
    <w:rsid w:val="00972C06"/>
    <w:rsid w:val="00972C29"/>
    <w:rsid w:val="00972F4C"/>
    <w:rsid w:val="00972FEB"/>
    <w:rsid w:val="0097302F"/>
    <w:rsid w:val="0097304E"/>
    <w:rsid w:val="00973257"/>
    <w:rsid w:val="0097383E"/>
    <w:rsid w:val="009738E5"/>
    <w:rsid w:val="0097396E"/>
    <w:rsid w:val="009739F8"/>
    <w:rsid w:val="00973B47"/>
    <w:rsid w:val="00973F29"/>
    <w:rsid w:val="00974182"/>
    <w:rsid w:val="009744FF"/>
    <w:rsid w:val="00974520"/>
    <w:rsid w:val="00974EBD"/>
    <w:rsid w:val="009750F1"/>
    <w:rsid w:val="009751BA"/>
    <w:rsid w:val="00975859"/>
    <w:rsid w:val="009760EC"/>
    <w:rsid w:val="009764E3"/>
    <w:rsid w:val="009768E0"/>
    <w:rsid w:val="00976DD5"/>
    <w:rsid w:val="009771C4"/>
    <w:rsid w:val="0097740B"/>
    <w:rsid w:val="009775C2"/>
    <w:rsid w:val="0097762F"/>
    <w:rsid w:val="00977852"/>
    <w:rsid w:val="009778AB"/>
    <w:rsid w:val="00980063"/>
    <w:rsid w:val="00980403"/>
    <w:rsid w:val="009804CB"/>
    <w:rsid w:val="009807C4"/>
    <w:rsid w:val="009809DD"/>
    <w:rsid w:val="00980F14"/>
    <w:rsid w:val="0098154F"/>
    <w:rsid w:val="0098172B"/>
    <w:rsid w:val="009817F9"/>
    <w:rsid w:val="0098183B"/>
    <w:rsid w:val="00981D4B"/>
    <w:rsid w:val="00981E1A"/>
    <w:rsid w:val="009822AF"/>
    <w:rsid w:val="009823A3"/>
    <w:rsid w:val="00982AB4"/>
    <w:rsid w:val="00982B3A"/>
    <w:rsid w:val="00982E67"/>
    <w:rsid w:val="00983061"/>
    <w:rsid w:val="00983223"/>
    <w:rsid w:val="009838CE"/>
    <w:rsid w:val="00983C41"/>
    <w:rsid w:val="00983D59"/>
    <w:rsid w:val="00984206"/>
    <w:rsid w:val="00984449"/>
    <w:rsid w:val="0098511E"/>
    <w:rsid w:val="009852B3"/>
    <w:rsid w:val="0098541D"/>
    <w:rsid w:val="00985426"/>
    <w:rsid w:val="0098567C"/>
    <w:rsid w:val="00985CA4"/>
    <w:rsid w:val="00986757"/>
    <w:rsid w:val="00986956"/>
    <w:rsid w:val="00986999"/>
    <w:rsid w:val="00986E38"/>
    <w:rsid w:val="009874BE"/>
    <w:rsid w:val="009876A0"/>
    <w:rsid w:val="00987813"/>
    <w:rsid w:val="009879B5"/>
    <w:rsid w:val="009879F4"/>
    <w:rsid w:val="00990A3A"/>
    <w:rsid w:val="009917F3"/>
    <w:rsid w:val="00991DFC"/>
    <w:rsid w:val="00991F39"/>
    <w:rsid w:val="009920B2"/>
    <w:rsid w:val="00992624"/>
    <w:rsid w:val="009927C4"/>
    <w:rsid w:val="009928BC"/>
    <w:rsid w:val="00992AF4"/>
    <w:rsid w:val="00992D04"/>
    <w:rsid w:val="009930C0"/>
    <w:rsid w:val="0099324C"/>
    <w:rsid w:val="0099344C"/>
    <w:rsid w:val="00993627"/>
    <w:rsid w:val="00993658"/>
    <w:rsid w:val="0099367D"/>
    <w:rsid w:val="009936F0"/>
    <w:rsid w:val="009938F2"/>
    <w:rsid w:val="00993DA5"/>
    <w:rsid w:val="0099507E"/>
    <w:rsid w:val="00995360"/>
    <w:rsid w:val="009954AD"/>
    <w:rsid w:val="0099551F"/>
    <w:rsid w:val="00995581"/>
    <w:rsid w:val="00995658"/>
    <w:rsid w:val="00995966"/>
    <w:rsid w:val="00995B64"/>
    <w:rsid w:val="00995CC7"/>
    <w:rsid w:val="00995D7A"/>
    <w:rsid w:val="00996546"/>
    <w:rsid w:val="00996A8B"/>
    <w:rsid w:val="00996CD1"/>
    <w:rsid w:val="00996CD4"/>
    <w:rsid w:val="00996D2C"/>
    <w:rsid w:val="0099713E"/>
    <w:rsid w:val="009972F5"/>
    <w:rsid w:val="0099731A"/>
    <w:rsid w:val="009977D9"/>
    <w:rsid w:val="009978EE"/>
    <w:rsid w:val="009979D6"/>
    <w:rsid w:val="00997CA3"/>
    <w:rsid w:val="00997D0A"/>
    <w:rsid w:val="009A0212"/>
    <w:rsid w:val="009A031F"/>
    <w:rsid w:val="009A041C"/>
    <w:rsid w:val="009A12E2"/>
    <w:rsid w:val="009A144F"/>
    <w:rsid w:val="009A1963"/>
    <w:rsid w:val="009A1E77"/>
    <w:rsid w:val="009A1FBC"/>
    <w:rsid w:val="009A20C4"/>
    <w:rsid w:val="009A20F1"/>
    <w:rsid w:val="009A2180"/>
    <w:rsid w:val="009A2443"/>
    <w:rsid w:val="009A246A"/>
    <w:rsid w:val="009A2817"/>
    <w:rsid w:val="009A2E5D"/>
    <w:rsid w:val="009A3183"/>
    <w:rsid w:val="009A355A"/>
    <w:rsid w:val="009A3792"/>
    <w:rsid w:val="009A37AC"/>
    <w:rsid w:val="009A3AB5"/>
    <w:rsid w:val="009A4445"/>
    <w:rsid w:val="009A4518"/>
    <w:rsid w:val="009A47CB"/>
    <w:rsid w:val="009A4E19"/>
    <w:rsid w:val="009A4F30"/>
    <w:rsid w:val="009A514C"/>
    <w:rsid w:val="009A516A"/>
    <w:rsid w:val="009A528E"/>
    <w:rsid w:val="009A6127"/>
    <w:rsid w:val="009A637B"/>
    <w:rsid w:val="009A6456"/>
    <w:rsid w:val="009A6513"/>
    <w:rsid w:val="009A6960"/>
    <w:rsid w:val="009A6BAA"/>
    <w:rsid w:val="009A6C74"/>
    <w:rsid w:val="009A6D32"/>
    <w:rsid w:val="009A7154"/>
    <w:rsid w:val="009A78D1"/>
    <w:rsid w:val="009A7A99"/>
    <w:rsid w:val="009A7E57"/>
    <w:rsid w:val="009B003C"/>
    <w:rsid w:val="009B0097"/>
    <w:rsid w:val="009B10C5"/>
    <w:rsid w:val="009B25DC"/>
    <w:rsid w:val="009B3221"/>
    <w:rsid w:val="009B33F1"/>
    <w:rsid w:val="009B346F"/>
    <w:rsid w:val="009B3745"/>
    <w:rsid w:val="009B37CF"/>
    <w:rsid w:val="009B3C79"/>
    <w:rsid w:val="009B3DBB"/>
    <w:rsid w:val="009B4300"/>
    <w:rsid w:val="009B4821"/>
    <w:rsid w:val="009B492A"/>
    <w:rsid w:val="009B4BED"/>
    <w:rsid w:val="009B4C24"/>
    <w:rsid w:val="009B4DC3"/>
    <w:rsid w:val="009B549E"/>
    <w:rsid w:val="009B553F"/>
    <w:rsid w:val="009B5821"/>
    <w:rsid w:val="009B59B0"/>
    <w:rsid w:val="009B5E51"/>
    <w:rsid w:val="009B616B"/>
    <w:rsid w:val="009B62E0"/>
    <w:rsid w:val="009B65D8"/>
    <w:rsid w:val="009B68AD"/>
    <w:rsid w:val="009B6C13"/>
    <w:rsid w:val="009B6C79"/>
    <w:rsid w:val="009B76B9"/>
    <w:rsid w:val="009B76E1"/>
    <w:rsid w:val="009B7833"/>
    <w:rsid w:val="009B7BB7"/>
    <w:rsid w:val="009B7FFA"/>
    <w:rsid w:val="009C00EF"/>
    <w:rsid w:val="009C01D2"/>
    <w:rsid w:val="009C080A"/>
    <w:rsid w:val="009C0859"/>
    <w:rsid w:val="009C098E"/>
    <w:rsid w:val="009C0BC1"/>
    <w:rsid w:val="009C0D13"/>
    <w:rsid w:val="009C0D57"/>
    <w:rsid w:val="009C0DBE"/>
    <w:rsid w:val="009C0DD9"/>
    <w:rsid w:val="009C10DF"/>
    <w:rsid w:val="009C11FA"/>
    <w:rsid w:val="009C159E"/>
    <w:rsid w:val="009C163E"/>
    <w:rsid w:val="009C1A35"/>
    <w:rsid w:val="009C1AB7"/>
    <w:rsid w:val="009C1D4B"/>
    <w:rsid w:val="009C1E0C"/>
    <w:rsid w:val="009C281C"/>
    <w:rsid w:val="009C2D12"/>
    <w:rsid w:val="009C35E2"/>
    <w:rsid w:val="009C388E"/>
    <w:rsid w:val="009C3D88"/>
    <w:rsid w:val="009C40AD"/>
    <w:rsid w:val="009C45A3"/>
    <w:rsid w:val="009C4EF7"/>
    <w:rsid w:val="009C520B"/>
    <w:rsid w:val="009C52FB"/>
    <w:rsid w:val="009C5538"/>
    <w:rsid w:val="009C5785"/>
    <w:rsid w:val="009C5874"/>
    <w:rsid w:val="009C60D6"/>
    <w:rsid w:val="009C6768"/>
    <w:rsid w:val="009C681F"/>
    <w:rsid w:val="009C6894"/>
    <w:rsid w:val="009C6B3B"/>
    <w:rsid w:val="009C6B7B"/>
    <w:rsid w:val="009C6E93"/>
    <w:rsid w:val="009C7147"/>
    <w:rsid w:val="009C7893"/>
    <w:rsid w:val="009C7EB3"/>
    <w:rsid w:val="009C7F47"/>
    <w:rsid w:val="009C7FEB"/>
    <w:rsid w:val="009D00B2"/>
    <w:rsid w:val="009D0361"/>
    <w:rsid w:val="009D0720"/>
    <w:rsid w:val="009D079F"/>
    <w:rsid w:val="009D0897"/>
    <w:rsid w:val="009D09A8"/>
    <w:rsid w:val="009D10E9"/>
    <w:rsid w:val="009D12D2"/>
    <w:rsid w:val="009D2118"/>
    <w:rsid w:val="009D22EA"/>
    <w:rsid w:val="009D264B"/>
    <w:rsid w:val="009D28AF"/>
    <w:rsid w:val="009D2C43"/>
    <w:rsid w:val="009D327E"/>
    <w:rsid w:val="009D3814"/>
    <w:rsid w:val="009D3CC0"/>
    <w:rsid w:val="009D3CE2"/>
    <w:rsid w:val="009D3D45"/>
    <w:rsid w:val="009D422C"/>
    <w:rsid w:val="009D4303"/>
    <w:rsid w:val="009D478C"/>
    <w:rsid w:val="009D49A4"/>
    <w:rsid w:val="009D4A8E"/>
    <w:rsid w:val="009D4DA3"/>
    <w:rsid w:val="009D5D83"/>
    <w:rsid w:val="009D610C"/>
    <w:rsid w:val="009D62E7"/>
    <w:rsid w:val="009D6BC4"/>
    <w:rsid w:val="009D74BA"/>
    <w:rsid w:val="009D75A4"/>
    <w:rsid w:val="009D766D"/>
    <w:rsid w:val="009D7DD5"/>
    <w:rsid w:val="009E00D4"/>
    <w:rsid w:val="009E06AD"/>
    <w:rsid w:val="009E0962"/>
    <w:rsid w:val="009E0B51"/>
    <w:rsid w:val="009E0F08"/>
    <w:rsid w:val="009E11A9"/>
    <w:rsid w:val="009E1514"/>
    <w:rsid w:val="009E176B"/>
    <w:rsid w:val="009E1957"/>
    <w:rsid w:val="009E1C2B"/>
    <w:rsid w:val="009E1D4A"/>
    <w:rsid w:val="009E1E13"/>
    <w:rsid w:val="009E1F70"/>
    <w:rsid w:val="009E1FFC"/>
    <w:rsid w:val="009E2787"/>
    <w:rsid w:val="009E2F97"/>
    <w:rsid w:val="009E30C4"/>
    <w:rsid w:val="009E3235"/>
    <w:rsid w:val="009E3790"/>
    <w:rsid w:val="009E3A5F"/>
    <w:rsid w:val="009E457F"/>
    <w:rsid w:val="009E5039"/>
    <w:rsid w:val="009E532F"/>
    <w:rsid w:val="009E53AA"/>
    <w:rsid w:val="009E53D6"/>
    <w:rsid w:val="009E5656"/>
    <w:rsid w:val="009E5A66"/>
    <w:rsid w:val="009E5AB4"/>
    <w:rsid w:val="009E605E"/>
    <w:rsid w:val="009E641D"/>
    <w:rsid w:val="009E64BF"/>
    <w:rsid w:val="009E653E"/>
    <w:rsid w:val="009E69FB"/>
    <w:rsid w:val="009E6F6E"/>
    <w:rsid w:val="009E7246"/>
    <w:rsid w:val="009E7677"/>
    <w:rsid w:val="009E798E"/>
    <w:rsid w:val="009E7F72"/>
    <w:rsid w:val="009F06F6"/>
    <w:rsid w:val="009F0C38"/>
    <w:rsid w:val="009F0CD1"/>
    <w:rsid w:val="009F1033"/>
    <w:rsid w:val="009F1317"/>
    <w:rsid w:val="009F187B"/>
    <w:rsid w:val="009F1933"/>
    <w:rsid w:val="009F1DC3"/>
    <w:rsid w:val="009F269C"/>
    <w:rsid w:val="009F2E50"/>
    <w:rsid w:val="009F2E7E"/>
    <w:rsid w:val="009F3713"/>
    <w:rsid w:val="009F3769"/>
    <w:rsid w:val="009F37A0"/>
    <w:rsid w:val="009F39A6"/>
    <w:rsid w:val="009F39E2"/>
    <w:rsid w:val="009F3A4B"/>
    <w:rsid w:val="009F3D85"/>
    <w:rsid w:val="009F3DF4"/>
    <w:rsid w:val="009F3E03"/>
    <w:rsid w:val="009F3E1D"/>
    <w:rsid w:val="009F41E1"/>
    <w:rsid w:val="009F4375"/>
    <w:rsid w:val="009F4834"/>
    <w:rsid w:val="009F4BDB"/>
    <w:rsid w:val="009F4F05"/>
    <w:rsid w:val="009F5606"/>
    <w:rsid w:val="009F5B2D"/>
    <w:rsid w:val="009F5CA4"/>
    <w:rsid w:val="009F6410"/>
    <w:rsid w:val="009F6457"/>
    <w:rsid w:val="009F669B"/>
    <w:rsid w:val="009F66AB"/>
    <w:rsid w:val="009F66DF"/>
    <w:rsid w:val="009F69C5"/>
    <w:rsid w:val="009F6CE6"/>
    <w:rsid w:val="009F6DF5"/>
    <w:rsid w:val="009F7105"/>
    <w:rsid w:val="009F7163"/>
    <w:rsid w:val="009F7169"/>
    <w:rsid w:val="009F76CB"/>
    <w:rsid w:val="009F7883"/>
    <w:rsid w:val="00A00519"/>
    <w:rsid w:val="00A00E09"/>
    <w:rsid w:val="00A01006"/>
    <w:rsid w:val="00A011C6"/>
    <w:rsid w:val="00A018D0"/>
    <w:rsid w:val="00A023E8"/>
    <w:rsid w:val="00A0267E"/>
    <w:rsid w:val="00A02A7C"/>
    <w:rsid w:val="00A02B26"/>
    <w:rsid w:val="00A03255"/>
    <w:rsid w:val="00A03893"/>
    <w:rsid w:val="00A0394B"/>
    <w:rsid w:val="00A03CC8"/>
    <w:rsid w:val="00A0404C"/>
    <w:rsid w:val="00A04156"/>
    <w:rsid w:val="00A04492"/>
    <w:rsid w:val="00A044F4"/>
    <w:rsid w:val="00A04541"/>
    <w:rsid w:val="00A04846"/>
    <w:rsid w:val="00A04A92"/>
    <w:rsid w:val="00A04CA0"/>
    <w:rsid w:val="00A04FA0"/>
    <w:rsid w:val="00A0519C"/>
    <w:rsid w:val="00A0559E"/>
    <w:rsid w:val="00A058B5"/>
    <w:rsid w:val="00A05A1F"/>
    <w:rsid w:val="00A05BA9"/>
    <w:rsid w:val="00A05DFF"/>
    <w:rsid w:val="00A05FF8"/>
    <w:rsid w:val="00A065E2"/>
    <w:rsid w:val="00A066E6"/>
    <w:rsid w:val="00A0687B"/>
    <w:rsid w:val="00A069BD"/>
    <w:rsid w:val="00A06F57"/>
    <w:rsid w:val="00A0738B"/>
    <w:rsid w:val="00A07654"/>
    <w:rsid w:val="00A0780A"/>
    <w:rsid w:val="00A07B16"/>
    <w:rsid w:val="00A07B18"/>
    <w:rsid w:val="00A07D0F"/>
    <w:rsid w:val="00A07EA6"/>
    <w:rsid w:val="00A10244"/>
    <w:rsid w:val="00A105DB"/>
    <w:rsid w:val="00A106FE"/>
    <w:rsid w:val="00A10947"/>
    <w:rsid w:val="00A10B48"/>
    <w:rsid w:val="00A10B7A"/>
    <w:rsid w:val="00A10C9E"/>
    <w:rsid w:val="00A10CD0"/>
    <w:rsid w:val="00A114B5"/>
    <w:rsid w:val="00A115BF"/>
    <w:rsid w:val="00A11ACA"/>
    <w:rsid w:val="00A11E0F"/>
    <w:rsid w:val="00A121EA"/>
    <w:rsid w:val="00A12206"/>
    <w:rsid w:val="00A12301"/>
    <w:rsid w:val="00A1260C"/>
    <w:rsid w:val="00A12713"/>
    <w:rsid w:val="00A12A73"/>
    <w:rsid w:val="00A12AA4"/>
    <w:rsid w:val="00A12BEE"/>
    <w:rsid w:val="00A12EE8"/>
    <w:rsid w:val="00A131A4"/>
    <w:rsid w:val="00A13511"/>
    <w:rsid w:val="00A1365D"/>
    <w:rsid w:val="00A13715"/>
    <w:rsid w:val="00A13B4D"/>
    <w:rsid w:val="00A13CD6"/>
    <w:rsid w:val="00A13CF1"/>
    <w:rsid w:val="00A13D0E"/>
    <w:rsid w:val="00A13E1C"/>
    <w:rsid w:val="00A13E32"/>
    <w:rsid w:val="00A13E59"/>
    <w:rsid w:val="00A145D0"/>
    <w:rsid w:val="00A14743"/>
    <w:rsid w:val="00A14B5D"/>
    <w:rsid w:val="00A152F7"/>
    <w:rsid w:val="00A15521"/>
    <w:rsid w:val="00A1562F"/>
    <w:rsid w:val="00A157EC"/>
    <w:rsid w:val="00A15ABD"/>
    <w:rsid w:val="00A160E1"/>
    <w:rsid w:val="00A16150"/>
    <w:rsid w:val="00A1630A"/>
    <w:rsid w:val="00A1637F"/>
    <w:rsid w:val="00A163FD"/>
    <w:rsid w:val="00A16416"/>
    <w:rsid w:val="00A168E0"/>
    <w:rsid w:val="00A16A02"/>
    <w:rsid w:val="00A17345"/>
    <w:rsid w:val="00A1759A"/>
    <w:rsid w:val="00A1789B"/>
    <w:rsid w:val="00A178A4"/>
    <w:rsid w:val="00A20253"/>
    <w:rsid w:val="00A2049C"/>
    <w:rsid w:val="00A205BF"/>
    <w:rsid w:val="00A2081F"/>
    <w:rsid w:val="00A20BC0"/>
    <w:rsid w:val="00A2104B"/>
    <w:rsid w:val="00A210E3"/>
    <w:rsid w:val="00A210E9"/>
    <w:rsid w:val="00A218AE"/>
    <w:rsid w:val="00A21A9D"/>
    <w:rsid w:val="00A21AAA"/>
    <w:rsid w:val="00A21AAF"/>
    <w:rsid w:val="00A21E51"/>
    <w:rsid w:val="00A22132"/>
    <w:rsid w:val="00A22207"/>
    <w:rsid w:val="00A224F0"/>
    <w:rsid w:val="00A226BE"/>
    <w:rsid w:val="00A22D9C"/>
    <w:rsid w:val="00A22F1B"/>
    <w:rsid w:val="00A2316F"/>
    <w:rsid w:val="00A2327E"/>
    <w:rsid w:val="00A23921"/>
    <w:rsid w:val="00A23DD8"/>
    <w:rsid w:val="00A24150"/>
    <w:rsid w:val="00A24701"/>
    <w:rsid w:val="00A2470A"/>
    <w:rsid w:val="00A2481C"/>
    <w:rsid w:val="00A24CCF"/>
    <w:rsid w:val="00A24D81"/>
    <w:rsid w:val="00A25155"/>
    <w:rsid w:val="00A2583E"/>
    <w:rsid w:val="00A259E6"/>
    <w:rsid w:val="00A25A28"/>
    <w:rsid w:val="00A25E22"/>
    <w:rsid w:val="00A25F8A"/>
    <w:rsid w:val="00A261E4"/>
    <w:rsid w:val="00A267CB"/>
    <w:rsid w:val="00A26883"/>
    <w:rsid w:val="00A26CF7"/>
    <w:rsid w:val="00A26D60"/>
    <w:rsid w:val="00A26EE0"/>
    <w:rsid w:val="00A272E0"/>
    <w:rsid w:val="00A27381"/>
    <w:rsid w:val="00A27791"/>
    <w:rsid w:val="00A2784A"/>
    <w:rsid w:val="00A27A34"/>
    <w:rsid w:val="00A27C4E"/>
    <w:rsid w:val="00A3072C"/>
    <w:rsid w:val="00A3097E"/>
    <w:rsid w:val="00A30BAE"/>
    <w:rsid w:val="00A313D0"/>
    <w:rsid w:val="00A314A9"/>
    <w:rsid w:val="00A31591"/>
    <w:rsid w:val="00A316BA"/>
    <w:rsid w:val="00A3170C"/>
    <w:rsid w:val="00A318C7"/>
    <w:rsid w:val="00A31C37"/>
    <w:rsid w:val="00A31E88"/>
    <w:rsid w:val="00A321EE"/>
    <w:rsid w:val="00A325C2"/>
    <w:rsid w:val="00A325CC"/>
    <w:rsid w:val="00A326AC"/>
    <w:rsid w:val="00A327BE"/>
    <w:rsid w:val="00A327E2"/>
    <w:rsid w:val="00A32955"/>
    <w:rsid w:val="00A32AC9"/>
    <w:rsid w:val="00A32C37"/>
    <w:rsid w:val="00A32CBE"/>
    <w:rsid w:val="00A33079"/>
    <w:rsid w:val="00A33271"/>
    <w:rsid w:val="00A33C3D"/>
    <w:rsid w:val="00A33C9E"/>
    <w:rsid w:val="00A33CFD"/>
    <w:rsid w:val="00A3451C"/>
    <w:rsid w:val="00A34A25"/>
    <w:rsid w:val="00A34FD0"/>
    <w:rsid w:val="00A35064"/>
    <w:rsid w:val="00A35233"/>
    <w:rsid w:val="00A35735"/>
    <w:rsid w:val="00A35A0B"/>
    <w:rsid w:val="00A362CB"/>
    <w:rsid w:val="00A36549"/>
    <w:rsid w:val="00A36694"/>
    <w:rsid w:val="00A36DC8"/>
    <w:rsid w:val="00A36E00"/>
    <w:rsid w:val="00A370C7"/>
    <w:rsid w:val="00A3747D"/>
    <w:rsid w:val="00A375E2"/>
    <w:rsid w:val="00A37A59"/>
    <w:rsid w:val="00A37EED"/>
    <w:rsid w:val="00A40296"/>
    <w:rsid w:val="00A402A6"/>
    <w:rsid w:val="00A40531"/>
    <w:rsid w:val="00A40889"/>
    <w:rsid w:val="00A41009"/>
    <w:rsid w:val="00A41179"/>
    <w:rsid w:val="00A41772"/>
    <w:rsid w:val="00A41AC6"/>
    <w:rsid w:val="00A41AD9"/>
    <w:rsid w:val="00A42659"/>
    <w:rsid w:val="00A426A6"/>
    <w:rsid w:val="00A42721"/>
    <w:rsid w:val="00A42897"/>
    <w:rsid w:val="00A42911"/>
    <w:rsid w:val="00A429DE"/>
    <w:rsid w:val="00A42E37"/>
    <w:rsid w:val="00A42E79"/>
    <w:rsid w:val="00A42F65"/>
    <w:rsid w:val="00A4306E"/>
    <w:rsid w:val="00A4339C"/>
    <w:rsid w:val="00A43666"/>
    <w:rsid w:val="00A439B1"/>
    <w:rsid w:val="00A43A47"/>
    <w:rsid w:val="00A43B7C"/>
    <w:rsid w:val="00A442E6"/>
    <w:rsid w:val="00A4438D"/>
    <w:rsid w:val="00A44882"/>
    <w:rsid w:val="00A44AA5"/>
    <w:rsid w:val="00A44B72"/>
    <w:rsid w:val="00A44E28"/>
    <w:rsid w:val="00A450FC"/>
    <w:rsid w:val="00A4570E"/>
    <w:rsid w:val="00A45A3B"/>
    <w:rsid w:val="00A45C78"/>
    <w:rsid w:val="00A46FAD"/>
    <w:rsid w:val="00A470ED"/>
    <w:rsid w:val="00A47218"/>
    <w:rsid w:val="00A47430"/>
    <w:rsid w:val="00A4761F"/>
    <w:rsid w:val="00A47803"/>
    <w:rsid w:val="00A479AE"/>
    <w:rsid w:val="00A47B4B"/>
    <w:rsid w:val="00A47BED"/>
    <w:rsid w:val="00A47C9B"/>
    <w:rsid w:val="00A5044D"/>
    <w:rsid w:val="00A50B00"/>
    <w:rsid w:val="00A511FB"/>
    <w:rsid w:val="00A514EB"/>
    <w:rsid w:val="00A51701"/>
    <w:rsid w:val="00A51BC1"/>
    <w:rsid w:val="00A521E0"/>
    <w:rsid w:val="00A5232D"/>
    <w:rsid w:val="00A52B0A"/>
    <w:rsid w:val="00A52BE8"/>
    <w:rsid w:val="00A52C6A"/>
    <w:rsid w:val="00A52D1E"/>
    <w:rsid w:val="00A5411F"/>
    <w:rsid w:val="00A54492"/>
    <w:rsid w:val="00A544BF"/>
    <w:rsid w:val="00A546BB"/>
    <w:rsid w:val="00A54A61"/>
    <w:rsid w:val="00A54A90"/>
    <w:rsid w:val="00A54D16"/>
    <w:rsid w:val="00A54D3A"/>
    <w:rsid w:val="00A551A0"/>
    <w:rsid w:val="00A5579B"/>
    <w:rsid w:val="00A55855"/>
    <w:rsid w:val="00A5586A"/>
    <w:rsid w:val="00A55877"/>
    <w:rsid w:val="00A5587F"/>
    <w:rsid w:val="00A55BB7"/>
    <w:rsid w:val="00A55CCE"/>
    <w:rsid w:val="00A55E76"/>
    <w:rsid w:val="00A55F31"/>
    <w:rsid w:val="00A5637C"/>
    <w:rsid w:val="00A56735"/>
    <w:rsid w:val="00A56938"/>
    <w:rsid w:val="00A56C2C"/>
    <w:rsid w:val="00A570E8"/>
    <w:rsid w:val="00A570E9"/>
    <w:rsid w:val="00A57311"/>
    <w:rsid w:val="00A57A60"/>
    <w:rsid w:val="00A57B65"/>
    <w:rsid w:val="00A57BB7"/>
    <w:rsid w:val="00A57C08"/>
    <w:rsid w:val="00A57E26"/>
    <w:rsid w:val="00A57F96"/>
    <w:rsid w:val="00A60163"/>
    <w:rsid w:val="00A6034D"/>
    <w:rsid w:val="00A6067D"/>
    <w:rsid w:val="00A6098D"/>
    <w:rsid w:val="00A609E3"/>
    <w:rsid w:val="00A61298"/>
    <w:rsid w:val="00A61828"/>
    <w:rsid w:val="00A61863"/>
    <w:rsid w:val="00A61BD5"/>
    <w:rsid w:val="00A61F3E"/>
    <w:rsid w:val="00A620AA"/>
    <w:rsid w:val="00A62182"/>
    <w:rsid w:val="00A62953"/>
    <w:rsid w:val="00A62961"/>
    <w:rsid w:val="00A62977"/>
    <w:rsid w:val="00A62D25"/>
    <w:rsid w:val="00A62E92"/>
    <w:rsid w:val="00A630F5"/>
    <w:rsid w:val="00A63800"/>
    <w:rsid w:val="00A63872"/>
    <w:rsid w:val="00A63A07"/>
    <w:rsid w:val="00A63A37"/>
    <w:rsid w:val="00A63A89"/>
    <w:rsid w:val="00A64196"/>
    <w:rsid w:val="00A64B81"/>
    <w:rsid w:val="00A64BC7"/>
    <w:rsid w:val="00A64E27"/>
    <w:rsid w:val="00A64EB1"/>
    <w:rsid w:val="00A65354"/>
    <w:rsid w:val="00A65589"/>
    <w:rsid w:val="00A657CF"/>
    <w:rsid w:val="00A65B9E"/>
    <w:rsid w:val="00A65BE3"/>
    <w:rsid w:val="00A65FBF"/>
    <w:rsid w:val="00A66089"/>
    <w:rsid w:val="00A6681D"/>
    <w:rsid w:val="00A66A5A"/>
    <w:rsid w:val="00A67234"/>
    <w:rsid w:val="00A6736A"/>
    <w:rsid w:val="00A677C1"/>
    <w:rsid w:val="00A67A8E"/>
    <w:rsid w:val="00A67AC6"/>
    <w:rsid w:val="00A67AFD"/>
    <w:rsid w:val="00A701BF"/>
    <w:rsid w:val="00A702D5"/>
    <w:rsid w:val="00A7033A"/>
    <w:rsid w:val="00A70A35"/>
    <w:rsid w:val="00A70CC7"/>
    <w:rsid w:val="00A711DB"/>
    <w:rsid w:val="00A71221"/>
    <w:rsid w:val="00A713F2"/>
    <w:rsid w:val="00A7141F"/>
    <w:rsid w:val="00A71CDC"/>
    <w:rsid w:val="00A71D6B"/>
    <w:rsid w:val="00A72221"/>
    <w:rsid w:val="00A723F7"/>
    <w:rsid w:val="00A732A8"/>
    <w:rsid w:val="00A734AF"/>
    <w:rsid w:val="00A73873"/>
    <w:rsid w:val="00A744A2"/>
    <w:rsid w:val="00A745D9"/>
    <w:rsid w:val="00A74C89"/>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571"/>
    <w:rsid w:val="00A77594"/>
    <w:rsid w:val="00A77960"/>
    <w:rsid w:val="00A77C0E"/>
    <w:rsid w:val="00A806D6"/>
    <w:rsid w:val="00A80915"/>
    <w:rsid w:val="00A80E48"/>
    <w:rsid w:val="00A80E52"/>
    <w:rsid w:val="00A8115F"/>
    <w:rsid w:val="00A81281"/>
    <w:rsid w:val="00A8135C"/>
    <w:rsid w:val="00A81633"/>
    <w:rsid w:val="00A81E1C"/>
    <w:rsid w:val="00A8221B"/>
    <w:rsid w:val="00A82665"/>
    <w:rsid w:val="00A826CD"/>
    <w:rsid w:val="00A82AF4"/>
    <w:rsid w:val="00A82DA1"/>
    <w:rsid w:val="00A831F0"/>
    <w:rsid w:val="00A83315"/>
    <w:rsid w:val="00A834EC"/>
    <w:rsid w:val="00A8353F"/>
    <w:rsid w:val="00A83710"/>
    <w:rsid w:val="00A83BF1"/>
    <w:rsid w:val="00A83C06"/>
    <w:rsid w:val="00A83C5B"/>
    <w:rsid w:val="00A84298"/>
    <w:rsid w:val="00A8478D"/>
    <w:rsid w:val="00A8490B"/>
    <w:rsid w:val="00A84BB0"/>
    <w:rsid w:val="00A8513A"/>
    <w:rsid w:val="00A8523D"/>
    <w:rsid w:val="00A853DF"/>
    <w:rsid w:val="00A85661"/>
    <w:rsid w:val="00A85FFF"/>
    <w:rsid w:val="00A869B4"/>
    <w:rsid w:val="00A86ACD"/>
    <w:rsid w:val="00A86AE7"/>
    <w:rsid w:val="00A86D23"/>
    <w:rsid w:val="00A86FEF"/>
    <w:rsid w:val="00A87482"/>
    <w:rsid w:val="00A8793D"/>
    <w:rsid w:val="00A879F9"/>
    <w:rsid w:val="00A87C98"/>
    <w:rsid w:val="00A900DF"/>
    <w:rsid w:val="00A9018C"/>
    <w:rsid w:val="00A90218"/>
    <w:rsid w:val="00A905F1"/>
    <w:rsid w:val="00A90E27"/>
    <w:rsid w:val="00A91218"/>
    <w:rsid w:val="00A91228"/>
    <w:rsid w:val="00A91469"/>
    <w:rsid w:val="00A9164F"/>
    <w:rsid w:val="00A917CC"/>
    <w:rsid w:val="00A91B1D"/>
    <w:rsid w:val="00A91C52"/>
    <w:rsid w:val="00A91F3E"/>
    <w:rsid w:val="00A92466"/>
    <w:rsid w:val="00A9266D"/>
    <w:rsid w:val="00A92DBC"/>
    <w:rsid w:val="00A930F9"/>
    <w:rsid w:val="00A934FE"/>
    <w:rsid w:val="00A93715"/>
    <w:rsid w:val="00A9399B"/>
    <w:rsid w:val="00A939D3"/>
    <w:rsid w:val="00A93AAE"/>
    <w:rsid w:val="00A93BDA"/>
    <w:rsid w:val="00A93E41"/>
    <w:rsid w:val="00A93F3C"/>
    <w:rsid w:val="00A94A70"/>
    <w:rsid w:val="00A94C66"/>
    <w:rsid w:val="00A9505F"/>
    <w:rsid w:val="00A950D2"/>
    <w:rsid w:val="00A9526D"/>
    <w:rsid w:val="00A95A3E"/>
    <w:rsid w:val="00A95CB8"/>
    <w:rsid w:val="00A95DBB"/>
    <w:rsid w:val="00A96058"/>
    <w:rsid w:val="00A96564"/>
    <w:rsid w:val="00A96801"/>
    <w:rsid w:val="00A9692B"/>
    <w:rsid w:val="00A96D7E"/>
    <w:rsid w:val="00A9727C"/>
    <w:rsid w:val="00A97465"/>
    <w:rsid w:val="00A97666"/>
    <w:rsid w:val="00A97711"/>
    <w:rsid w:val="00A97B8C"/>
    <w:rsid w:val="00A97E7B"/>
    <w:rsid w:val="00AA0003"/>
    <w:rsid w:val="00AA020E"/>
    <w:rsid w:val="00AA0811"/>
    <w:rsid w:val="00AA0ABC"/>
    <w:rsid w:val="00AA0C50"/>
    <w:rsid w:val="00AA0E75"/>
    <w:rsid w:val="00AA158B"/>
    <w:rsid w:val="00AA1A60"/>
    <w:rsid w:val="00AA1D12"/>
    <w:rsid w:val="00AA1DD6"/>
    <w:rsid w:val="00AA1EEC"/>
    <w:rsid w:val="00AA210C"/>
    <w:rsid w:val="00AA29F2"/>
    <w:rsid w:val="00AA2CD8"/>
    <w:rsid w:val="00AA2D01"/>
    <w:rsid w:val="00AA30A2"/>
    <w:rsid w:val="00AA34E4"/>
    <w:rsid w:val="00AA378D"/>
    <w:rsid w:val="00AA3927"/>
    <w:rsid w:val="00AA3B44"/>
    <w:rsid w:val="00AA3FF1"/>
    <w:rsid w:val="00AA40CE"/>
    <w:rsid w:val="00AA43B1"/>
    <w:rsid w:val="00AA461D"/>
    <w:rsid w:val="00AA4757"/>
    <w:rsid w:val="00AA4B1B"/>
    <w:rsid w:val="00AA5584"/>
    <w:rsid w:val="00AA560B"/>
    <w:rsid w:val="00AA59DF"/>
    <w:rsid w:val="00AA5BD3"/>
    <w:rsid w:val="00AA6026"/>
    <w:rsid w:val="00AA6206"/>
    <w:rsid w:val="00AA630A"/>
    <w:rsid w:val="00AA6937"/>
    <w:rsid w:val="00AA69EF"/>
    <w:rsid w:val="00AA6B64"/>
    <w:rsid w:val="00AA6F9A"/>
    <w:rsid w:val="00AA7192"/>
    <w:rsid w:val="00AA7748"/>
    <w:rsid w:val="00AA7C4F"/>
    <w:rsid w:val="00AB001C"/>
    <w:rsid w:val="00AB027D"/>
    <w:rsid w:val="00AB02C8"/>
    <w:rsid w:val="00AB06B8"/>
    <w:rsid w:val="00AB0ADE"/>
    <w:rsid w:val="00AB0CA0"/>
    <w:rsid w:val="00AB102D"/>
    <w:rsid w:val="00AB1A33"/>
    <w:rsid w:val="00AB1C99"/>
    <w:rsid w:val="00AB243D"/>
    <w:rsid w:val="00AB2857"/>
    <w:rsid w:val="00AB286E"/>
    <w:rsid w:val="00AB2B10"/>
    <w:rsid w:val="00AB3299"/>
    <w:rsid w:val="00AB3418"/>
    <w:rsid w:val="00AB3490"/>
    <w:rsid w:val="00AB3491"/>
    <w:rsid w:val="00AB3D94"/>
    <w:rsid w:val="00AB3E16"/>
    <w:rsid w:val="00AB3E3E"/>
    <w:rsid w:val="00AB3F13"/>
    <w:rsid w:val="00AB3F37"/>
    <w:rsid w:val="00AB4157"/>
    <w:rsid w:val="00AB42FF"/>
    <w:rsid w:val="00AB483F"/>
    <w:rsid w:val="00AB513E"/>
    <w:rsid w:val="00AB53BA"/>
    <w:rsid w:val="00AB57AD"/>
    <w:rsid w:val="00AB5819"/>
    <w:rsid w:val="00AB583A"/>
    <w:rsid w:val="00AB6406"/>
    <w:rsid w:val="00AB642C"/>
    <w:rsid w:val="00AB7134"/>
    <w:rsid w:val="00AB76D5"/>
    <w:rsid w:val="00AB7787"/>
    <w:rsid w:val="00AB78AC"/>
    <w:rsid w:val="00AB7964"/>
    <w:rsid w:val="00AB79BB"/>
    <w:rsid w:val="00AB7C60"/>
    <w:rsid w:val="00AC0B36"/>
    <w:rsid w:val="00AC0CEF"/>
    <w:rsid w:val="00AC1191"/>
    <w:rsid w:val="00AC1281"/>
    <w:rsid w:val="00AC138E"/>
    <w:rsid w:val="00AC27D0"/>
    <w:rsid w:val="00AC2AEF"/>
    <w:rsid w:val="00AC2D39"/>
    <w:rsid w:val="00AC2D4E"/>
    <w:rsid w:val="00AC2FB2"/>
    <w:rsid w:val="00AC3084"/>
    <w:rsid w:val="00AC3431"/>
    <w:rsid w:val="00AC38E9"/>
    <w:rsid w:val="00AC3C82"/>
    <w:rsid w:val="00AC45D6"/>
    <w:rsid w:val="00AC471F"/>
    <w:rsid w:val="00AC4883"/>
    <w:rsid w:val="00AC4D53"/>
    <w:rsid w:val="00AC4D96"/>
    <w:rsid w:val="00AC4E2E"/>
    <w:rsid w:val="00AC55F0"/>
    <w:rsid w:val="00AC5A3B"/>
    <w:rsid w:val="00AC5AB6"/>
    <w:rsid w:val="00AC61B3"/>
    <w:rsid w:val="00AC63F4"/>
    <w:rsid w:val="00AC6521"/>
    <w:rsid w:val="00AC690A"/>
    <w:rsid w:val="00AC6D0A"/>
    <w:rsid w:val="00AC7919"/>
    <w:rsid w:val="00AD0EAA"/>
    <w:rsid w:val="00AD12BD"/>
    <w:rsid w:val="00AD163D"/>
    <w:rsid w:val="00AD1CB3"/>
    <w:rsid w:val="00AD1D35"/>
    <w:rsid w:val="00AD1DFE"/>
    <w:rsid w:val="00AD1F06"/>
    <w:rsid w:val="00AD27FC"/>
    <w:rsid w:val="00AD284F"/>
    <w:rsid w:val="00AD28FD"/>
    <w:rsid w:val="00AD2ACB"/>
    <w:rsid w:val="00AD2BAD"/>
    <w:rsid w:val="00AD2BBD"/>
    <w:rsid w:val="00AD2D96"/>
    <w:rsid w:val="00AD3042"/>
    <w:rsid w:val="00AD3047"/>
    <w:rsid w:val="00AD33C3"/>
    <w:rsid w:val="00AD34A1"/>
    <w:rsid w:val="00AD3BEC"/>
    <w:rsid w:val="00AD48F9"/>
    <w:rsid w:val="00AD4EF5"/>
    <w:rsid w:val="00AD514B"/>
    <w:rsid w:val="00AD5542"/>
    <w:rsid w:val="00AD587B"/>
    <w:rsid w:val="00AD5930"/>
    <w:rsid w:val="00AD5F5A"/>
    <w:rsid w:val="00AD6025"/>
    <w:rsid w:val="00AD62C5"/>
    <w:rsid w:val="00AD6C7F"/>
    <w:rsid w:val="00AD70C9"/>
    <w:rsid w:val="00AD732B"/>
    <w:rsid w:val="00AD74FD"/>
    <w:rsid w:val="00AD75A6"/>
    <w:rsid w:val="00AD7769"/>
    <w:rsid w:val="00AD7838"/>
    <w:rsid w:val="00AD7927"/>
    <w:rsid w:val="00AD7B75"/>
    <w:rsid w:val="00AD7CD8"/>
    <w:rsid w:val="00AE00EF"/>
    <w:rsid w:val="00AE034B"/>
    <w:rsid w:val="00AE075A"/>
    <w:rsid w:val="00AE0D12"/>
    <w:rsid w:val="00AE0D23"/>
    <w:rsid w:val="00AE0E9E"/>
    <w:rsid w:val="00AE105C"/>
    <w:rsid w:val="00AE1418"/>
    <w:rsid w:val="00AE14B7"/>
    <w:rsid w:val="00AE186D"/>
    <w:rsid w:val="00AE1C33"/>
    <w:rsid w:val="00AE2057"/>
    <w:rsid w:val="00AE2205"/>
    <w:rsid w:val="00AE232B"/>
    <w:rsid w:val="00AE29B5"/>
    <w:rsid w:val="00AE2BFE"/>
    <w:rsid w:val="00AE3004"/>
    <w:rsid w:val="00AE31BA"/>
    <w:rsid w:val="00AE32B3"/>
    <w:rsid w:val="00AE34B9"/>
    <w:rsid w:val="00AE39C1"/>
    <w:rsid w:val="00AE3CE1"/>
    <w:rsid w:val="00AE4557"/>
    <w:rsid w:val="00AE45B7"/>
    <w:rsid w:val="00AE475C"/>
    <w:rsid w:val="00AE4A1F"/>
    <w:rsid w:val="00AE4B5C"/>
    <w:rsid w:val="00AE4C51"/>
    <w:rsid w:val="00AE4C55"/>
    <w:rsid w:val="00AE4F01"/>
    <w:rsid w:val="00AE4FB3"/>
    <w:rsid w:val="00AE552C"/>
    <w:rsid w:val="00AE567B"/>
    <w:rsid w:val="00AE5749"/>
    <w:rsid w:val="00AE5E27"/>
    <w:rsid w:val="00AE5E95"/>
    <w:rsid w:val="00AE6271"/>
    <w:rsid w:val="00AE6433"/>
    <w:rsid w:val="00AE646D"/>
    <w:rsid w:val="00AE6584"/>
    <w:rsid w:val="00AE69BD"/>
    <w:rsid w:val="00AE6C7D"/>
    <w:rsid w:val="00AE6D12"/>
    <w:rsid w:val="00AE6EEB"/>
    <w:rsid w:val="00AE723D"/>
    <w:rsid w:val="00AE7992"/>
    <w:rsid w:val="00AE7B02"/>
    <w:rsid w:val="00AE7E0E"/>
    <w:rsid w:val="00AF0801"/>
    <w:rsid w:val="00AF1156"/>
    <w:rsid w:val="00AF13DC"/>
    <w:rsid w:val="00AF1414"/>
    <w:rsid w:val="00AF26BE"/>
    <w:rsid w:val="00AF28B0"/>
    <w:rsid w:val="00AF2D55"/>
    <w:rsid w:val="00AF2DED"/>
    <w:rsid w:val="00AF2E7C"/>
    <w:rsid w:val="00AF377C"/>
    <w:rsid w:val="00AF3C80"/>
    <w:rsid w:val="00AF3C8C"/>
    <w:rsid w:val="00AF3EB8"/>
    <w:rsid w:val="00AF40D4"/>
    <w:rsid w:val="00AF41FC"/>
    <w:rsid w:val="00AF457C"/>
    <w:rsid w:val="00AF457D"/>
    <w:rsid w:val="00AF4648"/>
    <w:rsid w:val="00AF4BDB"/>
    <w:rsid w:val="00AF4C53"/>
    <w:rsid w:val="00AF5021"/>
    <w:rsid w:val="00AF5312"/>
    <w:rsid w:val="00AF5363"/>
    <w:rsid w:val="00AF5478"/>
    <w:rsid w:val="00AF5A90"/>
    <w:rsid w:val="00AF5B9F"/>
    <w:rsid w:val="00AF5E03"/>
    <w:rsid w:val="00AF5F78"/>
    <w:rsid w:val="00AF609E"/>
    <w:rsid w:val="00AF63A9"/>
    <w:rsid w:val="00AF6591"/>
    <w:rsid w:val="00AF65F5"/>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54A"/>
    <w:rsid w:val="00B02A4C"/>
    <w:rsid w:val="00B02B2B"/>
    <w:rsid w:val="00B03101"/>
    <w:rsid w:val="00B03765"/>
    <w:rsid w:val="00B039CE"/>
    <w:rsid w:val="00B03C24"/>
    <w:rsid w:val="00B03D26"/>
    <w:rsid w:val="00B03E1C"/>
    <w:rsid w:val="00B03F36"/>
    <w:rsid w:val="00B04725"/>
    <w:rsid w:val="00B04D36"/>
    <w:rsid w:val="00B04F11"/>
    <w:rsid w:val="00B052E4"/>
    <w:rsid w:val="00B054CE"/>
    <w:rsid w:val="00B05688"/>
    <w:rsid w:val="00B05DC2"/>
    <w:rsid w:val="00B060B4"/>
    <w:rsid w:val="00B06574"/>
    <w:rsid w:val="00B06798"/>
    <w:rsid w:val="00B06A2A"/>
    <w:rsid w:val="00B06AF4"/>
    <w:rsid w:val="00B06C77"/>
    <w:rsid w:val="00B07479"/>
    <w:rsid w:val="00B075EC"/>
    <w:rsid w:val="00B079E8"/>
    <w:rsid w:val="00B07A7C"/>
    <w:rsid w:val="00B07CBE"/>
    <w:rsid w:val="00B07EDE"/>
    <w:rsid w:val="00B07F35"/>
    <w:rsid w:val="00B1044B"/>
    <w:rsid w:val="00B1093D"/>
    <w:rsid w:val="00B10BD1"/>
    <w:rsid w:val="00B10CE6"/>
    <w:rsid w:val="00B10DB5"/>
    <w:rsid w:val="00B110E0"/>
    <w:rsid w:val="00B111BF"/>
    <w:rsid w:val="00B114C4"/>
    <w:rsid w:val="00B11882"/>
    <w:rsid w:val="00B11E29"/>
    <w:rsid w:val="00B11EAB"/>
    <w:rsid w:val="00B120CF"/>
    <w:rsid w:val="00B12612"/>
    <w:rsid w:val="00B12F78"/>
    <w:rsid w:val="00B12FA8"/>
    <w:rsid w:val="00B13127"/>
    <w:rsid w:val="00B13282"/>
    <w:rsid w:val="00B1361E"/>
    <w:rsid w:val="00B137BE"/>
    <w:rsid w:val="00B137D3"/>
    <w:rsid w:val="00B1388A"/>
    <w:rsid w:val="00B13F1F"/>
    <w:rsid w:val="00B14381"/>
    <w:rsid w:val="00B14450"/>
    <w:rsid w:val="00B147CC"/>
    <w:rsid w:val="00B15093"/>
    <w:rsid w:val="00B150B5"/>
    <w:rsid w:val="00B15141"/>
    <w:rsid w:val="00B151C6"/>
    <w:rsid w:val="00B15A0F"/>
    <w:rsid w:val="00B167A6"/>
    <w:rsid w:val="00B16B5F"/>
    <w:rsid w:val="00B16E3A"/>
    <w:rsid w:val="00B1723C"/>
    <w:rsid w:val="00B1736C"/>
    <w:rsid w:val="00B174E2"/>
    <w:rsid w:val="00B175EA"/>
    <w:rsid w:val="00B17744"/>
    <w:rsid w:val="00B17853"/>
    <w:rsid w:val="00B20057"/>
    <w:rsid w:val="00B20075"/>
    <w:rsid w:val="00B2043A"/>
    <w:rsid w:val="00B206FB"/>
    <w:rsid w:val="00B20C9F"/>
    <w:rsid w:val="00B20E2B"/>
    <w:rsid w:val="00B21016"/>
    <w:rsid w:val="00B215F9"/>
    <w:rsid w:val="00B21CA7"/>
    <w:rsid w:val="00B21CB7"/>
    <w:rsid w:val="00B21D72"/>
    <w:rsid w:val="00B21D75"/>
    <w:rsid w:val="00B21D85"/>
    <w:rsid w:val="00B21DF9"/>
    <w:rsid w:val="00B21FD0"/>
    <w:rsid w:val="00B223F6"/>
    <w:rsid w:val="00B22FBE"/>
    <w:rsid w:val="00B233A9"/>
    <w:rsid w:val="00B239CC"/>
    <w:rsid w:val="00B23A73"/>
    <w:rsid w:val="00B24059"/>
    <w:rsid w:val="00B24E7D"/>
    <w:rsid w:val="00B24F49"/>
    <w:rsid w:val="00B254EC"/>
    <w:rsid w:val="00B254EE"/>
    <w:rsid w:val="00B25585"/>
    <w:rsid w:val="00B2564F"/>
    <w:rsid w:val="00B25A70"/>
    <w:rsid w:val="00B25BD8"/>
    <w:rsid w:val="00B25CB6"/>
    <w:rsid w:val="00B25E1D"/>
    <w:rsid w:val="00B25F9A"/>
    <w:rsid w:val="00B2609F"/>
    <w:rsid w:val="00B260D2"/>
    <w:rsid w:val="00B2613A"/>
    <w:rsid w:val="00B269BF"/>
    <w:rsid w:val="00B269CE"/>
    <w:rsid w:val="00B2757B"/>
    <w:rsid w:val="00B27D54"/>
    <w:rsid w:val="00B3022F"/>
    <w:rsid w:val="00B305C0"/>
    <w:rsid w:val="00B30643"/>
    <w:rsid w:val="00B30992"/>
    <w:rsid w:val="00B30D8A"/>
    <w:rsid w:val="00B30F29"/>
    <w:rsid w:val="00B30F6B"/>
    <w:rsid w:val="00B316A1"/>
    <w:rsid w:val="00B31E5F"/>
    <w:rsid w:val="00B31F6B"/>
    <w:rsid w:val="00B32607"/>
    <w:rsid w:val="00B326BE"/>
    <w:rsid w:val="00B32821"/>
    <w:rsid w:val="00B3297A"/>
    <w:rsid w:val="00B32B1B"/>
    <w:rsid w:val="00B32CE3"/>
    <w:rsid w:val="00B32EE7"/>
    <w:rsid w:val="00B3331B"/>
    <w:rsid w:val="00B33595"/>
    <w:rsid w:val="00B3396B"/>
    <w:rsid w:val="00B34886"/>
    <w:rsid w:val="00B3488B"/>
    <w:rsid w:val="00B3511C"/>
    <w:rsid w:val="00B3539A"/>
    <w:rsid w:val="00B35620"/>
    <w:rsid w:val="00B35643"/>
    <w:rsid w:val="00B358BA"/>
    <w:rsid w:val="00B35CB3"/>
    <w:rsid w:val="00B35F8E"/>
    <w:rsid w:val="00B367DE"/>
    <w:rsid w:val="00B36AB2"/>
    <w:rsid w:val="00B36F42"/>
    <w:rsid w:val="00B37121"/>
    <w:rsid w:val="00B37228"/>
    <w:rsid w:val="00B37306"/>
    <w:rsid w:val="00B37DD5"/>
    <w:rsid w:val="00B37E73"/>
    <w:rsid w:val="00B4003E"/>
    <w:rsid w:val="00B40292"/>
    <w:rsid w:val="00B40405"/>
    <w:rsid w:val="00B40461"/>
    <w:rsid w:val="00B40644"/>
    <w:rsid w:val="00B4067C"/>
    <w:rsid w:val="00B406B2"/>
    <w:rsid w:val="00B40BF1"/>
    <w:rsid w:val="00B40D73"/>
    <w:rsid w:val="00B411A3"/>
    <w:rsid w:val="00B412CB"/>
    <w:rsid w:val="00B41351"/>
    <w:rsid w:val="00B415EF"/>
    <w:rsid w:val="00B41B34"/>
    <w:rsid w:val="00B41C34"/>
    <w:rsid w:val="00B427E4"/>
    <w:rsid w:val="00B42879"/>
    <w:rsid w:val="00B42B9A"/>
    <w:rsid w:val="00B42C0C"/>
    <w:rsid w:val="00B42E65"/>
    <w:rsid w:val="00B42F58"/>
    <w:rsid w:val="00B430D3"/>
    <w:rsid w:val="00B432D4"/>
    <w:rsid w:val="00B4357E"/>
    <w:rsid w:val="00B437BD"/>
    <w:rsid w:val="00B43985"/>
    <w:rsid w:val="00B439FA"/>
    <w:rsid w:val="00B43D1F"/>
    <w:rsid w:val="00B43D4D"/>
    <w:rsid w:val="00B44027"/>
    <w:rsid w:val="00B440CF"/>
    <w:rsid w:val="00B443C5"/>
    <w:rsid w:val="00B44635"/>
    <w:rsid w:val="00B4472F"/>
    <w:rsid w:val="00B4485B"/>
    <w:rsid w:val="00B449D9"/>
    <w:rsid w:val="00B45029"/>
    <w:rsid w:val="00B45A61"/>
    <w:rsid w:val="00B460AA"/>
    <w:rsid w:val="00B462D6"/>
    <w:rsid w:val="00B46BBB"/>
    <w:rsid w:val="00B47222"/>
    <w:rsid w:val="00B47784"/>
    <w:rsid w:val="00B4783F"/>
    <w:rsid w:val="00B47CEF"/>
    <w:rsid w:val="00B47F65"/>
    <w:rsid w:val="00B502C5"/>
    <w:rsid w:val="00B504F7"/>
    <w:rsid w:val="00B50A47"/>
    <w:rsid w:val="00B51014"/>
    <w:rsid w:val="00B51420"/>
    <w:rsid w:val="00B51526"/>
    <w:rsid w:val="00B51A40"/>
    <w:rsid w:val="00B522A9"/>
    <w:rsid w:val="00B524A8"/>
    <w:rsid w:val="00B52559"/>
    <w:rsid w:val="00B52646"/>
    <w:rsid w:val="00B529F2"/>
    <w:rsid w:val="00B52AAD"/>
    <w:rsid w:val="00B52B07"/>
    <w:rsid w:val="00B52E7D"/>
    <w:rsid w:val="00B530BA"/>
    <w:rsid w:val="00B53EF5"/>
    <w:rsid w:val="00B5428C"/>
    <w:rsid w:val="00B5475E"/>
    <w:rsid w:val="00B54989"/>
    <w:rsid w:val="00B54A86"/>
    <w:rsid w:val="00B54FA3"/>
    <w:rsid w:val="00B553CF"/>
    <w:rsid w:val="00B5549D"/>
    <w:rsid w:val="00B555B8"/>
    <w:rsid w:val="00B558F0"/>
    <w:rsid w:val="00B55ACA"/>
    <w:rsid w:val="00B5612F"/>
    <w:rsid w:val="00B566E0"/>
    <w:rsid w:val="00B5685D"/>
    <w:rsid w:val="00B56BA8"/>
    <w:rsid w:val="00B56C22"/>
    <w:rsid w:val="00B57639"/>
    <w:rsid w:val="00B57861"/>
    <w:rsid w:val="00B57D57"/>
    <w:rsid w:val="00B6015E"/>
    <w:rsid w:val="00B6022F"/>
    <w:rsid w:val="00B60543"/>
    <w:rsid w:val="00B60680"/>
    <w:rsid w:val="00B607B8"/>
    <w:rsid w:val="00B60E6E"/>
    <w:rsid w:val="00B60EA9"/>
    <w:rsid w:val="00B6184F"/>
    <w:rsid w:val="00B619AF"/>
    <w:rsid w:val="00B61B85"/>
    <w:rsid w:val="00B61CC4"/>
    <w:rsid w:val="00B61CFF"/>
    <w:rsid w:val="00B61F70"/>
    <w:rsid w:val="00B6237B"/>
    <w:rsid w:val="00B62A18"/>
    <w:rsid w:val="00B63411"/>
    <w:rsid w:val="00B63834"/>
    <w:rsid w:val="00B63870"/>
    <w:rsid w:val="00B63D4F"/>
    <w:rsid w:val="00B640AB"/>
    <w:rsid w:val="00B642F1"/>
    <w:rsid w:val="00B64398"/>
    <w:rsid w:val="00B64484"/>
    <w:rsid w:val="00B645EE"/>
    <w:rsid w:val="00B645F8"/>
    <w:rsid w:val="00B646A6"/>
    <w:rsid w:val="00B652B0"/>
    <w:rsid w:val="00B6552B"/>
    <w:rsid w:val="00B657B5"/>
    <w:rsid w:val="00B65D1C"/>
    <w:rsid w:val="00B65E9D"/>
    <w:rsid w:val="00B660F5"/>
    <w:rsid w:val="00B664EC"/>
    <w:rsid w:val="00B667B2"/>
    <w:rsid w:val="00B66801"/>
    <w:rsid w:val="00B6733D"/>
    <w:rsid w:val="00B6796C"/>
    <w:rsid w:val="00B67B2B"/>
    <w:rsid w:val="00B67E62"/>
    <w:rsid w:val="00B67E89"/>
    <w:rsid w:val="00B70333"/>
    <w:rsid w:val="00B70584"/>
    <w:rsid w:val="00B70A49"/>
    <w:rsid w:val="00B70DDA"/>
    <w:rsid w:val="00B70EDB"/>
    <w:rsid w:val="00B71212"/>
    <w:rsid w:val="00B71A5D"/>
    <w:rsid w:val="00B72184"/>
    <w:rsid w:val="00B7273B"/>
    <w:rsid w:val="00B727B8"/>
    <w:rsid w:val="00B72964"/>
    <w:rsid w:val="00B73259"/>
    <w:rsid w:val="00B73453"/>
    <w:rsid w:val="00B737C7"/>
    <w:rsid w:val="00B73801"/>
    <w:rsid w:val="00B73DCF"/>
    <w:rsid w:val="00B741DB"/>
    <w:rsid w:val="00B74921"/>
    <w:rsid w:val="00B74A0D"/>
    <w:rsid w:val="00B74E88"/>
    <w:rsid w:val="00B74EC0"/>
    <w:rsid w:val="00B75549"/>
    <w:rsid w:val="00B75667"/>
    <w:rsid w:val="00B75A33"/>
    <w:rsid w:val="00B76727"/>
    <w:rsid w:val="00B76E51"/>
    <w:rsid w:val="00B77062"/>
    <w:rsid w:val="00B7709F"/>
    <w:rsid w:val="00B7723E"/>
    <w:rsid w:val="00B774CC"/>
    <w:rsid w:val="00B77D8A"/>
    <w:rsid w:val="00B77FBB"/>
    <w:rsid w:val="00B8053A"/>
    <w:rsid w:val="00B8053B"/>
    <w:rsid w:val="00B80795"/>
    <w:rsid w:val="00B807DB"/>
    <w:rsid w:val="00B80B2D"/>
    <w:rsid w:val="00B80F5B"/>
    <w:rsid w:val="00B812CD"/>
    <w:rsid w:val="00B81440"/>
    <w:rsid w:val="00B81578"/>
    <w:rsid w:val="00B81684"/>
    <w:rsid w:val="00B817F4"/>
    <w:rsid w:val="00B8206A"/>
    <w:rsid w:val="00B821AB"/>
    <w:rsid w:val="00B82974"/>
    <w:rsid w:val="00B830F7"/>
    <w:rsid w:val="00B8321E"/>
    <w:rsid w:val="00B83463"/>
    <w:rsid w:val="00B83AC3"/>
    <w:rsid w:val="00B83ACC"/>
    <w:rsid w:val="00B83DF6"/>
    <w:rsid w:val="00B8408E"/>
    <w:rsid w:val="00B845D9"/>
    <w:rsid w:val="00B84979"/>
    <w:rsid w:val="00B849E7"/>
    <w:rsid w:val="00B84B53"/>
    <w:rsid w:val="00B84BE8"/>
    <w:rsid w:val="00B84F50"/>
    <w:rsid w:val="00B85154"/>
    <w:rsid w:val="00B85BF7"/>
    <w:rsid w:val="00B85E03"/>
    <w:rsid w:val="00B85F50"/>
    <w:rsid w:val="00B85F67"/>
    <w:rsid w:val="00B86017"/>
    <w:rsid w:val="00B86551"/>
    <w:rsid w:val="00B86557"/>
    <w:rsid w:val="00B86734"/>
    <w:rsid w:val="00B8676E"/>
    <w:rsid w:val="00B868FC"/>
    <w:rsid w:val="00B8692C"/>
    <w:rsid w:val="00B86BDC"/>
    <w:rsid w:val="00B86E06"/>
    <w:rsid w:val="00B874FB"/>
    <w:rsid w:val="00B8769E"/>
    <w:rsid w:val="00B909DC"/>
    <w:rsid w:val="00B90DC8"/>
    <w:rsid w:val="00B91356"/>
    <w:rsid w:val="00B915AD"/>
    <w:rsid w:val="00B919B6"/>
    <w:rsid w:val="00B91E0F"/>
    <w:rsid w:val="00B926E0"/>
    <w:rsid w:val="00B928B6"/>
    <w:rsid w:val="00B92F5B"/>
    <w:rsid w:val="00B93B55"/>
    <w:rsid w:val="00B93C26"/>
    <w:rsid w:val="00B93C36"/>
    <w:rsid w:val="00B94054"/>
    <w:rsid w:val="00B94253"/>
    <w:rsid w:val="00B9436E"/>
    <w:rsid w:val="00B94D3F"/>
    <w:rsid w:val="00B950E8"/>
    <w:rsid w:val="00B95242"/>
    <w:rsid w:val="00B95305"/>
    <w:rsid w:val="00B9532A"/>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848"/>
    <w:rsid w:val="00B97B85"/>
    <w:rsid w:val="00BA067F"/>
    <w:rsid w:val="00BA13E0"/>
    <w:rsid w:val="00BA146F"/>
    <w:rsid w:val="00BA1570"/>
    <w:rsid w:val="00BA1782"/>
    <w:rsid w:val="00BA17C4"/>
    <w:rsid w:val="00BA1C20"/>
    <w:rsid w:val="00BA1E6F"/>
    <w:rsid w:val="00BA270E"/>
    <w:rsid w:val="00BA2729"/>
    <w:rsid w:val="00BA283C"/>
    <w:rsid w:val="00BA2AEB"/>
    <w:rsid w:val="00BA2DED"/>
    <w:rsid w:val="00BA2FCA"/>
    <w:rsid w:val="00BA3129"/>
    <w:rsid w:val="00BA37D5"/>
    <w:rsid w:val="00BA380D"/>
    <w:rsid w:val="00BA3974"/>
    <w:rsid w:val="00BA3996"/>
    <w:rsid w:val="00BA3CC9"/>
    <w:rsid w:val="00BA3F29"/>
    <w:rsid w:val="00BA4071"/>
    <w:rsid w:val="00BA40BE"/>
    <w:rsid w:val="00BA48C2"/>
    <w:rsid w:val="00BA48E0"/>
    <w:rsid w:val="00BA4A62"/>
    <w:rsid w:val="00BA4B45"/>
    <w:rsid w:val="00BA4DF9"/>
    <w:rsid w:val="00BA4E3A"/>
    <w:rsid w:val="00BA5346"/>
    <w:rsid w:val="00BA54FB"/>
    <w:rsid w:val="00BA5656"/>
    <w:rsid w:val="00BA5C97"/>
    <w:rsid w:val="00BA5EFB"/>
    <w:rsid w:val="00BA6282"/>
    <w:rsid w:val="00BA659A"/>
    <w:rsid w:val="00BA68C1"/>
    <w:rsid w:val="00BA6CFD"/>
    <w:rsid w:val="00BA7339"/>
    <w:rsid w:val="00BA7423"/>
    <w:rsid w:val="00BA7541"/>
    <w:rsid w:val="00BA7688"/>
    <w:rsid w:val="00BA7C05"/>
    <w:rsid w:val="00BA7EB0"/>
    <w:rsid w:val="00BA7F97"/>
    <w:rsid w:val="00BB0528"/>
    <w:rsid w:val="00BB0678"/>
    <w:rsid w:val="00BB070E"/>
    <w:rsid w:val="00BB0724"/>
    <w:rsid w:val="00BB0AFC"/>
    <w:rsid w:val="00BB0B3E"/>
    <w:rsid w:val="00BB0B41"/>
    <w:rsid w:val="00BB0D75"/>
    <w:rsid w:val="00BB0F55"/>
    <w:rsid w:val="00BB142F"/>
    <w:rsid w:val="00BB180B"/>
    <w:rsid w:val="00BB1966"/>
    <w:rsid w:val="00BB1B24"/>
    <w:rsid w:val="00BB1C4F"/>
    <w:rsid w:val="00BB1D50"/>
    <w:rsid w:val="00BB214F"/>
    <w:rsid w:val="00BB225D"/>
    <w:rsid w:val="00BB2432"/>
    <w:rsid w:val="00BB26D3"/>
    <w:rsid w:val="00BB3019"/>
    <w:rsid w:val="00BB3355"/>
    <w:rsid w:val="00BB365A"/>
    <w:rsid w:val="00BB3BDC"/>
    <w:rsid w:val="00BB3DF1"/>
    <w:rsid w:val="00BB3F2A"/>
    <w:rsid w:val="00BB3F4C"/>
    <w:rsid w:val="00BB3F8F"/>
    <w:rsid w:val="00BB424D"/>
    <w:rsid w:val="00BB4A42"/>
    <w:rsid w:val="00BB4D0D"/>
    <w:rsid w:val="00BB5321"/>
    <w:rsid w:val="00BB55E4"/>
    <w:rsid w:val="00BB56F2"/>
    <w:rsid w:val="00BB56F3"/>
    <w:rsid w:val="00BB60F2"/>
    <w:rsid w:val="00BB61DC"/>
    <w:rsid w:val="00BB6431"/>
    <w:rsid w:val="00BB6472"/>
    <w:rsid w:val="00BB6C81"/>
    <w:rsid w:val="00BB71EC"/>
    <w:rsid w:val="00BB723D"/>
    <w:rsid w:val="00BB724B"/>
    <w:rsid w:val="00BB7634"/>
    <w:rsid w:val="00BB7FA5"/>
    <w:rsid w:val="00BC108E"/>
    <w:rsid w:val="00BC16BF"/>
    <w:rsid w:val="00BC17BC"/>
    <w:rsid w:val="00BC18B2"/>
    <w:rsid w:val="00BC1A03"/>
    <w:rsid w:val="00BC1A99"/>
    <w:rsid w:val="00BC1CDD"/>
    <w:rsid w:val="00BC201A"/>
    <w:rsid w:val="00BC2062"/>
    <w:rsid w:val="00BC27E0"/>
    <w:rsid w:val="00BC2BC7"/>
    <w:rsid w:val="00BC2F45"/>
    <w:rsid w:val="00BC321B"/>
    <w:rsid w:val="00BC344E"/>
    <w:rsid w:val="00BC38B8"/>
    <w:rsid w:val="00BC3CF8"/>
    <w:rsid w:val="00BC3E82"/>
    <w:rsid w:val="00BC3FE8"/>
    <w:rsid w:val="00BC499E"/>
    <w:rsid w:val="00BC4DE8"/>
    <w:rsid w:val="00BC4F20"/>
    <w:rsid w:val="00BC5199"/>
    <w:rsid w:val="00BC5CE2"/>
    <w:rsid w:val="00BC6582"/>
    <w:rsid w:val="00BC6826"/>
    <w:rsid w:val="00BC6897"/>
    <w:rsid w:val="00BC6F66"/>
    <w:rsid w:val="00BC7040"/>
    <w:rsid w:val="00BC70D5"/>
    <w:rsid w:val="00BC71C5"/>
    <w:rsid w:val="00BC726E"/>
    <w:rsid w:val="00BC7659"/>
    <w:rsid w:val="00BC77C9"/>
    <w:rsid w:val="00BC7A42"/>
    <w:rsid w:val="00BC7DDC"/>
    <w:rsid w:val="00BD013E"/>
    <w:rsid w:val="00BD082C"/>
    <w:rsid w:val="00BD0E3C"/>
    <w:rsid w:val="00BD0FC4"/>
    <w:rsid w:val="00BD140B"/>
    <w:rsid w:val="00BD14A5"/>
    <w:rsid w:val="00BD218B"/>
    <w:rsid w:val="00BD22C4"/>
    <w:rsid w:val="00BD2304"/>
    <w:rsid w:val="00BD238C"/>
    <w:rsid w:val="00BD28FD"/>
    <w:rsid w:val="00BD2A08"/>
    <w:rsid w:val="00BD2F55"/>
    <w:rsid w:val="00BD2FDF"/>
    <w:rsid w:val="00BD3545"/>
    <w:rsid w:val="00BD3837"/>
    <w:rsid w:val="00BD386B"/>
    <w:rsid w:val="00BD3C69"/>
    <w:rsid w:val="00BD3C9F"/>
    <w:rsid w:val="00BD3D7A"/>
    <w:rsid w:val="00BD4194"/>
    <w:rsid w:val="00BD47B4"/>
    <w:rsid w:val="00BD49BA"/>
    <w:rsid w:val="00BD4C3D"/>
    <w:rsid w:val="00BD55D6"/>
    <w:rsid w:val="00BD5736"/>
    <w:rsid w:val="00BD5A26"/>
    <w:rsid w:val="00BD5FA4"/>
    <w:rsid w:val="00BD602B"/>
    <w:rsid w:val="00BD6509"/>
    <w:rsid w:val="00BD689C"/>
    <w:rsid w:val="00BD6A22"/>
    <w:rsid w:val="00BD6B92"/>
    <w:rsid w:val="00BD6BB3"/>
    <w:rsid w:val="00BD7629"/>
    <w:rsid w:val="00BD7740"/>
    <w:rsid w:val="00BD7A82"/>
    <w:rsid w:val="00BD7EFB"/>
    <w:rsid w:val="00BD7F9E"/>
    <w:rsid w:val="00BE072F"/>
    <w:rsid w:val="00BE12D2"/>
    <w:rsid w:val="00BE13B8"/>
    <w:rsid w:val="00BE16A6"/>
    <w:rsid w:val="00BE16C6"/>
    <w:rsid w:val="00BE16EF"/>
    <w:rsid w:val="00BE1959"/>
    <w:rsid w:val="00BE197A"/>
    <w:rsid w:val="00BE1A06"/>
    <w:rsid w:val="00BE1B51"/>
    <w:rsid w:val="00BE1D45"/>
    <w:rsid w:val="00BE227B"/>
    <w:rsid w:val="00BE269D"/>
    <w:rsid w:val="00BE28FE"/>
    <w:rsid w:val="00BE2DC1"/>
    <w:rsid w:val="00BE312F"/>
    <w:rsid w:val="00BE370C"/>
    <w:rsid w:val="00BE3D64"/>
    <w:rsid w:val="00BE3EA0"/>
    <w:rsid w:val="00BE403F"/>
    <w:rsid w:val="00BE444A"/>
    <w:rsid w:val="00BE475F"/>
    <w:rsid w:val="00BE5171"/>
    <w:rsid w:val="00BE546C"/>
    <w:rsid w:val="00BE5519"/>
    <w:rsid w:val="00BE57B1"/>
    <w:rsid w:val="00BE5813"/>
    <w:rsid w:val="00BE5E11"/>
    <w:rsid w:val="00BE63D5"/>
    <w:rsid w:val="00BE64B9"/>
    <w:rsid w:val="00BE65B3"/>
    <w:rsid w:val="00BE6C03"/>
    <w:rsid w:val="00BE6C38"/>
    <w:rsid w:val="00BE7501"/>
    <w:rsid w:val="00BE7B27"/>
    <w:rsid w:val="00BE7D45"/>
    <w:rsid w:val="00BE7FAF"/>
    <w:rsid w:val="00BF0058"/>
    <w:rsid w:val="00BF02E6"/>
    <w:rsid w:val="00BF08B0"/>
    <w:rsid w:val="00BF0AF3"/>
    <w:rsid w:val="00BF0CEB"/>
    <w:rsid w:val="00BF0EA0"/>
    <w:rsid w:val="00BF0F15"/>
    <w:rsid w:val="00BF10D2"/>
    <w:rsid w:val="00BF120B"/>
    <w:rsid w:val="00BF12B0"/>
    <w:rsid w:val="00BF1309"/>
    <w:rsid w:val="00BF145E"/>
    <w:rsid w:val="00BF1CD8"/>
    <w:rsid w:val="00BF220D"/>
    <w:rsid w:val="00BF2372"/>
    <w:rsid w:val="00BF2633"/>
    <w:rsid w:val="00BF2817"/>
    <w:rsid w:val="00BF28A5"/>
    <w:rsid w:val="00BF31B5"/>
    <w:rsid w:val="00BF31CB"/>
    <w:rsid w:val="00BF3204"/>
    <w:rsid w:val="00BF3A41"/>
    <w:rsid w:val="00BF3C10"/>
    <w:rsid w:val="00BF3FFA"/>
    <w:rsid w:val="00BF408E"/>
    <w:rsid w:val="00BF433D"/>
    <w:rsid w:val="00BF4378"/>
    <w:rsid w:val="00BF46F1"/>
    <w:rsid w:val="00BF4928"/>
    <w:rsid w:val="00BF4B69"/>
    <w:rsid w:val="00BF56A8"/>
    <w:rsid w:val="00BF5EED"/>
    <w:rsid w:val="00BF60E3"/>
    <w:rsid w:val="00BF6504"/>
    <w:rsid w:val="00BF6682"/>
    <w:rsid w:val="00BF6C19"/>
    <w:rsid w:val="00BF6FBF"/>
    <w:rsid w:val="00BF70A1"/>
    <w:rsid w:val="00BF70F8"/>
    <w:rsid w:val="00BF7D39"/>
    <w:rsid w:val="00BF7D43"/>
    <w:rsid w:val="00C00F1A"/>
    <w:rsid w:val="00C010F5"/>
    <w:rsid w:val="00C01375"/>
    <w:rsid w:val="00C0150C"/>
    <w:rsid w:val="00C01552"/>
    <w:rsid w:val="00C01835"/>
    <w:rsid w:val="00C01FFB"/>
    <w:rsid w:val="00C02192"/>
    <w:rsid w:val="00C023FA"/>
    <w:rsid w:val="00C0256C"/>
    <w:rsid w:val="00C02B2A"/>
    <w:rsid w:val="00C02CDE"/>
    <w:rsid w:val="00C030C3"/>
    <w:rsid w:val="00C03365"/>
    <w:rsid w:val="00C03383"/>
    <w:rsid w:val="00C035A1"/>
    <w:rsid w:val="00C039B6"/>
    <w:rsid w:val="00C03B7B"/>
    <w:rsid w:val="00C03E72"/>
    <w:rsid w:val="00C03F76"/>
    <w:rsid w:val="00C04B82"/>
    <w:rsid w:val="00C057E0"/>
    <w:rsid w:val="00C05863"/>
    <w:rsid w:val="00C05C20"/>
    <w:rsid w:val="00C06066"/>
    <w:rsid w:val="00C061E3"/>
    <w:rsid w:val="00C0648A"/>
    <w:rsid w:val="00C06756"/>
    <w:rsid w:val="00C067A4"/>
    <w:rsid w:val="00C06B3D"/>
    <w:rsid w:val="00C06BE9"/>
    <w:rsid w:val="00C070D8"/>
    <w:rsid w:val="00C07562"/>
    <w:rsid w:val="00C079D6"/>
    <w:rsid w:val="00C07A6C"/>
    <w:rsid w:val="00C07AE3"/>
    <w:rsid w:val="00C07AE4"/>
    <w:rsid w:val="00C07D3E"/>
    <w:rsid w:val="00C07FFD"/>
    <w:rsid w:val="00C10099"/>
    <w:rsid w:val="00C100EB"/>
    <w:rsid w:val="00C10227"/>
    <w:rsid w:val="00C10599"/>
    <w:rsid w:val="00C10678"/>
    <w:rsid w:val="00C106DF"/>
    <w:rsid w:val="00C1114F"/>
    <w:rsid w:val="00C11183"/>
    <w:rsid w:val="00C11197"/>
    <w:rsid w:val="00C1120D"/>
    <w:rsid w:val="00C11C33"/>
    <w:rsid w:val="00C11C73"/>
    <w:rsid w:val="00C11FE5"/>
    <w:rsid w:val="00C11FF6"/>
    <w:rsid w:val="00C1216B"/>
    <w:rsid w:val="00C1286D"/>
    <w:rsid w:val="00C12E86"/>
    <w:rsid w:val="00C12EB5"/>
    <w:rsid w:val="00C131A7"/>
    <w:rsid w:val="00C13329"/>
    <w:rsid w:val="00C13504"/>
    <w:rsid w:val="00C13757"/>
    <w:rsid w:val="00C13C8A"/>
    <w:rsid w:val="00C13F22"/>
    <w:rsid w:val="00C13F33"/>
    <w:rsid w:val="00C140FE"/>
    <w:rsid w:val="00C144B5"/>
    <w:rsid w:val="00C144EC"/>
    <w:rsid w:val="00C1481E"/>
    <w:rsid w:val="00C14BE8"/>
    <w:rsid w:val="00C15135"/>
    <w:rsid w:val="00C15595"/>
    <w:rsid w:val="00C1595F"/>
    <w:rsid w:val="00C159ED"/>
    <w:rsid w:val="00C1662C"/>
    <w:rsid w:val="00C16B93"/>
    <w:rsid w:val="00C16D89"/>
    <w:rsid w:val="00C17099"/>
    <w:rsid w:val="00C1733B"/>
    <w:rsid w:val="00C1741D"/>
    <w:rsid w:val="00C1745A"/>
    <w:rsid w:val="00C174EC"/>
    <w:rsid w:val="00C17593"/>
    <w:rsid w:val="00C177BA"/>
    <w:rsid w:val="00C1782C"/>
    <w:rsid w:val="00C17A44"/>
    <w:rsid w:val="00C17D7E"/>
    <w:rsid w:val="00C17D89"/>
    <w:rsid w:val="00C202D5"/>
    <w:rsid w:val="00C20613"/>
    <w:rsid w:val="00C2068D"/>
    <w:rsid w:val="00C206C4"/>
    <w:rsid w:val="00C206EC"/>
    <w:rsid w:val="00C20EEF"/>
    <w:rsid w:val="00C20F77"/>
    <w:rsid w:val="00C20FC7"/>
    <w:rsid w:val="00C218D5"/>
    <w:rsid w:val="00C21B1D"/>
    <w:rsid w:val="00C21C53"/>
    <w:rsid w:val="00C22106"/>
    <w:rsid w:val="00C222CF"/>
    <w:rsid w:val="00C22D15"/>
    <w:rsid w:val="00C232DD"/>
    <w:rsid w:val="00C23989"/>
    <w:rsid w:val="00C23FC7"/>
    <w:rsid w:val="00C24220"/>
    <w:rsid w:val="00C2423A"/>
    <w:rsid w:val="00C249CB"/>
    <w:rsid w:val="00C24CA2"/>
    <w:rsid w:val="00C24EE5"/>
    <w:rsid w:val="00C24F74"/>
    <w:rsid w:val="00C250CF"/>
    <w:rsid w:val="00C2544D"/>
    <w:rsid w:val="00C2577C"/>
    <w:rsid w:val="00C25D3A"/>
    <w:rsid w:val="00C25F37"/>
    <w:rsid w:val="00C261FB"/>
    <w:rsid w:val="00C263AE"/>
    <w:rsid w:val="00C267D7"/>
    <w:rsid w:val="00C26871"/>
    <w:rsid w:val="00C268B7"/>
    <w:rsid w:val="00C2695A"/>
    <w:rsid w:val="00C27146"/>
    <w:rsid w:val="00C2716B"/>
    <w:rsid w:val="00C274BE"/>
    <w:rsid w:val="00C307FA"/>
    <w:rsid w:val="00C30B8B"/>
    <w:rsid w:val="00C30C29"/>
    <w:rsid w:val="00C30D3F"/>
    <w:rsid w:val="00C30DAA"/>
    <w:rsid w:val="00C30DC8"/>
    <w:rsid w:val="00C30F1F"/>
    <w:rsid w:val="00C30F46"/>
    <w:rsid w:val="00C30FB5"/>
    <w:rsid w:val="00C30FB7"/>
    <w:rsid w:val="00C31089"/>
    <w:rsid w:val="00C31206"/>
    <w:rsid w:val="00C31237"/>
    <w:rsid w:val="00C314DF"/>
    <w:rsid w:val="00C3175A"/>
    <w:rsid w:val="00C31895"/>
    <w:rsid w:val="00C319A2"/>
    <w:rsid w:val="00C31CE7"/>
    <w:rsid w:val="00C3208A"/>
    <w:rsid w:val="00C32417"/>
    <w:rsid w:val="00C32475"/>
    <w:rsid w:val="00C32BB7"/>
    <w:rsid w:val="00C33033"/>
    <w:rsid w:val="00C333B6"/>
    <w:rsid w:val="00C336E5"/>
    <w:rsid w:val="00C339DE"/>
    <w:rsid w:val="00C33AA7"/>
    <w:rsid w:val="00C33DCE"/>
    <w:rsid w:val="00C34010"/>
    <w:rsid w:val="00C3463A"/>
    <w:rsid w:val="00C346BB"/>
    <w:rsid w:val="00C346C1"/>
    <w:rsid w:val="00C34C05"/>
    <w:rsid w:val="00C35659"/>
    <w:rsid w:val="00C3566B"/>
    <w:rsid w:val="00C35675"/>
    <w:rsid w:val="00C358DA"/>
    <w:rsid w:val="00C35A42"/>
    <w:rsid w:val="00C35B23"/>
    <w:rsid w:val="00C35D4F"/>
    <w:rsid w:val="00C3623D"/>
    <w:rsid w:val="00C36DAD"/>
    <w:rsid w:val="00C37050"/>
    <w:rsid w:val="00C37493"/>
    <w:rsid w:val="00C37984"/>
    <w:rsid w:val="00C37AEC"/>
    <w:rsid w:val="00C37CE7"/>
    <w:rsid w:val="00C37F07"/>
    <w:rsid w:val="00C37F85"/>
    <w:rsid w:val="00C37F8D"/>
    <w:rsid w:val="00C37FB7"/>
    <w:rsid w:val="00C4018E"/>
    <w:rsid w:val="00C40265"/>
    <w:rsid w:val="00C404D5"/>
    <w:rsid w:val="00C40509"/>
    <w:rsid w:val="00C40651"/>
    <w:rsid w:val="00C40876"/>
    <w:rsid w:val="00C40B5B"/>
    <w:rsid w:val="00C40B7D"/>
    <w:rsid w:val="00C41371"/>
    <w:rsid w:val="00C41C71"/>
    <w:rsid w:val="00C41CB0"/>
    <w:rsid w:val="00C41CC9"/>
    <w:rsid w:val="00C42130"/>
    <w:rsid w:val="00C42755"/>
    <w:rsid w:val="00C42784"/>
    <w:rsid w:val="00C42960"/>
    <w:rsid w:val="00C429E1"/>
    <w:rsid w:val="00C43421"/>
    <w:rsid w:val="00C439F0"/>
    <w:rsid w:val="00C43C9C"/>
    <w:rsid w:val="00C43CE7"/>
    <w:rsid w:val="00C44189"/>
    <w:rsid w:val="00C4464F"/>
    <w:rsid w:val="00C447FB"/>
    <w:rsid w:val="00C44962"/>
    <w:rsid w:val="00C44ADA"/>
    <w:rsid w:val="00C45A9C"/>
    <w:rsid w:val="00C45B52"/>
    <w:rsid w:val="00C460F0"/>
    <w:rsid w:val="00C46253"/>
    <w:rsid w:val="00C46B53"/>
    <w:rsid w:val="00C46D92"/>
    <w:rsid w:val="00C470AA"/>
    <w:rsid w:val="00C47202"/>
    <w:rsid w:val="00C476F9"/>
    <w:rsid w:val="00C47AE8"/>
    <w:rsid w:val="00C5008A"/>
    <w:rsid w:val="00C50420"/>
    <w:rsid w:val="00C508B7"/>
    <w:rsid w:val="00C50D41"/>
    <w:rsid w:val="00C51445"/>
    <w:rsid w:val="00C515CC"/>
    <w:rsid w:val="00C5196E"/>
    <w:rsid w:val="00C51D11"/>
    <w:rsid w:val="00C5257E"/>
    <w:rsid w:val="00C531B4"/>
    <w:rsid w:val="00C532F9"/>
    <w:rsid w:val="00C5393D"/>
    <w:rsid w:val="00C53E22"/>
    <w:rsid w:val="00C54334"/>
    <w:rsid w:val="00C544DE"/>
    <w:rsid w:val="00C54568"/>
    <w:rsid w:val="00C54C62"/>
    <w:rsid w:val="00C55ADC"/>
    <w:rsid w:val="00C55B02"/>
    <w:rsid w:val="00C56282"/>
    <w:rsid w:val="00C5638E"/>
    <w:rsid w:val="00C56918"/>
    <w:rsid w:val="00C569CA"/>
    <w:rsid w:val="00C56A29"/>
    <w:rsid w:val="00C56AEC"/>
    <w:rsid w:val="00C5707E"/>
    <w:rsid w:val="00C5715F"/>
    <w:rsid w:val="00C5718B"/>
    <w:rsid w:val="00C5764A"/>
    <w:rsid w:val="00C57CC6"/>
    <w:rsid w:val="00C6014D"/>
    <w:rsid w:val="00C601EB"/>
    <w:rsid w:val="00C603BD"/>
    <w:rsid w:val="00C60EC1"/>
    <w:rsid w:val="00C61478"/>
    <w:rsid w:val="00C62027"/>
    <w:rsid w:val="00C62163"/>
    <w:rsid w:val="00C621EC"/>
    <w:rsid w:val="00C62271"/>
    <w:rsid w:val="00C62997"/>
    <w:rsid w:val="00C629E0"/>
    <w:rsid w:val="00C62BE7"/>
    <w:rsid w:val="00C62C31"/>
    <w:rsid w:val="00C633AB"/>
    <w:rsid w:val="00C6343A"/>
    <w:rsid w:val="00C63F3B"/>
    <w:rsid w:val="00C64376"/>
    <w:rsid w:val="00C64626"/>
    <w:rsid w:val="00C646FA"/>
    <w:rsid w:val="00C64849"/>
    <w:rsid w:val="00C64DBE"/>
    <w:rsid w:val="00C64EDC"/>
    <w:rsid w:val="00C658B2"/>
    <w:rsid w:val="00C65918"/>
    <w:rsid w:val="00C65D24"/>
    <w:rsid w:val="00C65F58"/>
    <w:rsid w:val="00C664AD"/>
    <w:rsid w:val="00C66571"/>
    <w:rsid w:val="00C666DB"/>
    <w:rsid w:val="00C667F6"/>
    <w:rsid w:val="00C66958"/>
    <w:rsid w:val="00C66B89"/>
    <w:rsid w:val="00C66C34"/>
    <w:rsid w:val="00C67231"/>
    <w:rsid w:val="00C67D1D"/>
    <w:rsid w:val="00C7040D"/>
    <w:rsid w:val="00C70B8C"/>
    <w:rsid w:val="00C70C4A"/>
    <w:rsid w:val="00C71468"/>
    <w:rsid w:val="00C71C8C"/>
    <w:rsid w:val="00C723AF"/>
    <w:rsid w:val="00C7251B"/>
    <w:rsid w:val="00C72EF5"/>
    <w:rsid w:val="00C73224"/>
    <w:rsid w:val="00C732C5"/>
    <w:rsid w:val="00C7357D"/>
    <w:rsid w:val="00C73B42"/>
    <w:rsid w:val="00C73ED5"/>
    <w:rsid w:val="00C740FD"/>
    <w:rsid w:val="00C74157"/>
    <w:rsid w:val="00C7448E"/>
    <w:rsid w:val="00C748E2"/>
    <w:rsid w:val="00C75004"/>
    <w:rsid w:val="00C75072"/>
    <w:rsid w:val="00C754BE"/>
    <w:rsid w:val="00C755E8"/>
    <w:rsid w:val="00C7576B"/>
    <w:rsid w:val="00C75970"/>
    <w:rsid w:val="00C75AC4"/>
    <w:rsid w:val="00C75B22"/>
    <w:rsid w:val="00C75C9D"/>
    <w:rsid w:val="00C75CD0"/>
    <w:rsid w:val="00C75EF9"/>
    <w:rsid w:val="00C75F5D"/>
    <w:rsid w:val="00C75FA9"/>
    <w:rsid w:val="00C761E5"/>
    <w:rsid w:val="00C76518"/>
    <w:rsid w:val="00C76816"/>
    <w:rsid w:val="00C76A56"/>
    <w:rsid w:val="00C76A6B"/>
    <w:rsid w:val="00C7731D"/>
    <w:rsid w:val="00C77571"/>
    <w:rsid w:val="00C775EF"/>
    <w:rsid w:val="00C77655"/>
    <w:rsid w:val="00C7799E"/>
    <w:rsid w:val="00C77DF7"/>
    <w:rsid w:val="00C77EFB"/>
    <w:rsid w:val="00C80547"/>
    <w:rsid w:val="00C80FD1"/>
    <w:rsid w:val="00C8198E"/>
    <w:rsid w:val="00C81B30"/>
    <w:rsid w:val="00C8203C"/>
    <w:rsid w:val="00C82387"/>
    <w:rsid w:val="00C82A8C"/>
    <w:rsid w:val="00C83685"/>
    <w:rsid w:val="00C83C4E"/>
    <w:rsid w:val="00C83E22"/>
    <w:rsid w:val="00C83F37"/>
    <w:rsid w:val="00C85253"/>
    <w:rsid w:val="00C8534D"/>
    <w:rsid w:val="00C85F32"/>
    <w:rsid w:val="00C8624E"/>
    <w:rsid w:val="00C86379"/>
    <w:rsid w:val="00C864DB"/>
    <w:rsid w:val="00C86544"/>
    <w:rsid w:val="00C86BDB"/>
    <w:rsid w:val="00C87014"/>
    <w:rsid w:val="00C87183"/>
    <w:rsid w:val="00C87304"/>
    <w:rsid w:val="00C87333"/>
    <w:rsid w:val="00C87764"/>
    <w:rsid w:val="00C8781D"/>
    <w:rsid w:val="00C901A9"/>
    <w:rsid w:val="00C905AC"/>
    <w:rsid w:val="00C907BE"/>
    <w:rsid w:val="00C90B43"/>
    <w:rsid w:val="00C90C65"/>
    <w:rsid w:val="00C90C82"/>
    <w:rsid w:val="00C90F7A"/>
    <w:rsid w:val="00C912A0"/>
    <w:rsid w:val="00C91516"/>
    <w:rsid w:val="00C91707"/>
    <w:rsid w:val="00C91AB8"/>
    <w:rsid w:val="00C91CFB"/>
    <w:rsid w:val="00C91FAC"/>
    <w:rsid w:val="00C9220C"/>
    <w:rsid w:val="00C92215"/>
    <w:rsid w:val="00C922C5"/>
    <w:rsid w:val="00C92352"/>
    <w:rsid w:val="00C924D8"/>
    <w:rsid w:val="00C92C2A"/>
    <w:rsid w:val="00C92FE9"/>
    <w:rsid w:val="00C9318C"/>
    <w:rsid w:val="00C93297"/>
    <w:rsid w:val="00C93B27"/>
    <w:rsid w:val="00C94508"/>
    <w:rsid w:val="00C945A6"/>
    <w:rsid w:val="00C945EC"/>
    <w:rsid w:val="00C94C81"/>
    <w:rsid w:val="00C94E45"/>
    <w:rsid w:val="00C95300"/>
    <w:rsid w:val="00C95548"/>
    <w:rsid w:val="00C955AD"/>
    <w:rsid w:val="00C95730"/>
    <w:rsid w:val="00C958CA"/>
    <w:rsid w:val="00C95962"/>
    <w:rsid w:val="00C95A8A"/>
    <w:rsid w:val="00C95CCD"/>
    <w:rsid w:val="00C95CD4"/>
    <w:rsid w:val="00C96A19"/>
    <w:rsid w:val="00C96FE0"/>
    <w:rsid w:val="00C973E2"/>
    <w:rsid w:val="00C975B2"/>
    <w:rsid w:val="00C97AF1"/>
    <w:rsid w:val="00CA09AA"/>
    <w:rsid w:val="00CA0BAF"/>
    <w:rsid w:val="00CA114D"/>
    <w:rsid w:val="00CA1225"/>
    <w:rsid w:val="00CA18D2"/>
    <w:rsid w:val="00CA2919"/>
    <w:rsid w:val="00CA2A7E"/>
    <w:rsid w:val="00CA2B09"/>
    <w:rsid w:val="00CA2C56"/>
    <w:rsid w:val="00CA3AA2"/>
    <w:rsid w:val="00CA4440"/>
    <w:rsid w:val="00CA468E"/>
    <w:rsid w:val="00CA48F7"/>
    <w:rsid w:val="00CA4A3F"/>
    <w:rsid w:val="00CA4C14"/>
    <w:rsid w:val="00CA4FE7"/>
    <w:rsid w:val="00CA51A0"/>
    <w:rsid w:val="00CA572F"/>
    <w:rsid w:val="00CA58B2"/>
    <w:rsid w:val="00CA5EB2"/>
    <w:rsid w:val="00CA6121"/>
    <w:rsid w:val="00CA6164"/>
    <w:rsid w:val="00CA63C6"/>
    <w:rsid w:val="00CA6435"/>
    <w:rsid w:val="00CA657E"/>
    <w:rsid w:val="00CA6BDE"/>
    <w:rsid w:val="00CA73B2"/>
    <w:rsid w:val="00CA74E8"/>
    <w:rsid w:val="00CA765C"/>
    <w:rsid w:val="00CA7EE9"/>
    <w:rsid w:val="00CA7FA3"/>
    <w:rsid w:val="00CB016A"/>
    <w:rsid w:val="00CB047F"/>
    <w:rsid w:val="00CB0C2A"/>
    <w:rsid w:val="00CB11BD"/>
    <w:rsid w:val="00CB1368"/>
    <w:rsid w:val="00CB1B2A"/>
    <w:rsid w:val="00CB1F2A"/>
    <w:rsid w:val="00CB2836"/>
    <w:rsid w:val="00CB2AF6"/>
    <w:rsid w:val="00CB2F65"/>
    <w:rsid w:val="00CB3C3B"/>
    <w:rsid w:val="00CB4798"/>
    <w:rsid w:val="00CB480A"/>
    <w:rsid w:val="00CB4F3A"/>
    <w:rsid w:val="00CB4FA5"/>
    <w:rsid w:val="00CB5170"/>
    <w:rsid w:val="00CB558B"/>
    <w:rsid w:val="00CB58DD"/>
    <w:rsid w:val="00CB5A9F"/>
    <w:rsid w:val="00CB5EF8"/>
    <w:rsid w:val="00CB6343"/>
    <w:rsid w:val="00CB6590"/>
    <w:rsid w:val="00CB68B3"/>
    <w:rsid w:val="00CB68CD"/>
    <w:rsid w:val="00CB6C21"/>
    <w:rsid w:val="00CB6F9E"/>
    <w:rsid w:val="00CB7648"/>
    <w:rsid w:val="00CB77AE"/>
    <w:rsid w:val="00CB7B6B"/>
    <w:rsid w:val="00CC0006"/>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690"/>
    <w:rsid w:val="00CC27F5"/>
    <w:rsid w:val="00CC2A12"/>
    <w:rsid w:val="00CC2D18"/>
    <w:rsid w:val="00CC2EFE"/>
    <w:rsid w:val="00CC2F54"/>
    <w:rsid w:val="00CC3009"/>
    <w:rsid w:val="00CC30F3"/>
    <w:rsid w:val="00CC3822"/>
    <w:rsid w:val="00CC3941"/>
    <w:rsid w:val="00CC3E8C"/>
    <w:rsid w:val="00CC4005"/>
    <w:rsid w:val="00CC400F"/>
    <w:rsid w:val="00CC4365"/>
    <w:rsid w:val="00CC4C5E"/>
    <w:rsid w:val="00CC4CCF"/>
    <w:rsid w:val="00CC4DB2"/>
    <w:rsid w:val="00CC4F58"/>
    <w:rsid w:val="00CC501E"/>
    <w:rsid w:val="00CC57AE"/>
    <w:rsid w:val="00CC5DD0"/>
    <w:rsid w:val="00CC606C"/>
    <w:rsid w:val="00CC61CE"/>
    <w:rsid w:val="00CC69E8"/>
    <w:rsid w:val="00CC6A8D"/>
    <w:rsid w:val="00CC6B0F"/>
    <w:rsid w:val="00CC6B27"/>
    <w:rsid w:val="00CC6B9F"/>
    <w:rsid w:val="00CC6C99"/>
    <w:rsid w:val="00CC728B"/>
    <w:rsid w:val="00CC7356"/>
    <w:rsid w:val="00CC74D5"/>
    <w:rsid w:val="00CC76DA"/>
    <w:rsid w:val="00CC7A6D"/>
    <w:rsid w:val="00CC7BD9"/>
    <w:rsid w:val="00CC7DF3"/>
    <w:rsid w:val="00CC7DF5"/>
    <w:rsid w:val="00CC7E0C"/>
    <w:rsid w:val="00CC7F2C"/>
    <w:rsid w:val="00CD0292"/>
    <w:rsid w:val="00CD04B6"/>
    <w:rsid w:val="00CD04FE"/>
    <w:rsid w:val="00CD0740"/>
    <w:rsid w:val="00CD0768"/>
    <w:rsid w:val="00CD0A59"/>
    <w:rsid w:val="00CD127E"/>
    <w:rsid w:val="00CD14CB"/>
    <w:rsid w:val="00CD1534"/>
    <w:rsid w:val="00CD179D"/>
    <w:rsid w:val="00CD1E6A"/>
    <w:rsid w:val="00CD1E74"/>
    <w:rsid w:val="00CD223B"/>
    <w:rsid w:val="00CD2483"/>
    <w:rsid w:val="00CD2585"/>
    <w:rsid w:val="00CD25A6"/>
    <w:rsid w:val="00CD2704"/>
    <w:rsid w:val="00CD283A"/>
    <w:rsid w:val="00CD2993"/>
    <w:rsid w:val="00CD2B04"/>
    <w:rsid w:val="00CD2C72"/>
    <w:rsid w:val="00CD309B"/>
    <w:rsid w:val="00CD3122"/>
    <w:rsid w:val="00CD325D"/>
    <w:rsid w:val="00CD325F"/>
    <w:rsid w:val="00CD3675"/>
    <w:rsid w:val="00CD3691"/>
    <w:rsid w:val="00CD3B2F"/>
    <w:rsid w:val="00CD3D0C"/>
    <w:rsid w:val="00CD3E10"/>
    <w:rsid w:val="00CD3F09"/>
    <w:rsid w:val="00CD3FAF"/>
    <w:rsid w:val="00CD492B"/>
    <w:rsid w:val="00CD5656"/>
    <w:rsid w:val="00CD5661"/>
    <w:rsid w:val="00CD58A4"/>
    <w:rsid w:val="00CD5C02"/>
    <w:rsid w:val="00CD5E4A"/>
    <w:rsid w:val="00CD5EBF"/>
    <w:rsid w:val="00CD61E3"/>
    <w:rsid w:val="00CD6814"/>
    <w:rsid w:val="00CD6E0B"/>
    <w:rsid w:val="00CD6F88"/>
    <w:rsid w:val="00CD787F"/>
    <w:rsid w:val="00CE0044"/>
    <w:rsid w:val="00CE025E"/>
    <w:rsid w:val="00CE030D"/>
    <w:rsid w:val="00CE03B6"/>
    <w:rsid w:val="00CE05F2"/>
    <w:rsid w:val="00CE069B"/>
    <w:rsid w:val="00CE0ACE"/>
    <w:rsid w:val="00CE0B1F"/>
    <w:rsid w:val="00CE0B40"/>
    <w:rsid w:val="00CE0CBF"/>
    <w:rsid w:val="00CE112E"/>
    <w:rsid w:val="00CE1162"/>
    <w:rsid w:val="00CE1225"/>
    <w:rsid w:val="00CE132D"/>
    <w:rsid w:val="00CE152F"/>
    <w:rsid w:val="00CE1A8E"/>
    <w:rsid w:val="00CE1EE2"/>
    <w:rsid w:val="00CE2105"/>
    <w:rsid w:val="00CE212D"/>
    <w:rsid w:val="00CE253D"/>
    <w:rsid w:val="00CE2561"/>
    <w:rsid w:val="00CE2E29"/>
    <w:rsid w:val="00CE3257"/>
    <w:rsid w:val="00CE3267"/>
    <w:rsid w:val="00CE37BB"/>
    <w:rsid w:val="00CE3B10"/>
    <w:rsid w:val="00CE46DA"/>
    <w:rsid w:val="00CE4FAE"/>
    <w:rsid w:val="00CE5180"/>
    <w:rsid w:val="00CE5594"/>
    <w:rsid w:val="00CE56E1"/>
    <w:rsid w:val="00CE5A7E"/>
    <w:rsid w:val="00CE5E50"/>
    <w:rsid w:val="00CE5FE5"/>
    <w:rsid w:val="00CE697C"/>
    <w:rsid w:val="00CE69F3"/>
    <w:rsid w:val="00CE6AD5"/>
    <w:rsid w:val="00CE6E24"/>
    <w:rsid w:val="00CE6F20"/>
    <w:rsid w:val="00CE76BD"/>
    <w:rsid w:val="00CE79BC"/>
    <w:rsid w:val="00CE7A06"/>
    <w:rsid w:val="00CE7E65"/>
    <w:rsid w:val="00CF01BC"/>
    <w:rsid w:val="00CF02AC"/>
    <w:rsid w:val="00CF057C"/>
    <w:rsid w:val="00CF06E6"/>
    <w:rsid w:val="00CF14C3"/>
    <w:rsid w:val="00CF170A"/>
    <w:rsid w:val="00CF18AB"/>
    <w:rsid w:val="00CF1AA6"/>
    <w:rsid w:val="00CF2054"/>
    <w:rsid w:val="00CF20C8"/>
    <w:rsid w:val="00CF22F9"/>
    <w:rsid w:val="00CF233B"/>
    <w:rsid w:val="00CF23D5"/>
    <w:rsid w:val="00CF2639"/>
    <w:rsid w:val="00CF277A"/>
    <w:rsid w:val="00CF2FBF"/>
    <w:rsid w:val="00CF31AE"/>
    <w:rsid w:val="00CF33BA"/>
    <w:rsid w:val="00CF394D"/>
    <w:rsid w:val="00CF3976"/>
    <w:rsid w:val="00CF3F01"/>
    <w:rsid w:val="00CF4079"/>
    <w:rsid w:val="00CF43E3"/>
    <w:rsid w:val="00CF46D0"/>
    <w:rsid w:val="00CF46E1"/>
    <w:rsid w:val="00CF470F"/>
    <w:rsid w:val="00CF4743"/>
    <w:rsid w:val="00CF4FF0"/>
    <w:rsid w:val="00CF50A9"/>
    <w:rsid w:val="00CF516D"/>
    <w:rsid w:val="00CF542D"/>
    <w:rsid w:val="00CF61A3"/>
    <w:rsid w:val="00CF66DE"/>
    <w:rsid w:val="00CF6848"/>
    <w:rsid w:val="00CF6AF3"/>
    <w:rsid w:val="00CF6C9A"/>
    <w:rsid w:val="00CF6E82"/>
    <w:rsid w:val="00CF6F14"/>
    <w:rsid w:val="00CF6F64"/>
    <w:rsid w:val="00CF7A5C"/>
    <w:rsid w:val="00CF7CCF"/>
    <w:rsid w:val="00CF7FC8"/>
    <w:rsid w:val="00D00419"/>
    <w:rsid w:val="00D00522"/>
    <w:rsid w:val="00D00B22"/>
    <w:rsid w:val="00D00C15"/>
    <w:rsid w:val="00D00CA2"/>
    <w:rsid w:val="00D011DE"/>
    <w:rsid w:val="00D017EE"/>
    <w:rsid w:val="00D0182B"/>
    <w:rsid w:val="00D0186E"/>
    <w:rsid w:val="00D01C73"/>
    <w:rsid w:val="00D01E6B"/>
    <w:rsid w:val="00D02369"/>
    <w:rsid w:val="00D02C36"/>
    <w:rsid w:val="00D02E17"/>
    <w:rsid w:val="00D03E71"/>
    <w:rsid w:val="00D0407B"/>
    <w:rsid w:val="00D04BA3"/>
    <w:rsid w:val="00D04FC8"/>
    <w:rsid w:val="00D05393"/>
    <w:rsid w:val="00D05962"/>
    <w:rsid w:val="00D05A13"/>
    <w:rsid w:val="00D05FD4"/>
    <w:rsid w:val="00D06088"/>
    <w:rsid w:val="00D0675C"/>
    <w:rsid w:val="00D06800"/>
    <w:rsid w:val="00D06923"/>
    <w:rsid w:val="00D06B22"/>
    <w:rsid w:val="00D06C97"/>
    <w:rsid w:val="00D06DED"/>
    <w:rsid w:val="00D0703C"/>
    <w:rsid w:val="00D0735B"/>
    <w:rsid w:val="00D078A9"/>
    <w:rsid w:val="00D078C9"/>
    <w:rsid w:val="00D0794F"/>
    <w:rsid w:val="00D07DCA"/>
    <w:rsid w:val="00D07DFE"/>
    <w:rsid w:val="00D1014E"/>
    <w:rsid w:val="00D105EB"/>
    <w:rsid w:val="00D1099B"/>
    <w:rsid w:val="00D11255"/>
    <w:rsid w:val="00D11668"/>
    <w:rsid w:val="00D1168A"/>
    <w:rsid w:val="00D11873"/>
    <w:rsid w:val="00D11C58"/>
    <w:rsid w:val="00D11C73"/>
    <w:rsid w:val="00D11EEE"/>
    <w:rsid w:val="00D11FAE"/>
    <w:rsid w:val="00D12440"/>
    <w:rsid w:val="00D12487"/>
    <w:rsid w:val="00D126E6"/>
    <w:rsid w:val="00D128DA"/>
    <w:rsid w:val="00D12B75"/>
    <w:rsid w:val="00D12CF8"/>
    <w:rsid w:val="00D12E9B"/>
    <w:rsid w:val="00D132BF"/>
    <w:rsid w:val="00D13880"/>
    <w:rsid w:val="00D13BBC"/>
    <w:rsid w:val="00D13CCD"/>
    <w:rsid w:val="00D14204"/>
    <w:rsid w:val="00D14231"/>
    <w:rsid w:val="00D142BC"/>
    <w:rsid w:val="00D14C26"/>
    <w:rsid w:val="00D14D67"/>
    <w:rsid w:val="00D153CD"/>
    <w:rsid w:val="00D156B2"/>
    <w:rsid w:val="00D15B1E"/>
    <w:rsid w:val="00D15D9D"/>
    <w:rsid w:val="00D1624D"/>
    <w:rsid w:val="00D16A31"/>
    <w:rsid w:val="00D16AC4"/>
    <w:rsid w:val="00D16BA8"/>
    <w:rsid w:val="00D16C64"/>
    <w:rsid w:val="00D174E5"/>
    <w:rsid w:val="00D17D76"/>
    <w:rsid w:val="00D17F37"/>
    <w:rsid w:val="00D20171"/>
    <w:rsid w:val="00D2024B"/>
    <w:rsid w:val="00D202D3"/>
    <w:rsid w:val="00D20420"/>
    <w:rsid w:val="00D20667"/>
    <w:rsid w:val="00D20EA9"/>
    <w:rsid w:val="00D20F77"/>
    <w:rsid w:val="00D2109E"/>
    <w:rsid w:val="00D215E6"/>
    <w:rsid w:val="00D2171B"/>
    <w:rsid w:val="00D217CE"/>
    <w:rsid w:val="00D22148"/>
    <w:rsid w:val="00D22D2B"/>
    <w:rsid w:val="00D2322E"/>
    <w:rsid w:val="00D23556"/>
    <w:rsid w:val="00D2390D"/>
    <w:rsid w:val="00D23972"/>
    <w:rsid w:val="00D23B89"/>
    <w:rsid w:val="00D23BDF"/>
    <w:rsid w:val="00D23CE2"/>
    <w:rsid w:val="00D23EAA"/>
    <w:rsid w:val="00D24F47"/>
    <w:rsid w:val="00D2592C"/>
    <w:rsid w:val="00D26199"/>
    <w:rsid w:val="00D261FB"/>
    <w:rsid w:val="00D26283"/>
    <w:rsid w:val="00D263B5"/>
    <w:rsid w:val="00D26586"/>
    <w:rsid w:val="00D268F4"/>
    <w:rsid w:val="00D269DE"/>
    <w:rsid w:val="00D26DBE"/>
    <w:rsid w:val="00D2706E"/>
    <w:rsid w:val="00D27124"/>
    <w:rsid w:val="00D27808"/>
    <w:rsid w:val="00D27C31"/>
    <w:rsid w:val="00D27DF2"/>
    <w:rsid w:val="00D27F01"/>
    <w:rsid w:val="00D30B57"/>
    <w:rsid w:val="00D30B60"/>
    <w:rsid w:val="00D30C46"/>
    <w:rsid w:val="00D30C9F"/>
    <w:rsid w:val="00D30DBA"/>
    <w:rsid w:val="00D30F15"/>
    <w:rsid w:val="00D30FC7"/>
    <w:rsid w:val="00D31040"/>
    <w:rsid w:val="00D3114A"/>
    <w:rsid w:val="00D31484"/>
    <w:rsid w:val="00D31B9F"/>
    <w:rsid w:val="00D31BEA"/>
    <w:rsid w:val="00D32105"/>
    <w:rsid w:val="00D32120"/>
    <w:rsid w:val="00D32446"/>
    <w:rsid w:val="00D329ED"/>
    <w:rsid w:val="00D32B6E"/>
    <w:rsid w:val="00D32DA4"/>
    <w:rsid w:val="00D33313"/>
    <w:rsid w:val="00D33410"/>
    <w:rsid w:val="00D33AB3"/>
    <w:rsid w:val="00D33AFC"/>
    <w:rsid w:val="00D33C0C"/>
    <w:rsid w:val="00D33D07"/>
    <w:rsid w:val="00D33FF2"/>
    <w:rsid w:val="00D33FF8"/>
    <w:rsid w:val="00D3410B"/>
    <w:rsid w:val="00D344C9"/>
    <w:rsid w:val="00D34538"/>
    <w:rsid w:val="00D3461F"/>
    <w:rsid w:val="00D34B62"/>
    <w:rsid w:val="00D34FE1"/>
    <w:rsid w:val="00D351E7"/>
    <w:rsid w:val="00D353FF"/>
    <w:rsid w:val="00D35BE8"/>
    <w:rsid w:val="00D3609F"/>
    <w:rsid w:val="00D3610A"/>
    <w:rsid w:val="00D3646C"/>
    <w:rsid w:val="00D3668C"/>
    <w:rsid w:val="00D366E7"/>
    <w:rsid w:val="00D366ED"/>
    <w:rsid w:val="00D369EA"/>
    <w:rsid w:val="00D36C8E"/>
    <w:rsid w:val="00D36ED5"/>
    <w:rsid w:val="00D37C2D"/>
    <w:rsid w:val="00D37DFC"/>
    <w:rsid w:val="00D37EA0"/>
    <w:rsid w:val="00D40274"/>
    <w:rsid w:val="00D403D9"/>
    <w:rsid w:val="00D404CE"/>
    <w:rsid w:val="00D40E25"/>
    <w:rsid w:val="00D40E78"/>
    <w:rsid w:val="00D41009"/>
    <w:rsid w:val="00D41031"/>
    <w:rsid w:val="00D41901"/>
    <w:rsid w:val="00D419AC"/>
    <w:rsid w:val="00D41BD5"/>
    <w:rsid w:val="00D41CD0"/>
    <w:rsid w:val="00D420DA"/>
    <w:rsid w:val="00D421D9"/>
    <w:rsid w:val="00D422E4"/>
    <w:rsid w:val="00D429DA"/>
    <w:rsid w:val="00D42B71"/>
    <w:rsid w:val="00D42B88"/>
    <w:rsid w:val="00D4347A"/>
    <w:rsid w:val="00D435FC"/>
    <w:rsid w:val="00D43888"/>
    <w:rsid w:val="00D43E9E"/>
    <w:rsid w:val="00D440D2"/>
    <w:rsid w:val="00D44232"/>
    <w:rsid w:val="00D4429F"/>
    <w:rsid w:val="00D44336"/>
    <w:rsid w:val="00D448BD"/>
    <w:rsid w:val="00D44A5C"/>
    <w:rsid w:val="00D44A68"/>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E2"/>
    <w:rsid w:val="00D47C14"/>
    <w:rsid w:val="00D501B2"/>
    <w:rsid w:val="00D502B4"/>
    <w:rsid w:val="00D5044A"/>
    <w:rsid w:val="00D5082A"/>
    <w:rsid w:val="00D50C12"/>
    <w:rsid w:val="00D50F95"/>
    <w:rsid w:val="00D5102A"/>
    <w:rsid w:val="00D512CE"/>
    <w:rsid w:val="00D513F0"/>
    <w:rsid w:val="00D5146D"/>
    <w:rsid w:val="00D51565"/>
    <w:rsid w:val="00D5163E"/>
    <w:rsid w:val="00D51AAF"/>
    <w:rsid w:val="00D51CBB"/>
    <w:rsid w:val="00D51F84"/>
    <w:rsid w:val="00D51F90"/>
    <w:rsid w:val="00D520D5"/>
    <w:rsid w:val="00D52200"/>
    <w:rsid w:val="00D525A6"/>
    <w:rsid w:val="00D5294C"/>
    <w:rsid w:val="00D530A8"/>
    <w:rsid w:val="00D5342F"/>
    <w:rsid w:val="00D53539"/>
    <w:rsid w:val="00D53768"/>
    <w:rsid w:val="00D53C63"/>
    <w:rsid w:val="00D541D1"/>
    <w:rsid w:val="00D54256"/>
    <w:rsid w:val="00D54613"/>
    <w:rsid w:val="00D54B87"/>
    <w:rsid w:val="00D54C59"/>
    <w:rsid w:val="00D54D88"/>
    <w:rsid w:val="00D55115"/>
    <w:rsid w:val="00D5521C"/>
    <w:rsid w:val="00D552BA"/>
    <w:rsid w:val="00D554E6"/>
    <w:rsid w:val="00D55723"/>
    <w:rsid w:val="00D55AF5"/>
    <w:rsid w:val="00D55B68"/>
    <w:rsid w:val="00D55C37"/>
    <w:rsid w:val="00D55E77"/>
    <w:rsid w:val="00D56330"/>
    <w:rsid w:val="00D563C2"/>
    <w:rsid w:val="00D56450"/>
    <w:rsid w:val="00D56544"/>
    <w:rsid w:val="00D56561"/>
    <w:rsid w:val="00D5660E"/>
    <w:rsid w:val="00D56C31"/>
    <w:rsid w:val="00D56CD7"/>
    <w:rsid w:val="00D56D65"/>
    <w:rsid w:val="00D56E86"/>
    <w:rsid w:val="00D572B2"/>
    <w:rsid w:val="00D57440"/>
    <w:rsid w:val="00D578C5"/>
    <w:rsid w:val="00D57927"/>
    <w:rsid w:val="00D57C20"/>
    <w:rsid w:val="00D57F0A"/>
    <w:rsid w:val="00D60032"/>
    <w:rsid w:val="00D600BE"/>
    <w:rsid w:val="00D60207"/>
    <w:rsid w:val="00D60321"/>
    <w:rsid w:val="00D60BCB"/>
    <w:rsid w:val="00D60CB2"/>
    <w:rsid w:val="00D60DD4"/>
    <w:rsid w:val="00D610A5"/>
    <w:rsid w:val="00D6154D"/>
    <w:rsid w:val="00D6157E"/>
    <w:rsid w:val="00D61834"/>
    <w:rsid w:val="00D61B0F"/>
    <w:rsid w:val="00D61C1E"/>
    <w:rsid w:val="00D620D9"/>
    <w:rsid w:val="00D62141"/>
    <w:rsid w:val="00D62243"/>
    <w:rsid w:val="00D62334"/>
    <w:rsid w:val="00D6278F"/>
    <w:rsid w:val="00D628DE"/>
    <w:rsid w:val="00D62949"/>
    <w:rsid w:val="00D62C7C"/>
    <w:rsid w:val="00D62DEC"/>
    <w:rsid w:val="00D63BAD"/>
    <w:rsid w:val="00D63C5F"/>
    <w:rsid w:val="00D64071"/>
    <w:rsid w:val="00D640A3"/>
    <w:rsid w:val="00D6410E"/>
    <w:rsid w:val="00D64176"/>
    <w:rsid w:val="00D64280"/>
    <w:rsid w:val="00D642FA"/>
    <w:rsid w:val="00D6433E"/>
    <w:rsid w:val="00D64346"/>
    <w:rsid w:val="00D6447E"/>
    <w:rsid w:val="00D647F9"/>
    <w:rsid w:val="00D6485C"/>
    <w:rsid w:val="00D64CB8"/>
    <w:rsid w:val="00D64D13"/>
    <w:rsid w:val="00D65404"/>
    <w:rsid w:val="00D6575A"/>
    <w:rsid w:val="00D65837"/>
    <w:rsid w:val="00D65AAD"/>
    <w:rsid w:val="00D66022"/>
    <w:rsid w:val="00D66065"/>
    <w:rsid w:val="00D662E2"/>
    <w:rsid w:val="00D668FD"/>
    <w:rsid w:val="00D66B74"/>
    <w:rsid w:val="00D66DAA"/>
    <w:rsid w:val="00D7010A"/>
    <w:rsid w:val="00D7040B"/>
    <w:rsid w:val="00D70893"/>
    <w:rsid w:val="00D70938"/>
    <w:rsid w:val="00D70F5E"/>
    <w:rsid w:val="00D70F87"/>
    <w:rsid w:val="00D7123A"/>
    <w:rsid w:val="00D71259"/>
    <w:rsid w:val="00D71C26"/>
    <w:rsid w:val="00D71D45"/>
    <w:rsid w:val="00D72EBF"/>
    <w:rsid w:val="00D73209"/>
    <w:rsid w:val="00D73347"/>
    <w:rsid w:val="00D73A3C"/>
    <w:rsid w:val="00D73A6B"/>
    <w:rsid w:val="00D73B96"/>
    <w:rsid w:val="00D73DAD"/>
    <w:rsid w:val="00D73DE0"/>
    <w:rsid w:val="00D73E0D"/>
    <w:rsid w:val="00D740A5"/>
    <w:rsid w:val="00D740FC"/>
    <w:rsid w:val="00D74461"/>
    <w:rsid w:val="00D7480B"/>
    <w:rsid w:val="00D74AF7"/>
    <w:rsid w:val="00D74EA0"/>
    <w:rsid w:val="00D7505F"/>
    <w:rsid w:val="00D7568F"/>
    <w:rsid w:val="00D75843"/>
    <w:rsid w:val="00D758A0"/>
    <w:rsid w:val="00D758A1"/>
    <w:rsid w:val="00D75CD8"/>
    <w:rsid w:val="00D75E85"/>
    <w:rsid w:val="00D761CB"/>
    <w:rsid w:val="00D76899"/>
    <w:rsid w:val="00D76A4B"/>
    <w:rsid w:val="00D76C32"/>
    <w:rsid w:val="00D76DDA"/>
    <w:rsid w:val="00D76E83"/>
    <w:rsid w:val="00D771C9"/>
    <w:rsid w:val="00D776BC"/>
    <w:rsid w:val="00D776EF"/>
    <w:rsid w:val="00D778C8"/>
    <w:rsid w:val="00D77B6A"/>
    <w:rsid w:val="00D77C05"/>
    <w:rsid w:val="00D800A1"/>
    <w:rsid w:val="00D801DE"/>
    <w:rsid w:val="00D8036A"/>
    <w:rsid w:val="00D80AB8"/>
    <w:rsid w:val="00D80C93"/>
    <w:rsid w:val="00D80CCB"/>
    <w:rsid w:val="00D80EC2"/>
    <w:rsid w:val="00D812D3"/>
    <w:rsid w:val="00D81307"/>
    <w:rsid w:val="00D8150F"/>
    <w:rsid w:val="00D817FD"/>
    <w:rsid w:val="00D81AF1"/>
    <w:rsid w:val="00D81E9C"/>
    <w:rsid w:val="00D81F02"/>
    <w:rsid w:val="00D820F3"/>
    <w:rsid w:val="00D8228D"/>
    <w:rsid w:val="00D829AC"/>
    <w:rsid w:val="00D83401"/>
    <w:rsid w:val="00D838CD"/>
    <w:rsid w:val="00D83B14"/>
    <w:rsid w:val="00D83EE4"/>
    <w:rsid w:val="00D83F5B"/>
    <w:rsid w:val="00D84268"/>
    <w:rsid w:val="00D84464"/>
    <w:rsid w:val="00D846C5"/>
    <w:rsid w:val="00D84825"/>
    <w:rsid w:val="00D84BF5"/>
    <w:rsid w:val="00D84C06"/>
    <w:rsid w:val="00D84F0F"/>
    <w:rsid w:val="00D853C3"/>
    <w:rsid w:val="00D8588D"/>
    <w:rsid w:val="00D85C44"/>
    <w:rsid w:val="00D86343"/>
    <w:rsid w:val="00D864CB"/>
    <w:rsid w:val="00D866AB"/>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633"/>
    <w:rsid w:val="00D92CBC"/>
    <w:rsid w:val="00D92FD3"/>
    <w:rsid w:val="00D931F2"/>
    <w:rsid w:val="00D936E8"/>
    <w:rsid w:val="00D93C02"/>
    <w:rsid w:val="00D93D5E"/>
    <w:rsid w:val="00D940B3"/>
    <w:rsid w:val="00D941FC"/>
    <w:rsid w:val="00D948A0"/>
    <w:rsid w:val="00D94BA1"/>
    <w:rsid w:val="00D94BB0"/>
    <w:rsid w:val="00D94FF3"/>
    <w:rsid w:val="00D957C0"/>
    <w:rsid w:val="00D95979"/>
    <w:rsid w:val="00D95ACF"/>
    <w:rsid w:val="00D95BF0"/>
    <w:rsid w:val="00D95BFF"/>
    <w:rsid w:val="00D95D99"/>
    <w:rsid w:val="00D95F44"/>
    <w:rsid w:val="00D96193"/>
    <w:rsid w:val="00D9653C"/>
    <w:rsid w:val="00D96780"/>
    <w:rsid w:val="00D96DD2"/>
    <w:rsid w:val="00D97DCE"/>
    <w:rsid w:val="00D97E86"/>
    <w:rsid w:val="00D97FD5"/>
    <w:rsid w:val="00DA00AA"/>
    <w:rsid w:val="00DA0FC0"/>
    <w:rsid w:val="00DA132A"/>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3D6"/>
    <w:rsid w:val="00DA492A"/>
    <w:rsid w:val="00DA4A0C"/>
    <w:rsid w:val="00DA4D11"/>
    <w:rsid w:val="00DA5287"/>
    <w:rsid w:val="00DA55AC"/>
    <w:rsid w:val="00DA56A4"/>
    <w:rsid w:val="00DA5755"/>
    <w:rsid w:val="00DA59A6"/>
    <w:rsid w:val="00DA5A53"/>
    <w:rsid w:val="00DA5CA9"/>
    <w:rsid w:val="00DA5E7E"/>
    <w:rsid w:val="00DA5EB0"/>
    <w:rsid w:val="00DA611E"/>
    <w:rsid w:val="00DA64EB"/>
    <w:rsid w:val="00DA6BC3"/>
    <w:rsid w:val="00DA6BDD"/>
    <w:rsid w:val="00DA714A"/>
    <w:rsid w:val="00DA71AF"/>
    <w:rsid w:val="00DA727D"/>
    <w:rsid w:val="00DA73A7"/>
    <w:rsid w:val="00DA7765"/>
    <w:rsid w:val="00DA7A85"/>
    <w:rsid w:val="00DA7AD2"/>
    <w:rsid w:val="00DA7BC7"/>
    <w:rsid w:val="00DA7D8E"/>
    <w:rsid w:val="00DA7E4C"/>
    <w:rsid w:val="00DA7E98"/>
    <w:rsid w:val="00DB0487"/>
    <w:rsid w:val="00DB0564"/>
    <w:rsid w:val="00DB05C8"/>
    <w:rsid w:val="00DB081D"/>
    <w:rsid w:val="00DB0F48"/>
    <w:rsid w:val="00DB0FA2"/>
    <w:rsid w:val="00DB1083"/>
    <w:rsid w:val="00DB1239"/>
    <w:rsid w:val="00DB1312"/>
    <w:rsid w:val="00DB1539"/>
    <w:rsid w:val="00DB1657"/>
    <w:rsid w:val="00DB1F98"/>
    <w:rsid w:val="00DB2551"/>
    <w:rsid w:val="00DB2706"/>
    <w:rsid w:val="00DB286C"/>
    <w:rsid w:val="00DB2DC2"/>
    <w:rsid w:val="00DB3318"/>
    <w:rsid w:val="00DB3560"/>
    <w:rsid w:val="00DB35C7"/>
    <w:rsid w:val="00DB39DE"/>
    <w:rsid w:val="00DB3D52"/>
    <w:rsid w:val="00DB3E93"/>
    <w:rsid w:val="00DB40C0"/>
    <w:rsid w:val="00DB4102"/>
    <w:rsid w:val="00DB42C3"/>
    <w:rsid w:val="00DB4322"/>
    <w:rsid w:val="00DB4F9D"/>
    <w:rsid w:val="00DB5512"/>
    <w:rsid w:val="00DB5863"/>
    <w:rsid w:val="00DB5A21"/>
    <w:rsid w:val="00DB5A6E"/>
    <w:rsid w:val="00DB5BEA"/>
    <w:rsid w:val="00DB5CAA"/>
    <w:rsid w:val="00DB5DEB"/>
    <w:rsid w:val="00DB5EE5"/>
    <w:rsid w:val="00DB6231"/>
    <w:rsid w:val="00DB62A6"/>
    <w:rsid w:val="00DB6500"/>
    <w:rsid w:val="00DB6598"/>
    <w:rsid w:val="00DB6798"/>
    <w:rsid w:val="00DB68FF"/>
    <w:rsid w:val="00DB6FA9"/>
    <w:rsid w:val="00DB71FD"/>
    <w:rsid w:val="00DB7427"/>
    <w:rsid w:val="00DB749A"/>
    <w:rsid w:val="00DB777F"/>
    <w:rsid w:val="00DB79CC"/>
    <w:rsid w:val="00DB7E8C"/>
    <w:rsid w:val="00DC049B"/>
    <w:rsid w:val="00DC0534"/>
    <w:rsid w:val="00DC0715"/>
    <w:rsid w:val="00DC074E"/>
    <w:rsid w:val="00DC0856"/>
    <w:rsid w:val="00DC0E5C"/>
    <w:rsid w:val="00DC0F93"/>
    <w:rsid w:val="00DC12FB"/>
    <w:rsid w:val="00DC1384"/>
    <w:rsid w:val="00DC13D4"/>
    <w:rsid w:val="00DC1479"/>
    <w:rsid w:val="00DC1624"/>
    <w:rsid w:val="00DC1763"/>
    <w:rsid w:val="00DC1D22"/>
    <w:rsid w:val="00DC1F1F"/>
    <w:rsid w:val="00DC2188"/>
    <w:rsid w:val="00DC22B7"/>
    <w:rsid w:val="00DC257F"/>
    <w:rsid w:val="00DC2898"/>
    <w:rsid w:val="00DC28A6"/>
    <w:rsid w:val="00DC28EC"/>
    <w:rsid w:val="00DC2BA7"/>
    <w:rsid w:val="00DC392F"/>
    <w:rsid w:val="00DC39A3"/>
    <w:rsid w:val="00DC3B0D"/>
    <w:rsid w:val="00DC3C8A"/>
    <w:rsid w:val="00DC3E1F"/>
    <w:rsid w:val="00DC452B"/>
    <w:rsid w:val="00DC4B72"/>
    <w:rsid w:val="00DC4C3C"/>
    <w:rsid w:val="00DC4CCD"/>
    <w:rsid w:val="00DC4D82"/>
    <w:rsid w:val="00DC4E9C"/>
    <w:rsid w:val="00DC522A"/>
    <w:rsid w:val="00DC522F"/>
    <w:rsid w:val="00DC574D"/>
    <w:rsid w:val="00DC588E"/>
    <w:rsid w:val="00DC5E66"/>
    <w:rsid w:val="00DC6419"/>
    <w:rsid w:val="00DC65D8"/>
    <w:rsid w:val="00DC6A90"/>
    <w:rsid w:val="00DC6A94"/>
    <w:rsid w:val="00DC6B82"/>
    <w:rsid w:val="00DC7073"/>
    <w:rsid w:val="00DC765F"/>
    <w:rsid w:val="00DC7722"/>
    <w:rsid w:val="00DC7890"/>
    <w:rsid w:val="00DC7E92"/>
    <w:rsid w:val="00DD01A3"/>
    <w:rsid w:val="00DD02C4"/>
    <w:rsid w:val="00DD0877"/>
    <w:rsid w:val="00DD08B9"/>
    <w:rsid w:val="00DD0C93"/>
    <w:rsid w:val="00DD0D46"/>
    <w:rsid w:val="00DD128A"/>
    <w:rsid w:val="00DD12B1"/>
    <w:rsid w:val="00DD12B5"/>
    <w:rsid w:val="00DD13F6"/>
    <w:rsid w:val="00DD1422"/>
    <w:rsid w:val="00DD1926"/>
    <w:rsid w:val="00DD1947"/>
    <w:rsid w:val="00DD1992"/>
    <w:rsid w:val="00DD1A59"/>
    <w:rsid w:val="00DD1CA1"/>
    <w:rsid w:val="00DD1ED7"/>
    <w:rsid w:val="00DD242B"/>
    <w:rsid w:val="00DD2FE5"/>
    <w:rsid w:val="00DD3184"/>
    <w:rsid w:val="00DD3401"/>
    <w:rsid w:val="00DD3430"/>
    <w:rsid w:val="00DD3480"/>
    <w:rsid w:val="00DD3565"/>
    <w:rsid w:val="00DD35E2"/>
    <w:rsid w:val="00DD476F"/>
    <w:rsid w:val="00DD49D3"/>
    <w:rsid w:val="00DD4F4D"/>
    <w:rsid w:val="00DD50F2"/>
    <w:rsid w:val="00DD598B"/>
    <w:rsid w:val="00DD5BBE"/>
    <w:rsid w:val="00DD6396"/>
    <w:rsid w:val="00DD63B0"/>
    <w:rsid w:val="00DD6715"/>
    <w:rsid w:val="00DD686B"/>
    <w:rsid w:val="00DD6962"/>
    <w:rsid w:val="00DD6C70"/>
    <w:rsid w:val="00DD6CED"/>
    <w:rsid w:val="00DD6DA2"/>
    <w:rsid w:val="00DD7004"/>
    <w:rsid w:val="00DD7153"/>
    <w:rsid w:val="00DD761C"/>
    <w:rsid w:val="00DD76AF"/>
    <w:rsid w:val="00DD7B13"/>
    <w:rsid w:val="00DD7DF3"/>
    <w:rsid w:val="00DE0171"/>
    <w:rsid w:val="00DE01E6"/>
    <w:rsid w:val="00DE0333"/>
    <w:rsid w:val="00DE0558"/>
    <w:rsid w:val="00DE1039"/>
    <w:rsid w:val="00DE151C"/>
    <w:rsid w:val="00DE1E5B"/>
    <w:rsid w:val="00DE21CF"/>
    <w:rsid w:val="00DE24CC"/>
    <w:rsid w:val="00DE279F"/>
    <w:rsid w:val="00DE27ED"/>
    <w:rsid w:val="00DE2D4B"/>
    <w:rsid w:val="00DE3083"/>
    <w:rsid w:val="00DE3DC5"/>
    <w:rsid w:val="00DE3E7C"/>
    <w:rsid w:val="00DE3F63"/>
    <w:rsid w:val="00DE42E8"/>
    <w:rsid w:val="00DE464E"/>
    <w:rsid w:val="00DE4664"/>
    <w:rsid w:val="00DE47CE"/>
    <w:rsid w:val="00DE480D"/>
    <w:rsid w:val="00DE492B"/>
    <w:rsid w:val="00DE4B0C"/>
    <w:rsid w:val="00DE4D34"/>
    <w:rsid w:val="00DE4D74"/>
    <w:rsid w:val="00DE516B"/>
    <w:rsid w:val="00DE53E4"/>
    <w:rsid w:val="00DE59DC"/>
    <w:rsid w:val="00DE5E26"/>
    <w:rsid w:val="00DE5E4B"/>
    <w:rsid w:val="00DE5F92"/>
    <w:rsid w:val="00DE603C"/>
    <w:rsid w:val="00DE61AA"/>
    <w:rsid w:val="00DE629B"/>
    <w:rsid w:val="00DE6C76"/>
    <w:rsid w:val="00DE7012"/>
    <w:rsid w:val="00DE7521"/>
    <w:rsid w:val="00DE7D03"/>
    <w:rsid w:val="00DF02EC"/>
    <w:rsid w:val="00DF0D33"/>
    <w:rsid w:val="00DF0E63"/>
    <w:rsid w:val="00DF1280"/>
    <w:rsid w:val="00DF1300"/>
    <w:rsid w:val="00DF1ADA"/>
    <w:rsid w:val="00DF1DE2"/>
    <w:rsid w:val="00DF1F6F"/>
    <w:rsid w:val="00DF1FD6"/>
    <w:rsid w:val="00DF249B"/>
    <w:rsid w:val="00DF26D0"/>
    <w:rsid w:val="00DF2B37"/>
    <w:rsid w:val="00DF2DDB"/>
    <w:rsid w:val="00DF3195"/>
    <w:rsid w:val="00DF32AF"/>
    <w:rsid w:val="00DF3307"/>
    <w:rsid w:val="00DF3492"/>
    <w:rsid w:val="00DF3A17"/>
    <w:rsid w:val="00DF3A6C"/>
    <w:rsid w:val="00DF3CA7"/>
    <w:rsid w:val="00DF4091"/>
    <w:rsid w:val="00DF4158"/>
    <w:rsid w:val="00DF440F"/>
    <w:rsid w:val="00DF4430"/>
    <w:rsid w:val="00DF452A"/>
    <w:rsid w:val="00DF4920"/>
    <w:rsid w:val="00DF4C07"/>
    <w:rsid w:val="00DF4DEA"/>
    <w:rsid w:val="00DF4F19"/>
    <w:rsid w:val="00DF5157"/>
    <w:rsid w:val="00DF5270"/>
    <w:rsid w:val="00DF5897"/>
    <w:rsid w:val="00DF6014"/>
    <w:rsid w:val="00DF6154"/>
    <w:rsid w:val="00DF6824"/>
    <w:rsid w:val="00DF7226"/>
    <w:rsid w:val="00DF74B6"/>
    <w:rsid w:val="00DF7644"/>
    <w:rsid w:val="00DF7C0A"/>
    <w:rsid w:val="00E00018"/>
    <w:rsid w:val="00E004D1"/>
    <w:rsid w:val="00E008F1"/>
    <w:rsid w:val="00E00A07"/>
    <w:rsid w:val="00E00A87"/>
    <w:rsid w:val="00E00EFF"/>
    <w:rsid w:val="00E019EA"/>
    <w:rsid w:val="00E01AE0"/>
    <w:rsid w:val="00E01D33"/>
    <w:rsid w:val="00E0243C"/>
    <w:rsid w:val="00E028E6"/>
    <w:rsid w:val="00E02C20"/>
    <w:rsid w:val="00E03016"/>
    <w:rsid w:val="00E032C1"/>
    <w:rsid w:val="00E03637"/>
    <w:rsid w:val="00E036F6"/>
    <w:rsid w:val="00E039C0"/>
    <w:rsid w:val="00E0459E"/>
    <w:rsid w:val="00E046C1"/>
    <w:rsid w:val="00E0472C"/>
    <w:rsid w:val="00E047AB"/>
    <w:rsid w:val="00E047FA"/>
    <w:rsid w:val="00E049EC"/>
    <w:rsid w:val="00E04D95"/>
    <w:rsid w:val="00E04EE6"/>
    <w:rsid w:val="00E04FFA"/>
    <w:rsid w:val="00E05A43"/>
    <w:rsid w:val="00E05A80"/>
    <w:rsid w:val="00E05B03"/>
    <w:rsid w:val="00E05C6E"/>
    <w:rsid w:val="00E05D11"/>
    <w:rsid w:val="00E062DF"/>
    <w:rsid w:val="00E069D6"/>
    <w:rsid w:val="00E06AF4"/>
    <w:rsid w:val="00E072FB"/>
    <w:rsid w:val="00E073CB"/>
    <w:rsid w:val="00E07686"/>
    <w:rsid w:val="00E07E45"/>
    <w:rsid w:val="00E1007C"/>
    <w:rsid w:val="00E102BD"/>
    <w:rsid w:val="00E1039D"/>
    <w:rsid w:val="00E103F8"/>
    <w:rsid w:val="00E104DE"/>
    <w:rsid w:val="00E106BF"/>
    <w:rsid w:val="00E1074E"/>
    <w:rsid w:val="00E10CDA"/>
    <w:rsid w:val="00E1144E"/>
    <w:rsid w:val="00E11DCD"/>
    <w:rsid w:val="00E11EB8"/>
    <w:rsid w:val="00E11FDD"/>
    <w:rsid w:val="00E12172"/>
    <w:rsid w:val="00E125EE"/>
    <w:rsid w:val="00E12775"/>
    <w:rsid w:val="00E12A5A"/>
    <w:rsid w:val="00E12DAD"/>
    <w:rsid w:val="00E136AE"/>
    <w:rsid w:val="00E136E0"/>
    <w:rsid w:val="00E139D0"/>
    <w:rsid w:val="00E13AA4"/>
    <w:rsid w:val="00E14366"/>
    <w:rsid w:val="00E143F1"/>
    <w:rsid w:val="00E145E0"/>
    <w:rsid w:val="00E14913"/>
    <w:rsid w:val="00E14D55"/>
    <w:rsid w:val="00E14E81"/>
    <w:rsid w:val="00E150B1"/>
    <w:rsid w:val="00E15352"/>
    <w:rsid w:val="00E154A1"/>
    <w:rsid w:val="00E15B4D"/>
    <w:rsid w:val="00E1626E"/>
    <w:rsid w:val="00E164E8"/>
    <w:rsid w:val="00E1654E"/>
    <w:rsid w:val="00E167D4"/>
    <w:rsid w:val="00E1738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CCC"/>
    <w:rsid w:val="00E21F88"/>
    <w:rsid w:val="00E21FD8"/>
    <w:rsid w:val="00E224C9"/>
    <w:rsid w:val="00E226D4"/>
    <w:rsid w:val="00E22888"/>
    <w:rsid w:val="00E229F7"/>
    <w:rsid w:val="00E22A10"/>
    <w:rsid w:val="00E22EE3"/>
    <w:rsid w:val="00E23179"/>
    <w:rsid w:val="00E23224"/>
    <w:rsid w:val="00E23232"/>
    <w:rsid w:val="00E232B2"/>
    <w:rsid w:val="00E237E4"/>
    <w:rsid w:val="00E23851"/>
    <w:rsid w:val="00E23ACC"/>
    <w:rsid w:val="00E23ADB"/>
    <w:rsid w:val="00E23D67"/>
    <w:rsid w:val="00E2446F"/>
    <w:rsid w:val="00E250DB"/>
    <w:rsid w:val="00E259BD"/>
    <w:rsid w:val="00E25F49"/>
    <w:rsid w:val="00E2617B"/>
    <w:rsid w:val="00E26295"/>
    <w:rsid w:val="00E264F5"/>
    <w:rsid w:val="00E268FA"/>
    <w:rsid w:val="00E2690E"/>
    <w:rsid w:val="00E26EEC"/>
    <w:rsid w:val="00E270B2"/>
    <w:rsid w:val="00E272FE"/>
    <w:rsid w:val="00E27AA2"/>
    <w:rsid w:val="00E27D44"/>
    <w:rsid w:val="00E27E5C"/>
    <w:rsid w:val="00E30388"/>
    <w:rsid w:val="00E30505"/>
    <w:rsid w:val="00E30517"/>
    <w:rsid w:val="00E3070A"/>
    <w:rsid w:val="00E30A72"/>
    <w:rsid w:val="00E30AB7"/>
    <w:rsid w:val="00E31371"/>
    <w:rsid w:val="00E31506"/>
    <w:rsid w:val="00E3169E"/>
    <w:rsid w:val="00E317D0"/>
    <w:rsid w:val="00E31E91"/>
    <w:rsid w:val="00E3222F"/>
    <w:rsid w:val="00E32551"/>
    <w:rsid w:val="00E327EE"/>
    <w:rsid w:val="00E32D3A"/>
    <w:rsid w:val="00E32E0E"/>
    <w:rsid w:val="00E3355E"/>
    <w:rsid w:val="00E33592"/>
    <w:rsid w:val="00E3370B"/>
    <w:rsid w:val="00E337FB"/>
    <w:rsid w:val="00E33802"/>
    <w:rsid w:val="00E33814"/>
    <w:rsid w:val="00E339C6"/>
    <w:rsid w:val="00E33B1B"/>
    <w:rsid w:val="00E33BB9"/>
    <w:rsid w:val="00E33D96"/>
    <w:rsid w:val="00E33E4D"/>
    <w:rsid w:val="00E3457A"/>
    <w:rsid w:val="00E34F08"/>
    <w:rsid w:val="00E35F47"/>
    <w:rsid w:val="00E360A5"/>
    <w:rsid w:val="00E362BC"/>
    <w:rsid w:val="00E36D92"/>
    <w:rsid w:val="00E377BF"/>
    <w:rsid w:val="00E37C25"/>
    <w:rsid w:val="00E40362"/>
    <w:rsid w:val="00E40760"/>
    <w:rsid w:val="00E40DAE"/>
    <w:rsid w:val="00E40DB6"/>
    <w:rsid w:val="00E41479"/>
    <w:rsid w:val="00E41504"/>
    <w:rsid w:val="00E416D6"/>
    <w:rsid w:val="00E41A3E"/>
    <w:rsid w:val="00E41D2F"/>
    <w:rsid w:val="00E41DE5"/>
    <w:rsid w:val="00E41F7A"/>
    <w:rsid w:val="00E42FF3"/>
    <w:rsid w:val="00E431B3"/>
    <w:rsid w:val="00E432AE"/>
    <w:rsid w:val="00E4356E"/>
    <w:rsid w:val="00E435AD"/>
    <w:rsid w:val="00E43632"/>
    <w:rsid w:val="00E436E8"/>
    <w:rsid w:val="00E43926"/>
    <w:rsid w:val="00E43F1E"/>
    <w:rsid w:val="00E43F41"/>
    <w:rsid w:val="00E43FBE"/>
    <w:rsid w:val="00E441F2"/>
    <w:rsid w:val="00E44F3C"/>
    <w:rsid w:val="00E452D0"/>
    <w:rsid w:val="00E4543C"/>
    <w:rsid w:val="00E45A9D"/>
    <w:rsid w:val="00E45BB6"/>
    <w:rsid w:val="00E460A1"/>
    <w:rsid w:val="00E46669"/>
    <w:rsid w:val="00E46809"/>
    <w:rsid w:val="00E46814"/>
    <w:rsid w:val="00E46CC9"/>
    <w:rsid w:val="00E47419"/>
    <w:rsid w:val="00E47428"/>
    <w:rsid w:val="00E477CA"/>
    <w:rsid w:val="00E47878"/>
    <w:rsid w:val="00E47B8B"/>
    <w:rsid w:val="00E47D5F"/>
    <w:rsid w:val="00E47D96"/>
    <w:rsid w:val="00E50315"/>
    <w:rsid w:val="00E503DA"/>
    <w:rsid w:val="00E509DA"/>
    <w:rsid w:val="00E50E59"/>
    <w:rsid w:val="00E50FF0"/>
    <w:rsid w:val="00E510B5"/>
    <w:rsid w:val="00E51548"/>
    <w:rsid w:val="00E515A3"/>
    <w:rsid w:val="00E516B4"/>
    <w:rsid w:val="00E51817"/>
    <w:rsid w:val="00E51A1C"/>
    <w:rsid w:val="00E51ABD"/>
    <w:rsid w:val="00E51E23"/>
    <w:rsid w:val="00E520AE"/>
    <w:rsid w:val="00E52CCE"/>
    <w:rsid w:val="00E52F76"/>
    <w:rsid w:val="00E5315C"/>
    <w:rsid w:val="00E53370"/>
    <w:rsid w:val="00E538E0"/>
    <w:rsid w:val="00E53A4B"/>
    <w:rsid w:val="00E5447C"/>
    <w:rsid w:val="00E54984"/>
    <w:rsid w:val="00E54A13"/>
    <w:rsid w:val="00E54D33"/>
    <w:rsid w:val="00E55AEB"/>
    <w:rsid w:val="00E55CD3"/>
    <w:rsid w:val="00E56DD2"/>
    <w:rsid w:val="00E56E29"/>
    <w:rsid w:val="00E56FA2"/>
    <w:rsid w:val="00E5711F"/>
    <w:rsid w:val="00E572CE"/>
    <w:rsid w:val="00E5765B"/>
    <w:rsid w:val="00E57A3C"/>
    <w:rsid w:val="00E57A89"/>
    <w:rsid w:val="00E57B43"/>
    <w:rsid w:val="00E6000E"/>
    <w:rsid w:val="00E602C9"/>
    <w:rsid w:val="00E6043C"/>
    <w:rsid w:val="00E604AF"/>
    <w:rsid w:val="00E60578"/>
    <w:rsid w:val="00E60774"/>
    <w:rsid w:val="00E608B7"/>
    <w:rsid w:val="00E60D6F"/>
    <w:rsid w:val="00E60F80"/>
    <w:rsid w:val="00E6190A"/>
    <w:rsid w:val="00E61DAC"/>
    <w:rsid w:val="00E624DA"/>
    <w:rsid w:val="00E6275D"/>
    <w:rsid w:val="00E629F9"/>
    <w:rsid w:val="00E62A6C"/>
    <w:rsid w:val="00E62AF2"/>
    <w:rsid w:val="00E62B5D"/>
    <w:rsid w:val="00E62D6E"/>
    <w:rsid w:val="00E6306D"/>
    <w:rsid w:val="00E630F7"/>
    <w:rsid w:val="00E632B7"/>
    <w:rsid w:val="00E639CE"/>
    <w:rsid w:val="00E63AF2"/>
    <w:rsid w:val="00E63DE2"/>
    <w:rsid w:val="00E6412A"/>
    <w:rsid w:val="00E64286"/>
    <w:rsid w:val="00E64763"/>
    <w:rsid w:val="00E64C11"/>
    <w:rsid w:val="00E64C47"/>
    <w:rsid w:val="00E64CDD"/>
    <w:rsid w:val="00E65998"/>
    <w:rsid w:val="00E65E6B"/>
    <w:rsid w:val="00E6640D"/>
    <w:rsid w:val="00E6682F"/>
    <w:rsid w:val="00E701D0"/>
    <w:rsid w:val="00E705E5"/>
    <w:rsid w:val="00E70B0C"/>
    <w:rsid w:val="00E71DF1"/>
    <w:rsid w:val="00E722EF"/>
    <w:rsid w:val="00E723D3"/>
    <w:rsid w:val="00E7242A"/>
    <w:rsid w:val="00E7245A"/>
    <w:rsid w:val="00E7298B"/>
    <w:rsid w:val="00E72ABE"/>
    <w:rsid w:val="00E72BCC"/>
    <w:rsid w:val="00E73065"/>
    <w:rsid w:val="00E7306F"/>
    <w:rsid w:val="00E73697"/>
    <w:rsid w:val="00E73E01"/>
    <w:rsid w:val="00E73E28"/>
    <w:rsid w:val="00E74008"/>
    <w:rsid w:val="00E74038"/>
    <w:rsid w:val="00E7476B"/>
    <w:rsid w:val="00E74844"/>
    <w:rsid w:val="00E748E3"/>
    <w:rsid w:val="00E749A0"/>
    <w:rsid w:val="00E749FA"/>
    <w:rsid w:val="00E74B5A"/>
    <w:rsid w:val="00E74C98"/>
    <w:rsid w:val="00E74DDD"/>
    <w:rsid w:val="00E7524F"/>
    <w:rsid w:val="00E7556D"/>
    <w:rsid w:val="00E756FA"/>
    <w:rsid w:val="00E756FB"/>
    <w:rsid w:val="00E75BCB"/>
    <w:rsid w:val="00E75F9B"/>
    <w:rsid w:val="00E76141"/>
    <w:rsid w:val="00E76270"/>
    <w:rsid w:val="00E76316"/>
    <w:rsid w:val="00E76ED7"/>
    <w:rsid w:val="00E77040"/>
    <w:rsid w:val="00E772BF"/>
    <w:rsid w:val="00E773D4"/>
    <w:rsid w:val="00E7780B"/>
    <w:rsid w:val="00E7797B"/>
    <w:rsid w:val="00E77C66"/>
    <w:rsid w:val="00E77E91"/>
    <w:rsid w:val="00E8016D"/>
    <w:rsid w:val="00E80487"/>
    <w:rsid w:val="00E806D2"/>
    <w:rsid w:val="00E80B75"/>
    <w:rsid w:val="00E810EC"/>
    <w:rsid w:val="00E8117B"/>
    <w:rsid w:val="00E81490"/>
    <w:rsid w:val="00E81F9F"/>
    <w:rsid w:val="00E81FFC"/>
    <w:rsid w:val="00E82551"/>
    <w:rsid w:val="00E826C8"/>
    <w:rsid w:val="00E828DA"/>
    <w:rsid w:val="00E82B9F"/>
    <w:rsid w:val="00E82C7D"/>
    <w:rsid w:val="00E82DB1"/>
    <w:rsid w:val="00E82F56"/>
    <w:rsid w:val="00E83280"/>
    <w:rsid w:val="00E832C9"/>
    <w:rsid w:val="00E83414"/>
    <w:rsid w:val="00E83469"/>
    <w:rsid w:val="00E83587"/>
    <w:rsid w:val="00E83613"/>
    <w:rsid w:val="00E83E6E"/>
    <w:rsid w:val="00E83EE9"/>
    <w:rsid w:val="00E843C5"/>
    <w:rsid w:val="00E844C3"/>
    <w:rsid w:val="00E84A59"/>
    <w:rsid w:val="00E84E78"/>
    <w:rsid w:val="00E850F7"/>
    <w:rsid w:val="00E85483"/>
    <w:rsid w:val="00E859CA"/>
    <w:rsid w:val="00E86057"/>
    <w:rsid w:val="00E861F7"/>
    <w:rsid w:val="00E86647"/>
    <w:rsid w:val="00E86BA9"/>
    <w:rsid w:val="00E86DAE"/>
    <w:rsid w:val="00E87565"/>
    <w:rsid w:val="00E877D8"/>
    <w:rsid w:val="00E879F0"/>
    <w:rsid w:val="00E87ADC"/>
    <w:rsid w:val="00E87AE6"/>
    <w:rsid w:val="00E87DCE"/>
    <w:rsid w:val="00E87F95"/>
    <w:rsid w:val="00E90199"/>
    <w:rsid w:val="00E90433"/>
    <w:rsid w:val="00E90F08"/>
    <w:rsid w:val="00E913F0"/>
    <w:rsid w:val="00E91514"/>
    <w:rsid w:val="00E915E1"/>
    <w:rsid w:val="00E919F0"/>
    <w:rsid w:val="00E91A48"/>
    <w:rsid w:val="00E91BF2"/>
    <w:rsid w:val="00E91DDE"/>
    <w:rsid w:val="00E91E61"/>
    <w:rsid w:val="00E91EFC"/>
    <w:rsid w:val="00E92054"/>
    <w:rsid w:val="00E920B8"/>
    <w:rsid w:val="00E92155"/>
    <w:rsid w:val="00E9232D"/>
    <w:rsid w:val="00E9239D"/>
    <w:rsid w:val="00E92479"/>
    <w:rsid w:val="00E924C7"/>
    <w:rsid w:val="00E92E29"/>
    <w:rsid w:val="00E92F0A"/>
    <w:rsid w:val="00E930FC"/>
    <w:rsid w:val="00E93168"/>
    <w:rsid w:val="00E9346A"/>
    <w:rsid w:val="00E93A7A"/>
    <w:rsid w:val="00E93B3D"/>
    <w:rsid w:val="00E93D80"/>
    <w:rsid w:val="00E942A2"/>
    <w:rsid w:val="00E94307"/>
    <w:rsid w:val="00E94762"/>
    <w:rsid w:val="00E94CE0"/>
    <w:rsid w:val="00E94DEC"/>
    <w:rsid w:val="00E95129"/>
    <w:rsid w:val="00E951E4"/>
    <w:rsid w:val="00E952D6"/>
    <w:rsid w:val="00E9543A"/>
    <w:rsid w:val="00E95441"/>
    <w:rsid w:val="00E954F5"/>
    <w:rsid w:val="00E95754"/>
    <w:rsid w:val="00E95859"/>
    <w:rsid w:val="00E95B52"/>
    <w:rsid w:val="00E95D01"/>
    <w:rsid w:val="00E9627E"/>
    <w:rsid w:val="00E963F1"/>
    <w:rsid w:val="00E9694A"/>
    <w:rsid w:val="00E96B89"/>
    <w:rsid w:val="00E96C84"/>
    <w:rsid w:val="00E96EB3"/>
    <w:rsid w:val="00E96FBC"/>
    <w:rsid w:val="00E9738B"/>
    <w:rsid w:val="00E97507"/>
    <w:rsid w:val="00EA0281"/>
    <w:rsid w:val="00EA04AD"/>
    <w:rsid w:val="00EA0BD3"/>
    <w:rsid w:val="00EA0BFA"/>
    <w:rsid w:val="00EA0E04"/>
    <w:rsid w:val="00EA0E05"/>
    <w:rsid w:val="00EA0E10"/>
    <w:rsid w:val="00EA10A2"/>
    <w:rsid w:val="00EA126D"/>
    <w:rsid w:val="00EA1469"/>
    <w:rsid w:val="00EA1B4A"/>
    <w:rsid w:val="00EA1E52"/>
    <w:rsid w:val="00EA1F8B"/>
    <w:rsid w:val="00EA2271"/>
    <w:rsid w:val="00EA22E2"/>
    <w:rsid w:val="00EA23B9"/>
    <w:rsid w:val="00EA2730"/>
    <w:rsid w:val="00EA300C"/>
    <w:rsid w:val="00EA3145"/>
    <w:rsid w:val="00EA32DE"/>
    <w:rsid w:val="00EA3601"/>
    <w:rsid w:val="00EA3BE7"/>
    <w:rsid w:val="00EA3D67"/>
    <w:rsid w:val="00EA3DB9"/>
    <w:rsid w:val="00EA44CA"/>
    <w:rsid w:val="00EA4601"/>
    <w:rsid w:val="00EA475F"/>
    <w:rsid w:val="00EA4877"/>
    <w:rsid w:val="00EA4AC2"/>
    <w:rsid w:val="00EA4AFB"/>
    <w:rsid w:val="00EA4E08"/>
    <w:rsid w:val="00EA5029"/>
    <w:rsid w:val="00EA5171"/>
    <w:rsid w:val="00EA530D"/>
    <w:rsid w:val="00EA5335"/>
    <w:rsid w:val="00EA6039"/>
    <w:rsid w:val="00EA6506"/>
    <w:rsid w:val="00EA6A3E"/>
    <w:rsid w:val="00EA7051"/>
    <w:rsid w:val="00EA708C"/>
    <w:rsid w:val="00EA7A7E"/>
    <w:rsid w:val="00EA7AF2"/>
    <w:rsid w:val="00EA7C2F"/>
    <w:rsid w:val="00EA7CE6"/>
    <w:rsid w:val="00EA7D7F"/>
    <w:rsid w:val="00EA7D93"/>
    <w:rsid w:val="00EA7E15"/>
    <w:rsid w:val="00EA7E9E"/>
    <w:rsid w:val="00EA7EF5"/>
    <w:rsid w:val="00EA7F1F"/>
    <w:rsid w:val="00EA7F74"/>
    <w:rsid w:val="00EB0073"/>
    <w:rsid w:val="00EB04AF"/>
    <w:rsid w:val="00EB0587"/>
    <w:rsid w:val="00EB05DC"/>
    <w:rsid w:val="00EB061D"/>
    <w:rsid w:val="00EB077E"/>
    <w:rsid w:val="00EB164B"/>
    <w:rsid w:val="00EB16A8"/>
    <w:rsid w:val="00EB1705"/>
    <w:rsid w:val="00EB185C"/>
    <w:rsid w:val="00EB1AD4"/>
    <w:rsid w:val="00EB2435"/>
    <w:rsid w:val="00EB269A"/>
    <w:rsid w:val="00EB270B"/>
    <w:rsid w:val="00EB28B8"/>
    <w:rsid w:val="00EB29BC"/>
    <w:rsid w:val="00EB2B2A"/>
    <w:rsid w:val="00EB2FA8"/>
    <w:rsid w:val="00EB338E"/>
    <w:rsid w:val="00EB3495"/>
    <w:rsid w:val="00EB35D4"/>
    <w:rsid w:val="00EB3619"/>
    <w:rsid w:val="00EB3953"/>
    <w:rsid w:val="00EB3AAB"/>
    <w:rsid w:val="00EB3CE0"/>
    <w:rsid w:val="00EB3DB0"/>
    <w:rsid w:val="00EB4042"/>
    <w:rsid w:val="00EB40F0"/>
    <w:rsid w:val="00EB410B"/>
    <w:rsid w:val="00EB4155"/>
    <w:rsid w:val="00EB42C8"/>
    <w:rsid w:val="00EB49D5"/>
    <w:rsid w:val="00EB4A13"/>
    <w:rsid w:val="00EB4D86"/>
    <w:rsid w:val="00EB52C5"/>
    <w:rsid w:val="00EB534C"/>
    <w:rsid w:val="00EB546A"/>
    <w:rsid w:val="00EB55D2"/>
    <w:rsid w:val="00EB57E7"/>
    <w:rsid w:val="00EB5ADE"/>
    <w:rsid w:val="00EB5CC3"/>
    <w:rsid w:val="00EB60EA"/>
    <w:rsid w:val="00EB6440"/>
    <w:rsid w:val="00EB6698"/>
    <w:rsid w:val="00EB6C27"/>
    <w:rsid w:val="00EB6C53"/>
    <w:rsid w:val="00EB77A5"/>
    <w:rsid w:val="00EB7832"/>
    <w:rsid w:val="00EB7B15"/>
    <w:rsid w:val="00EB7B45"/>
    <w:rsid w:val="00EB7C50"/>
    <w:rsid w:val="00EB7C77"/>
    <w:rsid w:val="00EB7D89"/>
    <w:rsid w:val="00EB7E4D"/>
    <w:rsid w:val="00EB7FE8"/>
    <w:rsid w:val="00EC01DE"/>
    <w:rsid w:val="00EC03EF"/>
    <w:rsid w:val="00EC0A9B"/>
    <w:rsid w:val="00EC0BF0"/>
    <w:rsid w:val="00EC10BB"/>
    <w:rsid w:val="00EC117E"/>
    <w:rsid w:val="00EC183D"/>
    <w:rsid w:val="00EC1B6D"/>
    <w:rsid w:val="00EC1D83"/>
    <w:rsid w:val="00EC1E45"/>
    <w:rsid w:val="00EC2D48"/>
    <w:rsid w:val="00EC2E21"/>
    <w:rsid w:val="00EC3255"/>
    <w:rsid w:val="00EC331F"/>
    <w:rsid w:val="00EC33B6"/>
    <w:rsid w:val="00EC36DD"/>
    <w:rsid w:val="00EC3B1C"/>
    <w:rsid w:val="00EC3C31"/>
    <w:rsid w:val="00EC44C6"/>
    <w:rsid w:val="00EC4AAD"/>
    <w:rsid w:val="00EC4C33"/>
    <w:rsid w:val="00EC4D77"/>
    <w:rsid w:val="00EC4D7B"/>
    <w:rsid w:val="00EC4E2E"/>
    <w:rsid w:val="00EC4F37"/>
    <w:rsid w:val="00EC54F9"/>
    <w:rsid w:val="00EC555C"/>
    <w:rsid w:val="00EC5A0B"/>
    <w:rsid w:val="00EC5A47"/>
    <w:rsid w:val="00EC5D48"/>
    <w:rsid w:val="00EC5F1A"/>
    <w:rsid w:val="00EC6193"/>
    <w:rsid w:val="00EC6337"/>
    <w:rsid w:val="00EC6D68"/>
    <w:rsid w:val="00EC7183"/>
    <w:rsid w:val="00EC71AB"/>
    <w:rsid w:val="00EC7B2C"/>
    <w:rsid w:val="00EC7ED8"/>
    <w:rsid w:val="00EC7FB8"/>
    <w:rsid w:val="00ED022F"/>
    <w:rsid w:val="00ED09E1"/>
    <w:rsid w:val="00ED0D29"/>
    <w:rsid w:val="00ED0DE8"/>
    <w:rsid w:val="00ED0EB9"/>
    <w:rsid w:val="00ED0F2B"/>
    <w:rsid w:val="00ED1447"/>
    <w:rsid w:val="00ED159D"/>
    <w:rsid w:val="00ED19B6"/>
    <w:rsid w:val="00ED1A39"/>
    <w:rsid w:val="00ED20F7"/>
    <w:rsid w:val="00ED24AE"/>
    <w:rsid w:val="00ED26EB"/>
    <w:rsid w:val="00ED2FF1"/>
    <w:rsid w:val="00ED3207"/>
    <w:rsid w:val="00ED32E7"/>
    <w:rsid w:val="00ED32FA"/>
    <w:rsid w:val="00ED3534"/>
    <w:rsid w:val="00ED35B9"/>
    <w:rsid w:val="00ED367B"/>
    <w:rsid w:val="00ED38D7"/>
    <w:rsid w:val="00ED3B7D"/>
    <w:rsid w:val="00ED3E6E"/>
    <w:rsid w:val="00ED3EB9"/>
    <w:rsid w:val="00ED4253"/>
    <w:rsid w:val="00ED461E"/>
    <w:rsid w:val="00ED5122"/>
    <w:rsid w:val="00ED54F7"/>
    <w:rsid w:val="00ED58F2"/>
    <w:rsid w:val="00ED5D40"/>
    <w:rsid w:val="00ED6621"/>
    <w:rsid w:val="00ED782C"/>
    <w:rsid w:val="00EE08BC"/>
    <w:rsid w:val="00EE09EA"/>
    <w:rsid w:val="00EE0A49"/>
    <w:rsid w:val="00EE0E09"/>
    <w:rsid w:val="00EE0EF9"/>
    <w:rsid w:val="00EE12DA"/>
    <w:rsid w:val="00EE14B3"/>
    <w:rsid w:val="00EE15CA"/>
    <w:rsid w:val="00EE182C"/>
    <w:rsid w:val="00EE18BB"/>
    <w:rsid w:val="00EE1CDA"/>
    <w:rsid w:val="00EE1F5D"/>
    <w:rsid w:val="00EE2255"/>
    <w:rsid w:val="00EE23E0"/>
    <w:rsid w:val="00EE24B7"/>
    <w:rsid w:val="00EE24E0"/>
    <w:rsid w:val="00EE2AAB"/>
    <w:rsid w:val="00EE2F97"/>
    <w:rsid w:val="00EE3203"/>
    <w:rsid w:val="00EE33A6"/>
    <w:rsid w:val="00EE375F"/>
    <w:rsid w:val="00EE3DCB"/>
    <w:rsid w:val="00EE43C7"/>
    <w:rsid w:val="00EE46C1"/>
    <w:rsid w:val="00EE496C"/>
    <w:rsid w:val="00EE4B7C"/>
    <w:rsid w:val="00EE4B9E"/>
    <w:rsid w:val="00EE4E3B"/>
    <w:rsid w:val="00EE5112"/>
    <w:rsid w:val="00EE62B4"/>
    <w:rsid w:val="00EE632A"/>
    <w:rsid w:val="00EE636D"/>
    <w:rsid w:val="00EE66B1"/>
    <w:rsid w:val="00EE6CC0"/>
    <w:rsid w:val="00EE732F"/>
    <w:rsid w:val="00EE75D6"/>
    <w:rsid w:val="00EE7D91"/>
    <w:rsid w:val="00EE7ECE"/>
    <w:rsid w:val="00EF0225"/>
    <w:rsid w:val="00EF05A6"/>
    <w:rsid w:val="00EF061D"/>
    <w:rsid w:val="00EF082A"/>
    <w:rsid w:val="00EF0E50"/>
    <w:rsid w:val="00EF118F"/>
    <w:rsid w:val="00EF1287"/>
    <w:rsid w:val="00EF1333"/>
    <w:rsid w:val="00EF1668"/>
    <w:rsid w:val="00EF1AEC"/>
    <w:rsid w:val="00EF1B8F"/>
    <w:rsid w:val="00EF20FD"/>
    <w:rsid w:val="00EF2746"/>
    <w:rsid w:val="00EF2786"/>
    <w:rsid w:val="00EF2A1F"/>
    <w:rsid w:val="00EF2C3D"/>
    <w:rsid w:val="00EF34CD"/>
    <w:rsid w:val="00EF386B"/>
    <w:rsid w:val="00EF3A28"/>
    <w:rsid w:val="00EF3A3D"/>
    <w:rsid w:val="00EF3A4A"/>
    <w:rsid w:val="00EF3CB9"/>
    <w:rsid w:val="00EF3D43"/>
    <w:rsid w:val="00EF4337"/>
    <w:rsid w:val="00EF447D"/>
    <w:rsid w:val="00EF493B"/>
    <w:rsid w:val="00EF4CE5"/>
    <w:rsid w:val="00EF4F32"/>
    <w:rsid w:val="00EF5009"/>
    <w:rsid w:val="00EF5326"/>
    <w:rsid w:val="00EF5392"/>
    <w:rsid w:val="00EF5861"/>
    <w:rsid w:val="00EF5B7C"/>
    <w:rsid w:val="00EF6141"/>
    <w:rsid w:val="00EF650F"/>
    <w:rsid w:val="00EF6607"/>
    <w:rsid w:val="00EF691C"/>
    <w:rsid w:val="00EF693B"/>
    <w:rsid w:val="00EF6BC3"/>
    <w:rsid w:val="00EF6EF5"/>
    <w:rsid w:val="00EF73ED"/>
    <w:rsid w:val="00EF7583"/>
    <w:rsid w:val="00EF7614"/>
    <w:rsid w:val="00EF767A"/>
    <w:rsid w:val="00EF7878"/>
    <w:rsid w:val="00EF7904"/>
    <w:rsid w:val="00EF7CE8"/>
    <w:rsid w:val="00F000F0"/>
    <w:rsid w:val="00F00122"/>
    <w:rsid w:val="00F00180"/>
    <w:rsid w:val="00F00497"/>
    <w:rsid w:val="00F005AF"/>
    <w:rsid w:val="00F006E4"/>
    <w:rsid w:val="00F0080F"/>
    <w:rsid w:val="00F00923"/>
    <w:rsid w:val="00F00C9D"/>
    <w:rsid w:val="00F01165"/>
    <w:rsid w:val="00F01484"/>
    <w:rsid w:val="00F0166B"/>
    <w:rsid w:val="00F017CB"/>
    <w:rsid w:val="00F0188E"/>
    <w:rsid w:val="00F0197D"/>
    <w:rsid w:val="00F01A58"/>
    <w:rsid w:val="00F01EA8"/>
    <w:rsid w:val="00F0238F"/>
    <w:rsid w:val="00F023A1"/>
    <w:rsid w:val="00F024CA"/>
    <w:rsid w:val="00F024E9"/>
    <w:rsid w:val="00F026AE"/>
    <w:rsid w:val="00F027FF"/>
    <w:rsid w:val="00F0301D"/>
    <w:rsid w:val="00F0324C"/>
    <w:rsid w:val="00F032CD"/>
    <w:rsid w:val="00F032DF"/>
    <w:rsid w:val="00F03466"/>
    <w:rsid w:val="00F0388F"/>
    <w:rsid w:val="00F03891"/>
    <w:rsid w:val="00F03C67"/>
    <w:rsid w:val="00F04211"/>
    <w:rsid w:val="00F04551"/>
    <w:rsid w:val="00F04568"/>
    <w:rsid w:val="00F04C98"/>
    <w:rsid w:val="00F04D51"/>
    <w:rsid w:val="00F04F3E"/>
    <w:rsid w:val="00F0522E"/>
    <w:rsid w:val="00F05A49"/>
    <w:rsid w:val="00F05C50"/>
    <w:rsid w:val="00F05EED"/>
    <w:rsid w:val="00F06B61"/>
    <w:rsid w:val="00F06C9F"/>
    <w:rsid w:val="00F06F02"/>
    <w:rsid w:val="00F07846"/>
    <w:rsid w:val="00F07CEE"/>
    <w:rsid w:val="00F10437"/>
    <w:rsid w:val="00F10465"/>
    <w:rsid w:val="00F10864"/>
    <w:rsid w:val="00F108F5"/>
    <w:rsid w:val="00F10D5A"/>
    <w:rsid w:val="00F11189"/>
    <w:rsid w:val="00F1162A"/>
    <w:rsid w:val="00F1165E"/>
    <w:rsid w:val="00F11B9B"/>
    <w:rsid w:val="00F11CF5"/>
    <w:rsid w:val="00F124CB"/>
    <w:rsid w:val="00F12551"/>
    <w:rsid w:val="00F12B3D"/>
    <w:rsid w:val="00F12D63"/>
    <w:rsid w:val="00F1403E"/>
    <w:rsid w:val="00F1415B"/>
    <w:rsid w:val="00F1476B"/>
    <w:rsid w:val="00F149F8"/>
    <w:rsid w:val="00F14FB8"/>
    <w:rsid w:val="00F15860"/>
    <w:rsid w:val="00F1698C"/>
    <w:rsid w:val="00F16BB1"/>
    <w:rsid w:val="00F17076"/>
    <w:rsid w:val="00F17A8F"/>
    <w:rsid w:val="00F20046"/>
    <w:rsid w:val="00F206FE"/>
    <w:rsid w:val="00F20F5B"/>
    <w:rsid w:val="00F21048"/>
    <w:rsid w:val="00F210AB"/>
    <w:rsid w:val="00F211CB"/>
    <w:rsid w:val="00F21484"/>
    <w:rsid w:val="00F215C3"/>
    <w:rsid w:val="00F21857"/>
    <w:rsid w:val="00F218EF"/>
    <w:rsid w:val="00F21A0B"/>
    <w:rsid w:val="00F22444"/>
    <w:rsid w:val="00F227B6"/>
    <w:rsid w:val="00F22C96"/>
    <w:rsid w:val="00F22F7B"/>
    <w:rsid w:val="00F23256"/>
    <w:rsid w:val="00F2357F"/>
    <w:rsid w:val="00F23BD0"/>
    <w:rsid w:val="00F23C70"/>
    <w:rsid w:val="00F23FCA"/>
    <w:rsid w:val="00F240AE"/>
    <w:rsid w:val="00F240CB"/>
    <w:rsid w:val="00F24275"/>
    <w:rsid w:val="00F244C0"/>
    <w:rsid w:val="00F2456B"/>
    <w:rsid w:val="00F2489F"/>
    <w:rsid w:val="00F24A57"/>
    <w:rsid w:val="00F24D1C"/>
    <w:rsid w:val="00F24F4D"/>
    <w:rsid w:val="00F24FA0"/>
    <w:rsid w:val="00F250CE"/>
    <w:rsid w:val="00F250F2"/>
    <w:rsid w:val="00F25157"/>
    <w:rsid w:val="00F257A4"/>
    <w:rsid w:val="00F25EB4"/>
    <w:rsid w:val="00F2617C"/>
    <w:rsid w:val="00F2635E"/>
    <w:rsid w:val="00F26421"/>
    <w:rsid w:val="00F2643A"/>
    <w:rsid w:val="00F26585"/>
    <w:rsid w:val="00F267B6"/>
    <w:rsid w:val="00F26886"/>
    <w:rsid w:val="00F2699C"/>
    <w:rsid w:val="00F26AF5"/>
    <w:rsid w:val="00F27E0C"/>
    <w:rsid w:val="00F27EF4"/>
    <w:rsid w:val="00F27F4C"/>
    <w:rsid w:val="00F3002F"/>
    <w:rsid w:val="00F30031"/>
    <w:rsid w:val="00F30353"/>
    <w:rsid w:val="00F308C0"/>
    <w:rsid w:val="00F30BE8"/>
    <w:rsid w:val="00F30EE4"/>
    <w:rsid w:val="00F30FF2"/>
    <w:rsid w:val="00F31375"/>
    <w:rsid w:val="00F3137D"/>
    <w:rsid w:val="00F316ED"/>
    <w:rsid w:val="00F318E7"/>
    <w:rsid w:val="00F31F17"/>
    <w:rsid w:val="00F3236F"/>
    <w:rsid w:val="00F32374"/>
    <w:rsid w:val="00F325FB"/>
    <w:rsid w:val="00F32F0E"/>
    <w:rsid w:val="00F32F3E"/>
    <w:rsid w:val="00F3372E"/>
    <w:rsid w:val="00F3383E"/>
    <w:rsid w:val="00F34057"/>
    <w:rsid w:val="00F34286"/>
    <w:rsid w:val="00F342E5"/>
    <w:rsid w:val="00F346BC"/>
    <w:rsid w:val="00F34FC9"/>
    <w:rsid w:val="00F3521B"/>
    <w:rsid w:val="00F35561"/>
    <w:rsid w:val="00F35865"/>
    <w:rsid w:val="00F35E92"/>
    <w:rsid w:val="00F3651B"/>
    <w:rsid w:val="00F36919"/>
    <w:rsid w:val="00F3698C"/>
    <w:rsid w:val="00F369F3"/>
    <w:rsid w:val="00F36A25"/>
    <w:rsid w:val="00F36EC2"/>
    <w:rsid w:val="00F36ED8"/>
    <w:rsid w:val="00F370CB"/>
    <w:rsid w:val="00F370E3"/>
    <w:rsid w:val="00F3743A"/>
    <w:rsid w:val="00F3757D"/>
    <w:rsid w:val="00F377A2"/>
    <w:rsid w:val="00F37922"/>
    <w:rsid w:val="00F37A1D"/>
    <w:rsid w:val="00F37AEF"/>
    <w:rsid w:val="00F37BDD"/>
    <w:rsid w:val="00F408DF"/>
    <w:rsid w:val="00F40CD5"/>
    <w:rsid w:val="00F4125D"/>
    <w:rsid w:val="00F417B8"/>
    <w:rsid w:val="00F42211"/>
    <w:rsid w:val="00F42349"/>
    <w:rsid w:val="00F4262F"/>
    <w:rsid w:val="00F426A0"/>
    <w:rsid w:val="00F42910"/>
    <w:rsid w:val="00F42A4D"/>
    <w:rsid w:val="00F42BEE"/>
    <w:rsid w:val="00F42C2B"/>
    <w:rsid w:val="00F439C5"/>
    <w:rsid w:val="00F43EB5"/>
    <w:rsid w:val="00F4402C"/>
    <w:rsid w:val="00F44175"/>
    <w:rsid w:val="00F4449D"/>
    <w:rsid w:val="00F44833"/>
    <w:rsid w:val="00F44E03"/>
    <w:rsid w:val="00F45FA3"/>
    <w:rsid w:val="00F4629D"/>
    <w:rsid w:val="00F462EB"/>
    <w:rsid w:val="00F465C1"/>
    <w:rsid w:val="00F4678D"/>
    <w:rsid w:val="00F467B0"/>
    <w:rsid w:val="00F4683E"/>
    <w:rsid w:val="00F46B49"/>
    <w:rsid w:val="00F46C9F"/>
    <w:rsid w:val="00F46E40"/>
    <w:rsid w:val="00F46F8B"/>
    <w:rsid w:val="00F47132"/>
    <w:rsid w:val="00F47728"/>
    <w:rsid w:val="00F4776E"/>
    <w:rsid w:val="00F47AFE"/>
    <w:rsid w:val="00F47CBA"/>
    <w:rsid w:val="00F50020"/>
    <w:rsid w:val="00F502B6"/>
    <w:rsid w:val="00F50671"/>
    <w:rsid w:val="00F50691"/>
    <w:rsid w:val="00F50849"/>
    <w:rsid w:val="00F50A74"/>
    <w:rsid w:val="00F5115A"/>
    <w:rsid w:val="00F513BA"/>
    <w:rsid w:val="00F51447"/>
    <w:rsid w:val="00F514EF"/>
    <w:rsid w:val="00F516F4"/>
    <w:rsid w:val="00F524CD"/>
    <w:rsid w:val="00F52756"/>
    <w:rsid w:val="00F52A47"/>
    <w:rsid w:val="00F52A4B"/>
    <w:rsid w:val="00F52C6C"/>
    <w:rsid w:val="00F52FA8"/>
    <w:rsid w:val="00F5388A"/>
    <w:rsid w:val="00F538CD"/>
    <w:rsid w:val="00F54192"/>
    <w:rsid w:val="00F542D8"/>
    <w:rsid w:val="00F54302"/>
    <w:rsid w:val="00F546DB"/>
    <w:rsid w:val="00F548C8"/>
    <w:rsid w:val="00F54E13"/>
    <w:rsid w:val="00F55331"/>
    <w:rsid w:val="00F55A8C"/>
    <w:rsid w:val="00F55AC5"/>
    <w:rsid w:val="00F5679C"/>
    <w:rsid w:val="00F568FF"/>
    <w:rsid w:val="00F56918"/>
    <w:rsid w:val="00F56B25"/>
    <w:rsid w:val="00F56F7D"/>
    <w:rsid w:val="00F570BA"/>
    <w:rsid w:val="00F570D9"/>
    <w:rsid w:val="00F57262"/>
    <w:rsid w:val="00F5765A"/>
    <w:rsid w:val="00F57704"/>
    <w:rsid w:val="00F577F9"/>
    <w:rsid w:val="00F578D5"/>
    <w:rsid w:val="00F57927"/>
    <w:rsid w:val="00F57BE9"/>
    <w:rsid w:val="00F57C72"/>
    <w:rsid w:val="00F57E66"/>
    <w:rsid w:val="00F57F35"/>
    <w:rsid w:val="00F6021A"/>
    <w:rsid w:val="00F60232"/>
    <w:rsid w:val="00F60A34"/>
    <w:rsid w:val="00F60C26"/>
    <w:rsid w:val="00F60D0D"/>
    <w:rsid w:val="00F61158"/>
    <w:rsid w:val="00F61235"/>
    <w:rsid w:val="00F612CF"/>
    <w:rsid w:val="00F61564"/>
    <w:rsid w:val="00F61701"/>
    <w:rsid w:val="00F61902"/>
    <w:rsid w:val="00F61FDE"/>
    <w:rsid w:val="00F622E3"/>
    <w:rsid w:val="00F62377"/>
    <w:rsid w:val="00F628C5"/>
    <w:rsid w:val="00F62EEC"/>
    <w:rsid w:val="00F63289"/>
    <w:rsid w:val="00F63CC4"/>
    <w:rsid w:val="00F63D79"/>
    <w:rsid w:val="00F63D8A"/>
    <w:rsid w:val="00F6404E"/>
    <w:rsid w:val="00F6433C"/>
    <w:rsid w:val="00F6460D"/>
    <w:rsid w:val="00F6474A"/>
    <w:rsid w:val="00F64966"/>
    <w:rsid w:val="00F64F9F"/>
    <w:rsid w:val="00F6583A"/>
    <w:rsid w:val="00F65D92"/>
    <w:rsid w:val="00F660B8"/>
    <w:rsid w:val="00F664C3"/>
    <w:rsid w:val="00F664DA"/>
    <w:rsid w:val="00F669E3"/>
    <w:rsid w:val="00F675DD"/>
    <w:rsid w:val="00F6789D"/>
    <w:rsid w:val="00F67988"/>
    <w:rsid w:val="00F67A85"/>
    <w:rsid w:val="00F7037F"/>
    <w:rsid w:val="00F70384"/>
    <w:rsid w:val="00F70559"/>
    <w:rsid w:val="00F70C09"/>
    <w:rsid w:val="00F70FF9"/>
    <w:rsid w:val="00F71026"/>
    <w:rsid w:val="00F71042"/>
    <w:rsid w:val="00F710A0"/>
    <w:rsid w:val="00F71889"/>
    <w:rsid w:val="00F71976"/>
    <w:rsid w:val="00F71A99"/>
    <w:rsid w:val="00F71C4F"/>
    <w:rsid w:val="00F71EA2"/>
    <w:rsid w:val="00F71F79"/>
    <w:rsid w:val="00F72106"/>
    <w:rsid w:val="00F721A1"/>
    <w:rsid w:val="00F724E3"/>
    <w:rsid w:val="00F727AA"/>
    <w:rsid w:val="00F7286A"/>
    <w:rsid w:val="00F729CA"/>
    <w:rsid w:val="00F72C94"/>
    <w:rsid w:val="00F72D42"/>
    <w:rsid w:val="00F732A0"/>
    <w:rsid w:val="00F7368C"/>
    <w:rsid w:val="00F73D87"/>
    <w:rsid w:val="00F73D95"/>
    <w:rsid w:val="00F73E55"/>
    <w:rsid w:val="00F73F43"/>
    <w:rsid w:val="00F74609"/>
    <w:rsid w:val="00F74664"/>
    <w:rsid w:val="00F746E1"/>
    <w:rsid w:val="00F74791"/>
    <w:rsid w:val="00F74A7A"/>
    <w:rsid w:val="00F74A7E"/>
    <w:rsid w:val="00F74CEF"/>
    <w:rsid w:val="00F74D26"/>
    <w:rsid w:val="00F74DA4"/>
    <w:rsid w:val="00F74E5A"/>
    <w:rsid w:val="00F7564B"/>
    <w:rsid w:val="00F7566D"/>
    <w:rsid w:val="00F75DC3"/>
    <w:rsid w:val="00F76337"/>
    <w:rsid w:val="00F763DF"/>
    <w:rsid w:val="00F7651D"/>
    <w:rsid w:val="00F766F0"/>
    <w:rsid w:val="00F76B74"/>
    <w:rsid w:val="00F77405"/>
    <w:rsid w:val="00F7746B"/>
    <w:rsid w:val="00F7791A"/>
    <w:rsid w:val="00F7792A"/>
    <w:rsid w:val="00F77C47"/>
    <w:rsid w:val="00F77CFA"/>
    <w:rsid w:val="00F80566"/>
    <w:rsid w:val="00F80957"/>
    <w:rsid w:val="00F80D8F"/>
    <w:rsid w:val="00F81311"/>
    <w:rsid w:val="00F813BB"/>
    <w:rsid w:val="00F81507"/>
    <w:rsid w:val="00F81625"/>
    <w:rsid w:val="00F818F8"/>
    <w:rsid w:val="00F81C47"/>
    <w:rsid w:val="00F81D8F"/>
    <w:rsid w:val="00F81E0E"/>
    <w:rsid w:val="00F81E87"/>
    <w:rsid w:val="00F81F25"/>
    <w:rsid w:val="00F81F57"/>
    <w:rsid w:val="00F8222F"/>
    <w:rsid w:val="00F82682"/>
    <w:rsid w:val="00F8270B"/>
    <w:rsid w:val="00F82852"/>
    <w:rsid w:val="00F82CD8"/>
    <w:rsid w:val="00F831B2"/>
    <w:rsid w:val="00F83301"/>
    <w:rsid w:val="00F837A7"/>
    <w:rsid w:val="00F837DD"/>
    <w:rsid w:val="00F84232"/>
    <w:rsid w:val="00F842F9"/>
    <w:rsid w:val="00F84415"/>
    <w:rsid w:val="00F84849"/>
    <w:rsid w:val="00F8486E"/>
    <w:rsid w:val="00F849D7"/>
    <w:rsid w:val="00F84A2F"/>
    <w:rsid w:val="00F84BAB"/>
    <w:rsid w:val="00F84C94"/>
    <w:rsid w:val="00F84DDB"/>
    <w:rsid w:val="00F850EB"/>
    <w:rsid w:val="00F854D5"/>
    <w:rsid w:val="00F855CB"/>
    <w:rsid w:val="00F856C8"/>
    <w:rsid w:val="00F85744"/>
    <w:rsid w:val="00F85AF6"/>
    <w:rsid w:val="00F85C4A"/>
    <w:rsid w:val="00F85F4B"/>
    <w:rsid w:val="00F85F9B"/>
    <w:rsid w:val="00F863EB"/>
    <w:rsid w:val="00F86538"/>
    <w:rsid w:val="00F866E8"/>
    <w:rsid w:val="00F8683A"/>
    <w:rsid w:val="00F86B20"/>
    <w:rsid w:val="00F86C43"/>
    <w:rsid w:val="00F86E03"/>
    <w:rsid w:val="00F87160"/>
    <w:rsid w:val="00F8718E"/>
    <w:rsid w:val="00F87201"/>
    <w:rsid w:val="00F87317"/>
    <w:rsid w:val="00F879C6"/>
    <w:rsid w:val="00F87CB7"/>
    <w:rsid w:val="00F87D07"/>
    <w:rsid w:val="00F87D7F"/>
    <w:rsid w:val="00F87E13"/>
    <w:rsid w:val="00F87E81"/>
    <w:rsid w:val="00F90036"/>
    <w:rsid w:val="00F90184"/>
    <w:rsid w:val="00F901EE"/>
    <w:rsid w:val="00F90391"/>
    <w:rsid w:val="00F9046C"/>
    <w:rsid w:val="00F90BEE"/>
    <w:rsid w:val="00F90C86"/>
    <w:rsid w:val="00F90EC3"/>
    <w:rsid w:val="00F90FD6"/>
    <w:rsid w:val="00F910E4"/>
    <w:rsid w:val="00F915AB"/>
    <w:rsid w:val="00F9174D"/>
    <w:rsid w:val="00F91906"/>
    <w:rsid w:val="00F91CA2"/>
    <w:rsid w:val="00F91DAB"/>
    <w:rsid w:val="00F91DAC"/>
    <w:rsid w:val="00F91FBE"/>
    <w:rsid w:val="00F92174"/>
    <w:rsid w:val="00F923DB"/>
    <w:rsid w:val="00F92725"/>
    <w:rsid w:val="00F9344F"/>
    <w:rsid w:val="00F93477"/>
    <w:rsid w:val="00F93A3D"/>
    <w:rsid w:val="00F93C3E"/>
    <w:rsid w:val="00F93D13"/>
    <w:rsid w:val="00F93EB0"/>
    <w:rsid w:val="00F93EE6"/>
    <w:rsid w:val="00F94003"/>
    <w:rsid w:val="00F94284"/>
    <w:rsid w:val="00F94303"/>
    <w:rsid w:val="00F94412"/>
    <w:rsid w:val="00F94737"/>
    <w:rsid w:val="00F9473D"/>
    <w:rsid w:val="00F948D1"/>
    <w:rsid w:val="00F9495D"/>
    <w:rsid w:val="00F94A66"/>
    <w:rsid w:val="00F94F50"/>
    <w:rsid w:val="00F95013"/>
    <w:rsid w:val="00F950BC"/>
    <w:rsid w:val="00F951BD"/>
    <w:rsid w:val="00F958CD"/>
    <w:rsid w:val="00F95D49"/>
    <w:rsid w:val="00F95EF0"/>
    <w:rsid w:val="00F9632D"/>
    <w:rsid w:val="00F9644F"/>
    <w:rsid w:val="00F965D9"/>
    <w:rsid w:val="00F968CC"/>
    <w:rsid w:val="00F96C7A"/>
    <w:rsid w:val="00F96E7C"/>
    <w:rsid w:val="00F975B5"/>
    <w:rsid w:val="00F97D07"/>
    <w:rsid w:val="00F97DEE"/>
    <w:rsid w:val="00FA04BE"/>
    <w:rsid w:val="00FA0509"/>
    <w:rsid w:val="00FA0E7C"/>
    <w:rsid w:val="00FA1177"/>
    <w:rsid w:val="00FA15C6"/>
    <w:rsid w:val="00FA1CBF"/>
    <w:rsid w:val="00FA1D8F"/>
    <w:rsid w:val="00FA2002"/>
    <w:rsid w:val="00FA2526"/>
    <w:rsid w:val="00FA2AB0"/>
    <w:rsid w:val="00FA357A"/>
    <w:rsid w:val="00FA3855"/>
    <w:rsid w:val="00FA397A"/>
    <w:rsid w:val="00FA3C84"/>
    <w:rsid w:val="00FA3F33"/>
    <w:rsid w:val="00FA3F45"/>
    <w:rsid w:val="00FA4A32"/>
    <w:rsid w:val="00FA4EDE"/>
    <w:rsid w:val="00FA50E8"/>
    <w:rsid w:val="00FA517D"/>
    <w:rsid w:val="00FA526F"/>
    <w:rsid w:val="00FA52BE"/>
    <w:rsid w:val="00FA53C1"/>
    <w:rsid w:val="00FA54C0"/>
    <w:rsid w:val="00FA5527"/>
    <w:rsid w:val="00FA5871"/>
    <w:rsid w:val="00FA5887"/>
    <w:rsid w:val="00FA589E"/>
    <w:rsid w:val="00FA58B1"/>
    <w:rsid w:val="00FA5962"/>
    <w:rsid w:val="00FA5995"/>
    <w:rsid w:val="00FA5C6B"/>
    <w:rsid w:val="00FA5F3B"/>
    <w:rsid w:val="00FA6120"/>
    <w:rsid w:val="00FA6225"/>
    <w:rsid w:val="00FA656D"/>
    <w:rsid w:val="00FA6686"/>
    <w:rsid w:val="00FA6A4D"/>
    <w:rsid w:val="00FA6A8C"/>
    <w:rsid w:val="00FA6BCC"/>
    <w:rsid w:val="00FA6C40"/>
    <w:rsid w:val="00FA70DF"/>
    <w:rsid w:val="00FA7152"/>
    <w:rsid w:val="00FA7A20"/>
    <w:rsid w:val="00FA7AA6"/>
    <w:rsid w:val="00FA7C04"/>
    <w:rsid w:val="00FB0058"/>
    <w:rsid w:val="00FB007D"/>
    <w:rsid w:val="00FB0443"/>
    <w:rsid w:val="00FB0B9F"/>
    <w:rsid w:val="00FB0E3B"/>
    <w:rsid w:val="00FB114F"/>
    <w:rsid w:val="00FB11A4"/>
    <w:rsid w:val="00FB1352"/>
    <w:rsid w:val="00FB15D5"/>
    <w:rsid w:val="00FB1694"/>
    <w:rsid w:val="00FB18E8"/>
    <w:rsid w:val="00FB19D8"/>
    <w:rsid w:val="00FB22E5"/>
    <w:rsid w:val="00FB2864"/>
    <w:rsid w:val="00FB2E28"/>
    <w:rsid w:val="00FB2F94"/>
    <w:rsid w:val="00FB381C"/>
    <w:rsid w:val="00FB3CBD"/>
    <w:rsid w:val="00FB3CD6"/>
    <w:rsid w:val="00FB4065"/>
    <w:rsid w:val="00FB4760"/>
    <w:rsid w:val="00FB47B5"/>
    <w:rsid w:val="00FB4E96"/>
    <w:rsid w:val="00FB52FD"/>
    <w:rsid w:val="00FB5628"/>
    <w:rsid w:val="00FB57A7"/>
    <w:rsid w:val="00FB5A6F"/>
    <w:rsid w:val="00FB6401"/>
    <w:rsid w:val="00FB68CE"/>
    <w:rsid w:val="00FB6B9D"/>
    <w:rsid w:val="00FB6CF9"/>
    <w:rsid w:val="00FB6F9E"/>
    <w:rsid w:val="00FB72CB"/>
    <w:rsid w:val="00FB7649"/>
    <w:rsid w:val="00FB77BB"/>
    <w:rsid w:val="00FB7A9C"/>
    <w:rsid w:val="00FB7E18"/>
    <w:rsid w:val="00FC022F"/>
    <w:rsid w:val="00FC0AB4"/>
    <w:rsid w:val="00FC0B9B"/>
    <w:rsid w:val="00FC0E12"/>
    <w:rsid w:val="00FC10EB"/>
    <w:rsid w:val="00FC1859"/>
    <w:rsid w:val="00FC1A3C"/>
    <w:rsid w:val="00FC2022"/>
    <w:rsid w:val="00FC2075"/>
    <w:rsid w:val="00FC22FE"/>
    <w:rsid w:val="00FC23FA"/>
    <w:rsid w:val="00FC254B"/>
    <w:rsid w:val="00FC2742"/>
    <w:rsid w:val="00FC27DB"/>
    <w:rsid w:val="00FC2FD4"/>
    <w:rsid w:val="00FC330F"/>
    <w:rsid w:val="00FC37F0"/>
    <w:rsid w:val="00FC398D"/>
    <w:rsid w:val="00FC3B1A"/>
    <w:rsid w:val="00FC3BBC"/>
    <w:rsid w:val="00FC3EEB"/>
    <w:rsid w:val="00FC3F24"/>
    <w:rsid w:val="00FC4278"/>
    <w:rsid w:val="00FC42A4"/>
    <w:rsid w:val="00FC4423"/>
    <w:rsid w:val="00FC47D1"/>
    <w:rsid w:val="00FC4BD6"/>
    <w:rsid w:val="00FC4CA4"/>
    <w:rsid w:val="00FC4D8B"/>
    <w:rsid w:val="00FC545C"/>
    <w:rsid w:val="00FC54BA"/>
    <w:rsid w:val="00FC553E"/>
    <w:rsid w:val="00FC5958"/>
    <w:rsid w:val="00FC60B6"/>
    <w:rsid w:val="00FC65A0"/>
    <w:rsid w:val="00FC6A07"/>
    <w:rsid w:val="00FC6B41"/>
    <w:rsid w:val="00FC7308"/>
    <w:rsid w:val="00FC77B4"/>
    <w:rsid w:val="00FC7896"/>
    <w:rsid w:val="00FC7F93"/>
    <w:rsid w:val="00FD02FC"/>
    <w:rsid w:val="00FD091C"/>
    <w:rsid w:val="00FD0936"/>
    <w:rsid w:val="00FD0CF6"/>
    <w:rsid w:val="00FD10D2"/>
    <w:rsid w:val="00FD111E"/>
    <w:rsid w:val="00FD14E4"/>
    <w:rsid w:val="00FD1748"/>
    <w:rsid w:val="00FD250B"/>
    <w:rsid w:val="00FD2804"/>
    <w:rsid w:val="00FD282A"/>
    <w:rsid w:val="00FD2A71"/>
    <w:rsid w:val="00FD2F55"/>
    <w:rsid w:val="00FD305B"/>
    <w:rsid w:val="00FD33B3"/>
    <w:rsid w:val="00FD3905"/>
    <w:rsid w:val="00FD4124"/>
    <w:rsid w:val="00FD452A"/>
    <w:rsid w:val="00FD4620"/>
    <w:rsid w:val="00FD48FE"/>
    <w:rsid w:val="00FD4C17"/>
    <w:rsid w:val="00FD4CC0"/>
    <w:rsid w:val="00FD5502"/>
    <w:rsid w:val="00FD59BB"/>
    <w:rsid w:val="00FD5C8B"/>
    <w:rsid w:val="00FD5CFE"/>
    <w:rsid w:val="00FD6318"/>
    <w:rsid w:val="00FD6556"/>
    <w:rsid w:val="00FD6A3D"/>
    <w:rsid w:val="00FD6F9D"/>
    <w:rsid w:val="00FD7001"/>
    <w:rsid w:val="00FD7240"/>
    <w:rsid w:val="00FD72D9"/>
    <w:rsid w:val="00FD73AE"/>
    <w:rsid w:val="00FD78EF"/>
    <w:rsid w:val="00FD793F"/>
    <w:rsid w:val="00FD7977"/>
    <w:rsid w:val="00FD7A7E"/>
    <w:rsid w:val="00FD7C67"/>
    <w:rsid w:val="00FD7D1F"/>
    <w:rsid w:val="00FD7F6A"/>
    <w:rsid w:val="00FE04B6"/>
    <w:rsid w:val="00FE05E5"/>
    <w:rsid w:val="00FE0657"/>
    <w:rsid w:val="00FE0851"/>
    <w:rsid w:val="00FE1086"/>
    <w:rsid w:val="00FE10CE"/>
    <w:rsid w:val="00FE20AB"/>
    <w:rsid w:val="00FE22FE"/>
    <w:rsid w:val="00FE2955"/>
    <w:rsid w:val="00FE2B7B"/>
    <w:rsid w:val="00FE3100"/>
    <w:rsid w:val="00FE3439"/>
    <w:rsid w:val="00FE3768"/>
    <w:rsid w:val="00FE4705"/>
    <w:rsid w:val="00FE4D1E"/>
    <w:rsid w:val="00FE4DF8"/>
    <w:rsid w:val="00FE5172"/>
    <w:rsid w:val="00FE5410"/>
    <w:rsid w:val="00FE5977"/>
    <w:rsid w:val="00FE5D0A"/>
    <w:rsid w:val="00FE5D5A"/>
    <w:rsid w:val="00FE627C"/>
    <w:rsid w:val="00FE6798"/>
    <w:rsid w:val="00FE6A02"/>
    <w:rsid w:val="00FE6DEC"/>
    <w:rsid w:val="00FE6F35"/>
    <w:rsid w:val="00FE74E2"/>
    <w:rsid w:val="00FE74FC"/>
    <w:rsid w:val="00FE761D"/>
    <w:rsid w:val="00FE76FA"/>
    <w:rsid w:val="00FE7903"/>
    <w:rsid w:val="00FE798A"/>
    <w:rsid w:val="00FE7C3E"/>
    <w:rsid w:val="00FE7C51"/>
    <w:rsid w:val="00FE7E6E"/>
    <w:rsid w:val="00FE7F00"/>
    <w:rsid w:val="00FF01C5"/>
    <w:rsid w:val="00FF0224"/>
    <w:rsid w:val="00FF0502"/>
    <w:rsid w:val="00FF0BBB"/>
    <w:rsid w:val="00FF1455"/>
    <w:rsid w:val="00FF1716"/>
    <w:rsid w:val="00FF1862"/>
    <w:rsid w:val="00FF1A6C"/>
    <w:rsid w:val="00FF1D5F"/>
    <w:rsid w:val="00FF2077"/>
    <w:rsid w:val="00FF20A8"/>
    <w:rsid w:val="00FF2524"/>
    <w:rsid w:val="00FF283C"/>
    <w:rsid w:val="00FF2A88"/>
    <w:rsid w:val="00FF2D99"/>
    <w:rsid w:val="00FF3398"/>
    <w:rsid w:val="00FF37C5"/>
    <w:rsid w:val="00FF3A12"/>
    <w:rsid w:val="00FF3CFC"/>
    <w:rsid w:val="00FF41E9"/>
    <w:rsid w:val="00FF43AF"/>
    <w:rsid w:val="00FF44AE"/>
    <w:rsid w:val="00FF48E0"/>
    <w:rsid w:val="00FF4D22"/>
    <w:rsid w:val="00FF4FCD"/>
    <w:rsid w:val="00FF5026"/>
    <w:rsid w:val="00FF5173"/>
    <w:rsid w:val="00FF51D0"/>
    <w:rsid w:val="00FF52CC"/>
    <w:rsid w:val="00FF52E3"/>
    <w:rsid w:val="00FF5EFE"/>
    <w:rsid w:val="00FF609A"/>
    <w:rsid w:val="00FF6A39"/>
    <w:rsid w:val="00FF6CF6"/>
    <w:rsid w:val="00FF707C"/>
    <w:rsid w:val="00FF73D5"/>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D9E57"/>
  <w15:chartTrackingRefBased/>
  <w15:docId w15:val="{0E1C4CFC-E3D0-8443-AB74-6DCFA8D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cho" w:eastAsia="SimSun" w:hAnsi="Mincho"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annotation text" w:uiPriority="99"/>
    <w:lsdException w:name="footer" w:uiPriority="99"/>
    <w:lsdException w:name="caption" w:qFormat="1"/>
    <w:lsdException w:name="annotation reference" w:uiPriority="99" w:qFormat="1"/>
    <w:lsdException w:name="Hyperlink" w:uiPriority="99"/>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132A"/>
    <w:rPr>
      <w:rFonts w:ascii="Times New Roman" w:eastAsia="Times New Roman" w:hAnsi="Times New Roman"/>
      <w:sz w:val="24"/>
      <w:szCs w:val="24"/>
      <w:lang w:eastAsia="zh-CN"/>
    </w:rPr>
  </w:style>
  <w:style w:type="paragraph" w:styleId="1">
    <w:name w:val="heading 1"/>
    <w:next w:val="a0"/>
    <w:link w:val="1Char"/>
    <w:qFormat/>
    <w:rsid w:val="009C2D12"/>
    <w:pPr>
      <w:keepNext/>
      <w:keepLines/>
      <w:numPr>
        <w:numId w:val="2"/>
      </w:numPr>
      <w:pBdr>
        <w:top w:val="single" w:sz="12" w:space="3" w:color="auto"/>
      </w:pBdr>
      <w:overflowPunct w:val="0"/>
      <w:autoSpaceDE w:val="0"/>
      <w:autoSpaceDN w:val="0"/>
      <w:adjustRightInd w:val="0"/>
      <w:spacing w:before="360" w:after="180"/>
      <w:ind w:left="567" w:hanging="567"/>
      <w:jc w:val="both"/>
      <w:textAlignment w:val="baseline"/>
      <w:outlineLvl w:val="0"/>
    </w:pPr>
    <w:rPr>
      <w:rFonts w:ascii="Arial" w:hAnsi="Arial"/>
      <w:sz w:val="36"/>
      <w:lang w:val="en-GB"/>
    </w:rPr>
  </w:style>
  <w:style w:type="paragraph" w:styleId="2">
    <w:name w:val="heading 2"/>
    <w:basedOn w:val="1"/>
    <w:next w:val="a0"/>
    <w:link w:val="2Char"/>
    <w:qFormat/>
    <w:rsid w:val="007B0E72"/>
    <w:pPr>
      <w:numPr>
        <w:ilvl w:val="1"/>
      </w:numPr>
      <w:pBdr>
        <w:top w:val="none" w:sz="0" w:space="0" w:color="auto"/>
      </w:pBdr>
      <w:tabs>
        <w:tab w:val="left" w:pos="567"/>
      </w:tabs>
      <w:ind w:left="567" w:hanging="567"/>
      <w:outlineLvl w:val="1"/>
    </w:pPr>
    <w:rPr>
      <w:rFonts w:eastAsia="Times New Roman"/>
      <w:sz w:val="24"/>
      <w:lang w:val="en-US" w:eastAsia="ja-JP" w:bidi="hi-IN"/>
    </w:rPr>
  </w:style>
  <w:style w:type="paragraph" w:styleId="3">
    <w:name w:val="heading 3"/>
    <w:basedOn w:val="2"/>
    <w:next w:val="a0"/>
    <w:link w:val="3Char"/>
    <w:qFormat/>
    <w:rsid w:val="0061723D"/>
    <w:pPr>
      <w:numPr>
        <w:ilvl w:val="2"/>
      </w:numPr>
      <w:spacing w:before="300"/>
      <w:outlineLvl w:val="2"/>
    </w:pPr>
    <w:rPr>
      <w:sz w:val="22"/>
    </w:rPr>
  </w:style>
  <w:style w:type="paragraph" w:styleId="40">
    <w:name w:val="heading 4"/>
    <w:aliases w:val="h4"/>
    <w:basedOn w:val="3"/>
    <w:next w:val="a0"/>
    <w:link w:val="4Char"/>
    <w:rsid w:val="00A63872"/>
    <w:pPr>
      <w:ind w:left="1418" w:hanging="1418"/>
      <w:outlineLvl w:val="3"/>
    </w:pPr>
    <w:rPr>
      <w:sz w:val="24"/>
    </w:rPr>
  </w:style>
  <w:style w:type="paragraph" w:styleId="5">
    <w:name w:val="heading 5"/>
    <w:basedOn w:val="40"/>
    <w:next w:val="a0"/>
    <w:link w:val="5Char"/>
    <w:rsid w:val="00A63872"/>
    <w:pPr>
      <w:ind w:left="1701" w:hanging="1701"/>
      <w:outlineLvl w:val="4"/>
    </w:pPr>
    <w:rPr>
      <w:sz w:val="22"/>
    </w:rPr>
  </w:style>
  <w:style w:type="paragraph" w:styleId="6">
    <w:name w:val="heading 6"/>
    <w:basedOn w:val="H6"/>
    <w:next w:val="a0"/>
    <w:rsid w:val="00A63872"/>
    <w:pPr>
      <w:outlineLvl w:val="5"/>
    </w:pPr>
  </w:style>
  <w:style w:type="paragraph" w:styleId="7">
    <w:name w:val="heading 7"/>
    <w:basedOn w:val="H6"/>
    <w:next w:val="a0"/>
    <w:rsid w:val="00A63872"/>
    <w:pPr>
      <w:outlineLvl w:val="6"/>
    </w:pPr>
  </w:style>
  <w:style w:type="paragraph" w:styleId="8">
    <w:name w:val="heading 8"/>
    <w:basedOn w:val="1"/>
    <w:next w:val="a0"/>
    <w:rsid w:val="00A63872"/>
    <w:pPr>
      <w:ind w:left="0" w:firstLine="0"/>
      <w:outlineLvl w:val="7"/>
    </w:pPr>
  </w:style>
  <w:style w:type="paragraph" w:styleId="9">
    <w:name w:val="heading 9"/>
    <w:basedOn w:val="8"/>
    <w:next w:val="a0"/>
    <w:rsid w:val="00A6387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1"/>
    <w:semiHidden/>
    <w:rsid w:val="00A63872"/>
    <w:pPr>
      <w:ind w:left="1701" w:hanging="1701"/>
    </w:pPr>
  </w:style>
  <w:style w:type="paragraph" w:styleId="41">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0"/>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A63872"/>
    <w:pPr>
      <w:outlineLvl w:val="9"/>
    </w:pPr>
  </w:style>
  <w:style w:type="paragraph" w:styleId="22">
    <w:name w:val="List Number 2"/>
    <w:basedOn w:val="a4"/>
    <w:rsid w:val="00A63872"/>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A63872"/>
    <w:pPr>
      <w:widowControl w:val="0"/>
      <w:overflowPunct w:val="0"/>
      <w:autoSpaceDE w:val="0"/>
      <w:autoSpaceDN w:val="0"/>
      <w:adjustRightInd w:val="0"/>
      <w:textAlignment w:val="baseline"/>
    </w:pPr>
    <w:rPr>
      <w:rFonts w:ascii="Arial" w:hAnsi="Arial"/>
      <w:b/>
      <w:noProof/>
      <w:sz w:val="18"/>
    </w:rPr>
  </w:style>
  <w:style w:type="character" w:styleId="a6">
    <w:name w:val="footnote reference"/>
    <w:semiHidden/>
    <w:rsid w:val="00A63872"/>
    <w:rPr>
      <w:b/>
      <w:position w:val="6"/>
      <w:sz w:val="16"/>
    </w:rPr>
  </w:style>
  <w:style w:type="paragraph" w:styleId="a7">
    <w:name w:val="footnote text"/>
    <w:basedOn w:val="a0"/>
    <w:semiHidden/>
    <w:rsid w:val="00A63872"/>
    <w:pPr>
      <w:keepLines/>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0"/>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0"/>
    <w:rsid w:val="00A63872"/>
    <w:pPr>
      <w:keepLines/>
      <w:ind w:left="1702" w:hanging="1418"/>
    </w:pPr>
  </w:style>
  <w:style w:type="paragraph" w:customStyle="1" w:styleId="FP">
    <w:name w:val="FP"/>
    <w:basedOn w:val="a0"/>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New York" w:hAnsi="New York"/>
      <w:noProof/>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0"/>
    <w:semiHidden/>
    <w:rsid w:val="00A63872"/>
    <w:pPr>
      <w:ind w:left="1985" w:hanging="1985"/>
    </w:pPr>
  </w:style>
  <w:style w:type="paragraph" w:styleId="70">
    <w:name w:val="toc 7"/>
    <w:basedOn w:val="60"/>
    <w:next w:val="a0"/>
    <w:semiHidden/>
    <w:rsid w:val="00A63872"/>
    <w:pPr>
      <w:ind w:left="2268" w:hanging="2268"/>
    </w:pPr>
  </w:style>
  <w:style w:type="paragraph" w:styleId="23">
    <w:name w:val="List Bullet 2"/>
    <w:basedOn w:val="a8"/>
    <w:rsid w:val="00A63872"/>
    <w:pPr>
      <w:ind w:left="851"/>
    </w:pPr>
  </w:style>
  <w:style w:type="paragraph" w:styleId="31">
    <w:name w:val="List Bullet 3"/>
    <w:basedOn w:val="23"/>
    <w:rsid w:val="00A63872"/>
    <w:pPr>
      <w:ind w:left="1135"/>
    </w:pPr>
  </w:style>
  <w:style w:type="paragraph" w:styleId="a4">
    <w:name w:val="List Number"/>
    <w:basedOn w:val="a9"/>
    <w:rsid w:val="00A63872"/>
  </w:style>
  <w:style w:type="paragraph" w:customStyle="1" w:styleId="EQ">
    <w:name w:val="EQ"/>
    <w:basedOn w:val="a0"/>
    <w:next w:val="a0"/>
    <w:rsid w:val="00A63872"/>
    <w:pPr>
      <w:keepLines/>
      <w:tabs>
        <w:tab w:val="center" w:pos="4536"/>
        <w:tab w:val="right" w:pos="9072"/>
      </w:tabs>
    </w:pPr>
    <w:rPr>
      <w:noProof/>
    </w:rPr>
  </w:style>
  <w:style w:type="paragraph" w:customStyle="1" w:styleId="TH">
    <w:name w:val="TH"/>
    <w:basedOn w:val="a0"/>
    <w:link w:val="THChar"/>
    <w:qFormat/>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New York" w:hAnsi="New York"/>
      <w:noProof/>
      <w:sz w:val="16"/>
    </w:rPr>
  </w:style>
  <w:style w:type="paragraph" w:customStyle="1" w:styleId="TAR">
    <w:name w:val="TAR"/>
    <w:basedOn w:val="TAL"/>
    <w:rsid w:val="00A63872"/>
    <w:pPr>
      <w:jc w:val="right"/>
    </w:pPr>
  </w:style>
  <w:style w:type="paragraph" w:customStyle="1" w:styleId="H6">
    <w:name w:val="H6"/>
    <w:basedOn w:val="5"/>
    <w:next w:val="a0"/>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a0"/>
    <w:link w:val="TALCar"/>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9">
    <w:name w:val="List"/>
    <w:basedOn w:val="a0"/>
    <w:rsid w:val="00A63872"/>
    <w:pPr>
      <w:ind w:left="568" w:hanging="284"/>
    </w:pPr>
  </w:style>
  <w:style w:type="paragraph" w:styleId="a8">
    <w:name w:val="List Bullet"/>
    <w:basedOn w:val="a9"/>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9"/>
    <w:link w:val="B1Char1"/>
    <w:qFormat/>
    <w:rsid w:val="00A63872"/>
  </w:style>
  <w:style w:type="paragraph" w:customStyle="1" w:styleId="B2">
    <w:name w:val="B2"/>
    <w:basedOn w:val="24"/>
    <w:link w:val="B2Char"/>
    <w:qFormat/>
    <w:rsid w:val="00A63872"/>
  </w:style>
  <w:style w:type="paragraph" w:customStyle="1" w:styleId="B3">
    <w:name w:val="B3"/>
    <w:basedOn w:val="32"/>
    <w:rsid w:val="00A63872"/>
  </w:style>
  <w:style w:type="paragraph" w:customStyle="1" w:styleId="B4">
    <w:name w:val="B4"/>
    <w:basedOn w:val="42"/>
    <w:rsid w:val="00A63872"/>
  </w:style>
  <w:style w:type="paragraph" w:customStyle="1" w:styleId="B5">
    <w:name w:val="B5"/>
    <w:basedOn w:val="51"/>
    <w:rsid w:val="00A63872"/>
  </w:style>
  <w:style w:type="paragraph" w:styleId="aa">
    <w:name w:val="footer"/>
    <w:basedOn w:val="a5"/>
    <w:link w:val="Char1"/>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0"/>
    <w:rPr>
      <w:i/>
    </w:rPr>
  </w:style>
  <w:style w:type="paragraph" w:styleId="ab">
    <w:name w:val="Document Map"/>
    <w:basedOn w:val="a0"/>
    <w:semiHidden/>
    <w:pPr>
      <w:shd w:val="clear" w:color="auto" w:fill="000080"/>
    </w:pPr>
    <w:rPr>
      <w:rFonts w:ascii="New York" w:hAnsi="New York"/>
    </w:rPr>
  </w:style>
  <w:style w:type="paragraph" w:customStyle="1" w:styleId="Bulletedo1">
    <w:name w:val="Bulleted o 1"/>
    <w:basedOn w:val="a0"/>
    <w:qFormat/>
    <w:pPr>
      <w:numPr>
        <w:numId w:val="1"/>
      </w:numPr>
    </w:pPr>
  </w:style>
  <w:style w:type="paragraph" w:customStyle="1" w:styleId="text">
    <w:name w:val="text"/>
    <w:basedOn w:val="a0"/>
    <w:pPr>
      <w:spacing w:after="240"/>
      <w:jc w:val="both"/>
    </w:pPr>
    <w:rPr>
      <w:rFonts w:eastAsia="SimSun"/>
    </w:rPr>
  </w:style>
  <w:style w:type="paragraph" w:customStyle="1" w:styleId="Equation">
    <w:name w:val="Equation"/>
    <w:basedOn w:val="a0"/>
    <w:next w:val="a0"/>
    <w:pPr>
      <w:tabs>
        <w:tab w:val="right" w:pos="10206"/>
      </w:tabs>
      <w:spacing w:after="220"/>
      <w:ind w:left="1298"/>
    </w:pPr>
    <w:rPr>
      <w:rFonts w:ascii="Arial" w:hAnsi="Arial"/>
      <w:sz w:val="22"/>
    </w:rPr>
  </w:style>
  <w:style w:type="paragraph" w:customStyle="1" w:styleId="00BodyText">
    <w:name w:val="00 BodyText"/>
    <w:basedOn w:val="a0"/>
    <w:pPr>
      <w:spacing w:after="220"/>
    </w:pPr>
    <w:rPr>
      <w:rFonts w:ascii="Arial" w:hAnsi="Arial"/>
      <w:sz w:val="22"/>
    </w:rPr>
  </w:style>
  <w:style w:type="paragraph" w:customStyle="1" w:styleId="11BodyText">
    <w:name w:val="11 BodyText"/>
    <w:basedOn w:val="a0"/>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c">
    <w:name w:val="caption"/>
    <w:aliases w:val="cap,cap Char,Caption Char1 Char,cap Char Char1,Caption Char Char1 Char,cap Char2,3GPP Caption Table,cap1,cap2,cap11,Légende-figure,Légende-figure Char,Beschrifubg,Beschriftung Char,label,cap11 Char Char Char,captions,Beschriftung Char Char,Ca,C"/>
    <w:basedOn w:val="a0"/>
    <w:next w:val="a0"/>
    <w:link w:val="Char2"/>
    <w:qFormat/>
    <w:rsid w:val="00913F9C"/>
    <w:pPr>
      <w:keepNext/>
      <w:spacing w:before="60" w:after="60"/>
    </w:pPr>
    <w:rPr>
      <w:b/>
      <w:bCs/>
      <w:sz w:val="16"/>
    </w:rPr>
  </w:style>
  <w:style w:type="paragraph" w:customStyle="1" w:styleId="bodyCharCharChar">
    <w:name w:val="body Char Char Char"/>
    <w:basedOn w:val="a0"/>
    <w:pPr>
      <w:tabs>
        <w:tab w:val="left" w:pos="2160"/>
      </w:tabs>
      <w:spacing w:before="120" w:after="120" w:line="280" w:lineRule="atLeast"/>
      <w:jc w:val="both"/>
    </w:pPr>
    <w:rPr>
      <w:rFonts w:ascii="v4.2.0" w:hAnsi="v4.2.0"/>
    </w:rPr>
  </w:style>
  <w:style w:type="paragraph" w:styleId="ad">
    <w:name w:val="Body Text"/>
    <w:aliases w:val="bt"/>
    <w:basedOn w:val="a0"/>
    <w:pPr>
      <w:spacing w:after="120"/>
      <w:jc w:val="both"/>
    </w:pPr>
    <w:rPr>
      <w:rFonts w:ascii="New York" w:hAnsi="New York"/>
    </w:rPr>
  </w:style>
  <w:style w:type="paragraph" w:styleId="25">
    <w:name w:val="Body Text 2"/>
    <w:basedOn w:val="a0"/>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0"/>
    <w:pPr>
      <w:tabs>
        <w:tab w:val="left" w:pos="2160"/>
      </w:tabs>
      <w:spacing w:before="120" w:after="120" w:line="280" w:lineRule="atLeast"/>
      <w:jc w:val="both"/>
    </w:pPr>
    <w:rPr>
      <w:rFonts w:ascii="v4.2.0" w:hAnsi="v4.2.0"/>
    </w:rPr>
  </w:style>
  <w:style w:type="table" w:styleId="ae">
    <w:name w:val="Table Grid"/>
    <w:basedOn w:val="a2"/>
    <w:uiPriority w:val="59"/>
    <w:qFormat/>
    <w:rsid w:val="00272FEB"/>
    <w:pPr>
      <w:spacing w:before="120" w:line="280" w:lineRule="atLeast"/>
      <w:jc w:val="both"/>
    </w:pPr>
    <w:rPr>
      <w:rFonts w:ascii="v4.2.0" w:hAnsi="v4.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rsid w:val="00505E39"/>
  </w:style>
  <w:style w:type="character" w:styleId="af0">
    <w:name w:val="annotation reference"/>
    <w:uiPriority w:val="99"/>
    <w:qFormat/>
    <w:rsid w:val="00A10B48"/>
    <w:rPr>
      <w:sz w:val="16"/>
      <w:szCs w:val="16"/>
    </w:rPr>
  </w:style>
  <w:style w:type="paragraph" w:styleId="af1">
    <w:name w:val="annotation text"/>
    <w:basedOn w:val="a0"/>
    <w:link w:val="Char3"/>
    <w:uiPriority w:val="99"/>
    <w:rsid w:val="00A10B48"/>
    <w:rPr>
      <w:lang w:eastAsia="x-none"/>
    </w:rPr>
  </w:style>
  <w:style w:type="paragraph" w:styleId="af2">
    <w:name w:val="annotation subject"/>
    <w:basedOn w:val="af1"/>
    <w:next w:val="af1"/>
    <w:semiHidden/>
    <w:rsid w:val="00A10B48"/>
    <w:rPr>
      <w:b/>
      <w:bCs/>
    </w:rPr>
  </w:style>
  <w:style w:type="paragraph" w:styleId="af3">
    <w:name w:val="Balloon Text"/>
    <w:basedOn w:val="a0"/>
    <w:link w:val="Char4"/>
    <w:uiPriority w:val="99"/>
    <w:semiHidden/>
    <w:rsid w:val="00A10B48"/>
    <w:rPr>
      <w:rFonts w:ascii="New York" w:hAnsi="New York" w:cs="New York"/>
      <w:sz w:val="16"/>
      <w:szCs w:val="16"/>
    </w:rPr>
  </w:style>
  <w:style w:type="paragraph" w:customStyle="1" w:styleId="CRCoverPage">
    <w:name w:val="CR Cover Page"/>
    <w:rsid w:val="00F6433C"/>
    <w:pPr>
      <w:spacing w:after="120"/>
    </w:pPr>
    <w:rPr>
      <w:rFonts w:ascii="Arial" w:eastAsia="MS Mincho" w:hAnsi="Arial"/>
      <w:lang w:val="en-GB"/>
    </w:rPr>
  </w:style>
  <w:style w:type="character" w:customStyle="1" w:styleId="1Char">
    <w:name w:val="제목 1 Char"/>
    <w:link w:val="1"/>
    <w:rsid w:val="009C2D12"/>
    <w:rPr>
      <w:rFonts w:ascii="Arial" w:hAnsi="Arial"/>
      <w:sz w:val="36"/>
      <w:lang w:val="en-GB"/>
    </w:rPr>
  </w:style>
  <w:style w:type="character" w:customStyle="1" w:styleId="2Char">
    <w:name w:val="제목 2 Char"/>
    <w:link w:val="2"/>
    <w:rsid w:val="007B0E72"/>
    <w:rPr>
      <w:rFonts w:ascii="Arial" w:eastAsia="Times New Roman" w:hAnsi="Arial"/>
      <w:sz w:val="24"/>
      <w:lang w:eastAsia="ja-JP" w:bidi="hi-IN"/>
    </w:rPr>
  </w:style>
  <w:style w:type="character" w:customStyle="1" w:styleId="3Char">
    <w:name w:val="제목 3 Char"/>
    <w:link w:val="3"/>
    <w:rsid w:val="0061723D"/>
    <w:rPr>
      <w:rFonts w:ascii="Arial" w:eastAsia="Times New Roman" w:hAnsi="Arial"/>
      <w:sz w:val="22"/>
      <w:lang w:eastAsia="ja-JP" w:bidi="hi-IN"/>
    </w:rPr>
  </w:style>
  <w:style w:type="character" w:customStyle="1" w:styleId="4Char">
    <w:name w:val="제목 4 Char"/>
    <w:aliases w:val="h4 Char"/>
    <w:link w:val="40"/>
    <w:rsid w:val="00184F51"/>
    <w:rPr>
      <w:rFonts w:ascii="Arial" w:eastAsia="Times New Roman" w:hAnsi="Arial"/>
      <w:sz w:val="24"/>
      <w:lang w:eastAsia="ja-JP" w:bidi="hi-IN"/>
    </w:rPr>
  </w:style>
  <w:style w:type="character" w:customStyle="1" w:styleId="5Char">
    <w:name w:val="제목 5 Char"/>
    <w:link w:val="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a0"/>
    <w:link w:val="Char5"/>
    <w:uiPriority w:val="34"/>
    <w:qFormat/>
    <w:rsid w:val="00E57B43"/>
    <w:pPr>
      <w:numPr>
        <w:numId w:val="7"/>
      </w:numPr>
    </w:pPr>
    <w:rPr>
      <w:rFonts w:eastAsia="Calibri"/>
      <w:lang w:eastAsia="ja-JP" w:bidi="hi-IN"/>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0"/>
    <w:next w:val="a0"/>
    <w:link w:val="Char6"/>
    <w:rsid w:val="005D609E"/>
    <w:pPr>
      <w:spacing w:after="60"/>
      <w:jc w:val="center"/>
      <w:outlineLvl w:val="1"/>
    </w:pPr>
    <w:rPr>
      <w:rFonts w:ascii="MS Mincho" w:hAnsi="MS Mincho"/>
      <w:lang w:eastAsia="x-none"/>
    </w:rPr>
  </w:style>
  <w:style w:type="character" w:customStyle="1" w:styleId="Char6">
    <w:name w:val="부제 Char"/>
    <w:link w:val="af4"/>
    <w:rsid w:val="005D609E"/>
    <w:rPr>
      <w:rFonts w:ascii="MS Mincho" w:eastAsia="Times New Roman" w:hAnsi="MS Mincho" w:cs="Times New Roman"/>
      <w:sz w:val="24"/>
      <w:szCs w:val="24"/>
      <w:lang w:val="en-GB"/>
    </w:rPr>
  </w:style>
  <w:style w:type="paragraph" w:styleId="af5">
    <w:name w:val="Revision"/>
    <w:hidden/>
    <w:uiPriority w:val="99"/>
    <w:semiHidden/>
    <w:rsid w:val="00F1403E"/>
    <w:rPr>
      <w:rFonts w:ascii="Times New Roman" w:hAnsi="Times New Roman"/>
      <w:lang w:val="en-GB"/>
    </w:rPr>
  </w:style>
  <w:style w:type="paragraph" w:styleId="af6">
    <w:name w:val="Normal (Web)"/>
    <w:basedOn w:val="a0"/>
    <w:uiPriority w:val="99"/>
    <w:unhideWhenUsed/>
    <w:rsid w:val="00D80C93"/>
    <w:pPr>
      <w:spacing w:before="100" w:beforeAutospacing="1" w:after="100" w:afterAutospacing="1"/>
    </w:pPr>
  </w:style>
  <w:style w:type="character" w:customStyle="1" w:styleId="Char3">
    <w:name w:val="메모 텍스트 Char"/>
    <w:link w:val="af1"/>
    <w:uiPriority w:val="99"/>
    <w:rsid w:val="00552FF4"/>
    <w:rPr>
      <w:rFonts w:ascii="Times New Roman" w:hAnsi="Times New Roman"/>
      <w:lang w:val="en-GB"/>
    </w:rPr>
  </w:style>
  <w:style w:type="character" w:styleId="af7">
    <w:name w:val="Placeholder Text"/>
    <w:uiPriority w:val="99"/>
    <w:semiHidden/>
    <w:rsid w:val="006601F9"/>
    <w:rPr>
      <w:color w:val="808080"/>
    </w:rPr>
  </w:style>
  <w:style w:type="character" w:styleId="af8">
    <w:name w:val="Hyperlink"/>
    <w:uiPriority w:val="99"/>
    <w:rsid w:val="00EE0E09"/>
    <w:rPr>
      <w:color w:val="0000FF"/>
      <w:u w:val="single"/>
    </w:rPr>
  </w:style>
  <w:style w:type="character" w:styleId="af9">
    <w:name w:val="FollowedHyperlink"/>
    <w:rsid w:val="00EE0E09"/>
    <w:rPr>
      <w:color w:val="800080"/>
      <w:u w:val="single"/>
    </w:rPr>
  </w:style>
  <w:style w:type="table" w:styleId="-6">
    <w:name w:val="Dark List Accent 6"/>
    <w:basedOn w:val="a2"/>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1">
    <w:name w:val="바닥글 Char"/>
    <w:link w:val="aa"/>
    <w:uiPriority w:val="99"/>
    <w:rsid w:val="0002790C"/>
    <w:rPr>
      <w:rFonts w:ascii="Arial" w:hAnsi="Arial"/>
      <w:b/>
      <w:i/>
      <w:noProof/>
      <w:sz w:val="18"/>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locked/>
    <w:rsid w:val="00FE2955"/>
    <w:rPr>
      <w:rFonts w:ascii="Arial" w:hAnsi="Arial"/>
      <w:b/>
      <w:noProof/>
      <w:sz w:val="18"/>
      <w:lang w:val="en-US" w:eastAsia="en-US" w:bidi="ar-SA"/>
    </w:rPr>
  </w:style>
  <w:style w:type="character" w:customStyle="1" w:styleId="Char2">
    <w:name w:val="캡션 Char"/>
    <w:aliases w:val="cap Char1,cap Char Char,Caption Char1 Char Char,cap Char Char1 Char,Caption Char Char1 Char Char,cap Char2 Char,3GPP Caption Table Char,cap1 Char,cap2 Char,cap11 Char,Légende-figure Char1,Légende-figure Char Char,Beschrifubg Char,label Char"/>
    <w:link w:val="ac"/>
    <w:locked/>
    <w:rsid w:val="00913F9C"/>
    <w:rPr>
      <w:rFonts w:ascii="Times New Roman" w:hAnsi="Times New Roman"/>
      <w:b/>
      <w:bCs/>
      <w:sz w:val="16"/>
      <w:lang w:val="en-GB" w:eastAsia="en-US"/>
    </w:rPr>
  </w:style>
  <w:style w:type="character" w:styleId="afa">
    <w:name w:val="Emphasis"/>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4">
    <w:name w:val="List Number 4"/>
    <w:basedOn w:val="a0"/>
    <w:rsid w:val="00564F02"/>
    <w:pPr>
      <w:numPr>
        <w:numId w:val="3"/>
      </w:numPr>
      <w:tabs>
        <w:tab w:val="num" w:pos="1209"/>
      </w:tabs>
      <w:spacing w:after="180"/>
      <w:ind w:left="1209"/>
    </w:pPr>
    <w:rPr>
      <w:rFonts w:eastAsia="MS Mincho"/>
      <w:lang w:eastAsia="en-GB"/>
    </w:rPr>
  </w:style>
  <w:style w:type="character" w:customStyle="1" w:styleId="Char5">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
    <w:uiPriority w:val="34"/>
    <w:qFormat/>
    <w:locked/>
    <w:rsid w:val="00E57B43"/>
    <w:rPr>
      <w:rFonts w:ascii="Times New Roman" w:eastAsia="Calibri" w:hAnsi="Times New Roman"/>
      <w:sz w:val="24"/>
      <w:szCs w:val="24"/>
      <w:lang w:eastAsia="ja-JP" w:bidi="hi-IN"/>
    </w:rPr>
  </w:style>
  <w:style w:type="paragraph" w:styleId="afb">
    <w:name w:val="Plain Text"/>
    <w:basedOn w:val="a0"/>
    <w:link w:val="Char7"/>
    <w:uiPriority w:val="99"/>
    <w:unhideWhenUsed/>
    <w:rsid w:val="002E4C0E"/>
    <w:rPr>
      <w:rFonts w:ascii="Vrinda" w:eastAsia="Calibri" w:hAnsi="Vrinda"/>
      <w:sz w:val="21"/>
      <w:szCs w:val="21"/>
      <w:lang w:val="x-none" w:eastAsia="x-none"/>
    </w:rPr>
  </w:style>
  <w:style w:type="character" w:customStyle="1" w:styleId="PlainTextChar">
    <w:name w:val="Plain Text Char"/>
    <w:rsid w:val="002E4C0E"/>
    <w:rPr>
      <w:rFonts w:ascii="New York" w:hAnsi="New York" w:cs="New York"/>
      <w:lang w:val="en-GB"/>
    </w:rPr>
  </w:style>
  <w:style w:type="character" w:customStyle="1" w:styleId="Char7">
    <w:name w:val="글자만 Char"/>
    <w:link w:val="afb"/>
    <w:uiPriority w:val="99"/>
    <w:rsid w:val="002E4C0E"/>
    <w:rPr>
      <w:rFonts w:ascii="Vrinda" w:eastAsia="Calibri" w:hAnsi="Vrinda"/>
      <w:sz w:val="21"/>
      <w:szCs w:val="21"/>
      <w:lang w:val="x-none" w:eastAsia="x-none"/>
    </w:rPr>
  </w:style>
  <w:style w:type="table" w:styleId="12">
    <w:name w:val="Table Grid 1"/>
    <w:basedOn w:val="a2"/>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c">
    <w:name w:val="Table Elegant"/>
    <w:basedOn w:val="a2"/>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633780"/>
    <w:rPr>
      <w:rFonts w:ascii="Calibri" w:hAnsi="Calibri" w:cs="Calibri" w:hint="default"/>
      <w:b w:val="0"/>
      <w:bCs w:val="0"/>
      <w:i w:val="0"/>
      <w:iCs w:val="0"/>
      <w:color w:val="000000"/>
      <w:sz w:val="18"/>
      <w:szCs w:val="18"/>
    </w:rPr>
  </w:style>
  <w:style w:type="character" w:customStyle="1" w:styleId="TANChar">
    <w:name w:val="TAN Char"/>
    <w:link w:val="TAN"/>
    <w:rsid w:val="0025304C"/>
    <w:rPr>
      <w:rFonts w:ascii="Arial" w:hAnsi="Arial"/>
      <w:sz w:val="18"/>
      <w:lang w:val="en-GB" w:eastAsia="en-US"/>
    </w:rPr>
  </w:style>
  <w:style w:type="paragraph" w:customStyle="1" w:styleId="CharCharCharCharChar">
    <w:name w:val="Char Char Char Char Char"/>
    <w:semiHidden/>
    <w:rsid w:val="0025304C"/>
    <w:pPr>
      <w:keepNext/>
      <w:numPr>
        <w:numId w:val="6"/>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
    <w:link w:val="NumberedListChar"/>
    <w:qFormat/>
    <w:rsid w:val="00E11FDD"/>
    <w:pPr>
      <w:tabs>
        <w:tab w:val="left" w:pos="720"/>
      </w:tabs>
      <w:overflowPunct w:val="0"/>
      <w:autoSpaceDE w:val="0"/>
      <w:autoSpaceDN w:val="0"/>
      <w:adjustRightInd w:val="0"/>
      <w:spacing w:after="180"/>
      <w:ind w:left="0"/>
      <w:textAlignment w:val="baseline"/>
    </w:pPr>
    <w:rPr>
      <w:rFonts w:eastAsia="SimSun"/>
      <w:sz w:val="20"/>
      <w:szCs w:val="20"/>
      <w:lang w:val="en-GB" w:eastAsia="en-GB"/>
    </w:rPr>
  </w:style>
  <w:style w:type="character" w:customStyle="1" w:styleId="NumberedListChar">
    <w:name w:val="Numbered List Char"/>
    <w:link w:val="NumberedList"/>
    <w:rsid w:val="00E11FDD"/>
    <w:rPr>
      <w:rFonts w:ascii="Times New Roman" w:hAnsi="Times New Roman"/>
      <w:lang w:val="en-GB" w:eastAsia="en-GB" w:bidi="hi-IN"/>
    </w:rPr>
  </w:style>
  <w:style w:type="character" w:customStyle="1" w:styleId="fontstyle21">
    <w:name w:val="fontstyle21"/>
    <w:rsid w:val="00263A20"/>
    <w:rPr>
      <w:rFonts w:ascii="SimSun" w:hAnsi="SimSun" w:hint="default"/>
      <w:b w:val="0"/>
      <w:bCs w:val="0"/>
      <w:i/>
      <w:iCs/>
      <w:color w:val="000000"/>
      <w:sz w:val="20"/>
      <w:szCs w:val="20"/>
    </w:rPr>
  </w:style>
  <w:style w:type="character" w:customStyle="1" w:styleId="UnresolvedMention1">
    <w:name w:val="Unresolved Mention1"/>
    <w:basedOn w:val="a1"/>
    <w:uiPriority w:val="99"/>
    <w:semiHidden/>
    <w:unhideWhenUsed/>
    <w:rsid w:val="0004781D"/>
    <w:rPr>
      <w:color w:val="808080"/>
      <w:shd w:val="clear" w:color="auto" w:fill="E6E6E6"/>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uiPriority w:val="99"/>
    <w:semiHidden/>
    <w:rsid w:val="00AE2057"/>
    <w:rPr>
      <w:rFonts w:ascii="Times New Roman" w:hAnsi="Times New Roman"/>
      <w:lang w:val="en-GB"/>
    </w:rPr>
  </w:style>
  <w:style w:type="character" w:customStyle="1" w:styleId="Char4">
    <w:name w:val="풍선 도움말 텍스트 Char"/>
    <w:basedOn w:val="a1"/>
    <w:link w:val="af3"/>
    <w:uiPriority w:val="99"/>
    <w:semiHidden/>
    <w:rsid w:val="005F0324"/>
    <w:rPr>
      <w:rFonts w:ascii="New York" w:eastAsia="Times New Roman" w:hAnsi="New York" w:cs="New York"/>
      <w:sz w:val="16"/>
      <w:szCs w:val="16"/>
    </w:rPr>
  </w:style>
  <w:style w:type="paragraph" w:customStyle="1" w:styleId="Comments">
    <w:name w:val="Comments"/>
    <w:basedOn w:val="a0"/>
    <w:link w:val="CommentsChar"/>
    <w:qFormat/>
    <w:rsid w:val="005F0324"/>
    <w:pPr>
      <w:spacing w:before="40"/>
    </w:pPr>
    <w:rPr>
      <w:rFonts w:ascii="Arial" w:eastAsia="MS Mincho" w:hAnsi="Arial"/>
      <w:i/>
      <w:sz w:val="18"/>
      <w:lang w:val="en-GB" w:eastAsia="en-GB"/>
    </w:rPr>
  </w:style>
  <w:style w:type="character" w:customStyle="1" w:styleId="CommentsChar">
    <w:name w:val="Comments Char"/>
    <w:link w:val="Comments"/>
    <w:rsid w:val="005F0324"/>
    <w:rPr>
      <w:rFonts w:ascii="Arial" w:eastAsia="MS Mincho" w:hAnsi="Arial"/>
      <w:i/>
      <w:sz w:val="18"/>
      <w:szCs w:val="24"/>
      <w:lang w:val="en-GB" w:eastAsia="en-GB"/>
    </w:rPr>
  </w:style>
  <w:style w:type="character" w:customStyle="1" w:styleId="apple-converted-space">
    <w:name w:val="apple-converted-space"/>
    <w:basedOn w:val="a1"/>
    <w:rsid w:val="000E47BC"/>
  </w:style>
  <w:style w:type="paragraph" w:customStyle="1" w:styleId="References">
    <w:name w:val="References"/>
    <w:basedOn w:val="a0"/>
    <w:rsid w:val="00C03E72"/>
    <w:pPr>
      <w:numPr>
        <w:ilvl w:val="2"/>
        <w:numId w:val="9"/>
      </w:numPr>
      <w:tabs>
        <w:tab w:val="clear" w:pos="2481"/>
      </w:tabs>
      <w:ind w:left="1260" w:hanging="420"/>
    </w:pPr>
    <w:rPr>
      <w:sz w:val="20"/>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240BC6"/>
    <w:rPr>
      <w:rFonts w:ascii="Times New Roman" w:eastAsia="Times New Roman" w:hAnsi="Times New Roman" w:cs="Times New Roman"/>
      <w:sz w:val="24"/>
      <w:szCs w:val="24"/>
    </w:rPr>
  </w:style>
  <w:style w:type="character" w:customStyle="1" w:styleId="B1Char1">
    <w:name w:val="B1 Char1"/>
    <w:link w:val="B1"/>
    <w:qFormat/>
    <w:rsid w:val="0025790F"/>
    <w:rPr>
      <w:rFonts w:ascii="Times New Roman" w:eastAsia="Times New Roman" w:hAnsi="Times New Roman"/>
      <w:sz w:val="24"/>
      <w:szCs w:val="24"/>
    </w:rPr>
  </w:style>
  <w:style w:type="character" w:customStyle="1" w:styleId="B2Char">
    <w:name w:val="B2 Char"/>
    <w:link w:val="B2"/>
    <w:qFormat/>
    <w:locked/>
    <w:rsid w:val="0025790F"/>
    <w:rPr>
      <w:rFonts w:ascii="Times New Roman" w:eastAsia="Times New Roman" w:hAnsi="Times New Roman"/>
      <w:sz w:val="24"/>
      <w:szCs w:val="24"/>
    </w:rPr>
  </w:style>
  <w:style w:type="paragraph" w:styleId="afd">
    <w:name w:val="endnote text"/>
    <w:basedOn w:val="a0"/>
    <w:link w:val="Char8"/>
    <w:rsid w:val="00531B7F"/>
    <w:rPr>
      <w:sz w:val="20"/>
      <w:szCs w:val="20"/>
    </w:rPr>
  </w:style>
  <w:style w:type="character" w:customStyle="1" w:styleId="Char8">
    <w:name w:val="미주 텍스트 Char"/>
    <w:basedOn w:val="a1"/>
    <w:link w:val="afd"/>
    <w:rsid w:val="00531B7F"/>
    <w:rPr>
      <w:rFonts w:ascii="Times New Roman" w:eastAsia="Times New Roman" w:hAnsi="Times New Roman"/>
      <w:lang w:eastAsia="zh-CN"/>
    </w:rPr>
  </w:style>
  <w:style w:type="character" w:styleId="afe">
    <w:name w:val="endnote reference"/>
    <w:basedOn w:val="a1"/>
    <w:rsid w:val="00531B7F"/>
    <w:rPr>
      <w:vertAlign w:val="superscript"/>
    </w:rPr>
  </w:style>
  <w:style w:type="character" w:customStyle="1" w:styleId="UnresolvedMention2">
    <w:name w:val="Unresolved Mention2"/>
    <w:basedOn w:val="a1"/>
    <w:uiPriority w:val="99"/>
    <w:semiHidden/>
    <w:unhideWhenUsed/>
    <w:rsid w:val="00531B7F"/>
    <w:rPr>
      <w:color w:val="605E5C"/>
      <w:shd w:val="clear" w:color="auto" w:fill="E1DFDD"/>
    </w:rPr>
  </w:style>
  <w:style w:type="paragraph" w:customStyle="1" w:styleId="bullet1">
    <w:name w:val="bullet1"/>
    <w:basedOn w:val="text"/>
    <w:qFormat/>
    <w:rsid w:val="00D512CE"/>
    <w:pPr>
      <w:numPr>
        <w:numId w:val="35"/>
      </w:numPr>
      <w:spacing w:after="0"/>
      <w:jc w:val="left"/>
    </w:pPr>
    <w:rPr>
      <w:rFonts w:ascii="Calibri" w:hAnsi="Calibri"/>
      <w:kern w:val="2"/>
      <w:lang w:val="en-GB"/>
    </w:rPr>
  </w:style>
  <w:style w:type="paragraph" w:customStyle="1" w:styleId="bullet2">
    <w:name w:val="bullet2"/>
    <w:basedOn w:val="text"/>
    <w:link w:val="bullet2Char"/>
    <w:qFormat/>
    <w:rsid w:val="00D512CE"/>
    <w:pPr>
      <w:numPr>
        <w:ilvl w:val="1"/>
        <w:numId w:val="35"/>
      </w:numPr>
      <w:spacing w:after="0"/>
      <w:jc w:val="left"/>
    </w:pPr>
    <w:rPr>
      <w:rFonts w:ascii="Times" w:hAnsi="Times"/>
      <w:kern w:val="2"/>
      <w:lang w:val="en-GB"/>
    </w:rPr>
  </w:style>
  <w:style w:type="paragraph" w:customStyle="1" w:styleId="bullet3">
    <w:name w:val="bullet3"/>
    <w:basedOn w:val="text"/>
    <w:qFormat/>
    <w:rsid w:val="00D512CE"/>
    <w:pPr>
      <w:numPr>
        <w:ilvl w:val="2"/>
        <w:numId w:val="35"/>
      </w:numPr>
      <w:tabs>
        <w:tab w:val="num" w:pos="360"/>
      </w:tabs>
      <w:spacing w:after="0"/>
      <w:ind w:left="0" w:firstLine="0"/>
      <w:jc w:val="left"/>
    </w:pPr>
    <w:rPr>
      <w:rFonts w:ascii="Times" w:eastAsia="바탕" w:hAnsi="Times"/>
      <w:sz w:val="20"/>
      <w:lang w:val="en-GB" w:eastAsia="en-US"/>
    </w:rPr>
  </w:style>
  <w:style w:type="character" w:customStyle="1" w:styleId="bullet2Char">
    <w:name w:val="bullet2 Char"/>
    <w:link w:val="bullet2"/>
    <w:rsid w:val="00D512CE"/>
    <w:rPr>
      <w:rFonts w:ascii="Times" w:hAnsi="Times"/>
      <w:kern w:val="2"/>
      <w:sz w:val="24"/>
      <w:szCs w:val="24"/>
      <w:lang w:val="en-GB" w:eastAsia="zh-CN"/>
    </w:rPr>
  </w:style>
  <w:style w:type="paragraph" w:customStyle="1" w:styleId="bullet4">
    <w:name w:val="bullet4"/>
    <w:basedOn w:val="text"/>
    <w:qFormat/>
    <w:rsid w:val="00D512CE"/>
    <w:pPr>
      <w:numPr>
        <w:ilvl w:val="3"/>
        <w:numId w:val="35"/>
      </w:numPr>
      <w:tabs>
        <w:tab w:val="num" w:pos="360"/>
      </w:tabs>
      <w:spacing w:after="0"/>
      <w:ind w:left="0" w:firstLine="0"/>
      <w:jc w:val="left"/>
    </w:pPr>
    <w:rPr>
      <w:rFonts w:ascii="Times" w:eastAsia="바탕" w:hAnsi="Times"/>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53">
      <w:bodyDiv w:val="1"/>
      <w:marLeft w:val="0"/>
      <w:marRight w:val="0"/>
      <w:marTop w:val="0"/>
      <w:marBottom w:val="0"/>
      <w:divBdr>
        <w:top w:val="none" w:sz="0" w:space="0" w:color="auto"/>
        <w:left w:val="none" w:sz="0" w:space="0" w:color="auto"/>
        <w:bottom w:val="none" w:sz="0" w:space="0" w:color="auto"/>
        <w:right w:val="none" w:sz="0" w:space="0" w:color="auto"/>
      </w:divBdr>
    </w:div>
    <w:div w:id="9533645">
      <w:bodyDiv w:val="1"/>
      <w:marLeft w:val="0"/>
      <w:marRight w:val="0"/>
      <w:marTop w:val="0"/>
      <w:marBottom w:val="0"/>
      <w:divBdr>
        <w:top w:val="none" w:sz="0" w:space="0" w:color="auto"/>
        <w:left w:val="none" w:sz="0" w:space="0" w:color="auto"/>
        <w:bottom w:val="none" w:sz="0" w:space="0" w:color="auto"/>
        <w:right w:val="none" w:sz="0" w:space="0" w:color="auto"/>
      </w:divBdr>
      <w:divsChild>
        <w:div w:id="1303383051">
          <w:marLeft w:val="0"/>
          <w:marRight w:val="0"/>
          <w:marTop w:val="0"/>
          <w:marBottom w:val="0"/>
          <w:divBdr>
            <w:top w:val="none" w:sz="0" w:space="0" w:color="auto"/>
            <w:left w:val="none" w:sz="0" w:space="0" w:color="auto"/>
            <w:bottom w:val="none" w:sz="0" w:space="0" w:color="auto"/>
            <w:right w:val="none" w:sz="0" w:space="0" w:color="auto"/>
          </w:divBdr>
        </w:div>
        <w:div w:id="221671750">
          <w:marLeft w:val="0"/>
          <w:marRight w:val="0"/>
          <w:marTop w:val="0"/>
          <w:marBottom w:val="0"/>
          <w:divBdr>
            <w:top w:val="none" w:sz="0" w:space="0" w:color="auto"/>
            <w:left w:val="none" w:sz="0" w:space="0" w:color="auto"/>
            <w:bottom w:val="none" w:sz="0" w:space="0" w:color="auto"/>
            <w:right w:val="none" w:sz="0" w:space="0" w:color="auto"/>
          </w:divBdr>
        </w:div>
        <w:div w:id="1060400013">
          <w:marLeft w:val="0"/>
          <w:marRight w:val="0"/>
          <w:marTop w:val="0"/>
          <w:marBottom w:val="0"/>
          <w:divBdr>
            <w:top w:val="none" w:sz="0" w:space="0" w:color="auto"/>
            <w:left w:val="none" w:sz="0" w:space="0" w:color="auto"/>
            <w:bottom w:val="none" w:sz="0" w:space="0" w:color="auto"/>
            <w:right w:val="none" w:sz="0" w:space="0" w:color="auto"/>
          </w:divBdr>
        </w:div>
        <w:div w:id="619457993">
          <w:marLeft w:val="0"/>
          <w:marRight w:val="0"/>
          <w:marTop w:val="0"/>
          <w:marBottom w:val="0"/>
          <w:divBdr>
            <w:top w:val="none" w:sz="0" w:space="0" w:color="auto"/>
            <w:left w:val="none" w:sz="0" w:space="0" w:color="auto"/>
            <w:bottom w:val="none" w:sz="0" w:space="0" w:color="auto"/>
            <w:right w:val="none" w:sz="0" w:space="0" w:color="auto"/>
          </w:divBdr>
        </w:div>
        <w:div w:id="27341561">
          <w:marLeft w:val="0"/>
          <w:marRight w:val="0"/>
          <w:marTop w:val="0"/>
          <w:marBottom w:val="0"/>
          <w:divBdr>
            <w:top w:val="none" w:sz="0" w:space="0" w:color="auto"/>
            <w:left w:val="none" w:sz="0" w:space="0" w:color="auto"/>
            <w:bottom w:val="none" w:sz="0" w:space="0" w:color="auto"/>
            <w:right w:val="none" w:sz="0" w:space="0" w:color="auto"/>
          </w:divBdr>
        </w:div>
        <w:div w:id="436563316">
          <w:marLeft w:val="0"/>
          <w:marRight w:val="0"/>
          <w:marTop w:val="0"/>
          <w:marBottom w:val="0"/>
          <w:divBdr>
            <w:top w:val="none" w:sz="0" w:space="0" w:color="auto"/>
            <w:left w:val="none" w:sz="0" w:space="0" w:color="auto"/>
            <w:bottom w:val="none" w:sz="0" w:space="0" w:color="auto"/>
            <w:right w:val="none" w:sz="0" w:space="0" w:color="auto"/>
          </w:divBdr>
        </w:div>
        <w:div w:id="721173726">
          <w:marLeft w:val="0"/>
          <w:marRight w:val="0"/>
          <w:marTop w:val="0"/>
          <w:marBottom w:val="0"/>
          <w:divBdr>
            <w:top w:val="none" w:sz="0" w:space="0" w:color="auto"/>
            <w:left w:val="none" w:sz="0" w:space="0" w:color="auto"/>
            <w:bottom w:val="none" w:sz="0" w:space="0" w:color="auto"/>
            <w:right w:val="none" w:sz="0" w:space="0" w:color="auto"/>
          </w:divBdr>
        </w:div>
        <w:div w:id="447160630">
          <w:marLeft w:val="0"/>
          <w:marRight w:val="0"/>
          <w:marTop w:val="0"/>
          <w:marBottom w:val="0"/>
          <w:divBdr>
            <w:top w:val="none" w:sz="0" w:space="0" w:color="auto"/>
            <w:left w:val="none" w:sz="0" w:space="0" w:color="auto"/>
            <w:bottom w:val="none" w:sz="0" w:space="0" w:color="auto"/>
            <w:right w:val="none" w:sz="0" w:space="0" w:color="auto"/>
          </w:divBdr>
        </w:div>
        <w:div w:id="718866415">
          <w:marLeft w:val="0"/>
          <w:marRight w:val="0"/>
          <w:marTop w:val="0"/>
          <w:marBottom w:val="0"/>
          <w:divBdr>
            <w:top w:val="none" w:sz="0" w:space="0" w:color="auto"/>
            <w:left w:val="none" w:sz="0" w:space="0" w:color="auto"/>
            <w:bottom w:val="none" w:sz="0" w:space="0" w:color="auto"/>
            <w:right w:val="none" w:sz="0" w:space="0" w:color="auto"/>
          </w:divBdr>
        </w:div>
        <w:div w:id="1450012167">
          <w:marLeft w:val="0"/>
          <w:marRight w:val="0"/>
          <w:marTop w:val="0"/>
          <w:marBottom w:val="0"/>
          <w:divBdr>
            <w:top w:val="none" w:sz="0" w:space="0" w:color="auto"/>
            <w:left w:val="none" w:sz="0" w:space="0" w:color="auto"/>
            <w:bottom w:val="none" w:sz="0" w:space="0" w:color="auto"/>
            <w:right w:val="none" w:sz="0" w:space="0" w:color="auto"/>
          </w:divBdr>
        </w:div>
        <w:div w:id="965895196">
          <w:marLeft w:val="0"/>
          <w:marRight w:val="0"/>
          <w:marTop w:val="0"/>
          <w:marBottom w:val="0"/>
          <w:divBdr>
            <w:top w:val="none" w:sz="0" w:space="0" w:color="auto"/>
            <w:left w:val="none" w:sz="0" w:space="0" w:color="auto"/>
            <w:bottom w:val="none" w:sz="0" w:space="0" w:color="auto"/>
            <w:right w:val="none" w:sz="0" w:space="0" w:color="auto"/>
          </w:divBdr>
        </w:div>
        <w:div w:id="952445845">
          <w:marLeft w:val="0"/>
          <w:marRight w:val="0"/>
          <w:marTop w:val="0"/>
          <w:marBottom w:val="0"/>
          <w:divBdr>
            <w:top w:val="none" w:sz="0" w:space="0" w:color="auto"/>
            <w:left w:val="none" w:sz="0" w:space="0" w:color="auto"/>
            <w:bottom w:val="none" w:sz="0" w:space="0" w:color="auto"/>
            <w:right w:val="none" w:sz="0" w:space="0" w:color="auto"/>
          </w:divBdr>
        </w:div>
      </w:divsChild>
    </w:div>
    <w:div w:id="16975471">
      <w:bodyDiv w:val="1"/>
      <w:marLeft w:val="0"/>
      <w:marRight w:val="0"/>
      <w:marTop w:val="0"/>
      <w:marBottom w:val="0"/>
      <w:divBdr>
        <w:top w:val="none" w:sz="0" w:space="0" w:color="auto"/>
        <w:left w:val="none" w:sz="0" w:space="0" w:color="auto"/>
        <w:bottom w:val="none" w:sz="0" w:space="0" w:color="auto"/>
        <w:right w:val="none" w:sz="0" w:space="0" w:color="auto"/>
      </w:divBdr>
    </w:div>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31810011">
      <w:bodyDiv w:val="1"/>
      <w:marLeft w:val="0"/>
      <w:marRight w:val="0"/>
      <w:marTop w:val="0"/>
      <w:marBottom w:val="0"/>
      <w:divBdr>
        <w:top w:val="none" w:sz="0" w:space="0" w:color="auto"/>
        <w:left w:val="none" w:sz="0" w:space="0" w:color="auto"/>
        <w:bottom w:val="none" w:sz="0" w:space="0" w:color="auto"/>
        <w:right w:val="none" w:sz="0" w:space="0" w:color="auto"/>
      </w:divBdr>
    </w:div>
    <w:div w:id="33696554">
      <w:bodyDiv w:val="1"/>
      <w:marLeft w:val="0"/>
      <w:marRight w:val="0"/>
      <w:marTop w:val="0"/>
      <w:marBottom w:val="0"/>
      <w:divBdr>
        <w:top w:val="none" w:sz="0" w:space="0" w:color="auto"/>
        <w:left w:val="none" w:sz="0" w:space="0" w:color="auto"/>
        <w:bottom w:val="none" w:sz="0" w:space="0" w:color="auto"/>
        <w:right w:val="none" w:sz="0" w:space="0" w:color="auto"/>
      </w:divBdr>
    </w:div>
    <w:div w:id="34938932">
      <w:bodyDiv w:val="1"/>
      <w:marLeft w:val="0"/>
      <w:marRight w:val="0"/>
      <w:marTop w:val="0"/>
      <w:marBottom w:val="0"/>
      <w:divBdr>
        <w:top w:val="none" w:sz="0" w:space="0" w:color="auto"/>
        <w:left w:val="none" w:sz="0" w:space="0" w:color="auto"/>
        <w:bottom w:val="none" w:sz="0" w:space="0" w:color="auto"/>
        <w:right w:val="none" w:sz="0" w:space="0" w:color="auto"/>
      </w:divBdr>
    </w:div>
    <w:div w:id="39013979">
      <w:bodyDiv w:val="1"/>
      <w:marLeft w:val="0"/>
      <w:marRight w:val="0"/>
      <w:marTop w:val="0"/>
      <w:marBottom w:val="0"/>
      <w:divBdr>
        <w:top w:val="none" w:sz="0" w:space="0" w:color="auto"/>
        <w:left w:val="none" w:sz="0" w:space="0" w:color="auto"/>
        <w:bottom w:val="none" w:sz="0" w:space="0" w:color="auto"/>
        <w:right w:val="none" w:sz="0" w:space="0" w:color="auto"/>
      </w:divBdr>
      <w:divsChild>
        <w:div w:id="95908969">
          <w:marLeft w:val="547"/>
          <w:marRight w:val="0"/>
          <w:marTop w:val="115"/>
          <w:marBottom w:val="0"/>
          <w:divBdr>
            <w:top w:val="none" w:sz="0" w:space="0" w:color="auto"/>
            <w:left w:val="none" w:sz="0" w:space="0" w:color="auto"/>
            <w:bottom w:val="none" w:sz="0" w:space="0" w:color="auto"/>
            <w:right w:val="none" w:sz="0" w:space="0" w:color="auto"/>
          </w:divBdr>
        </w:div>
      </w:divsChild>
    </w:div>
    <w:div w:id="41758145">
      <w:bodyDiv w:val="1"/>
      <w:marLeft w:val="0"/>
      <w:marRight w:val="0"/>
      <w:marTop w:val="0"/>
      <w:marBottom w:val="0"/>
      <w:divBdr>
        <w:top w:val="none" w:sz="0" w:space="0" w:color="auto"/>
        <w:left w:val="none" w:sz="0" w:space="0" w:color="auto"/>
        <w:bottom w:val="none" w:sz="0" w:space="0" w:color="auto"/>
        <w:right w:val="none" w:sz="0" w:space="0" w:color="auto"/>
      </w:divBdr>
      <w:divsChild>
        <w:div w:id="837119000">
          <w:marLeft w:val="1080"/>
          <w:marRight w:val="0"/>
          <w:marTop w:val="100"/>
          <w:marBottom w:val="0"/>
          <w:divBdr>
            <w:top w:val="none" w:sz="0" w:space="0" w:color="auto"/>
            <w:left w:val="none" w:sz="0" w:space="0" w:color="auto"/>
            <w:bottom w:val="none" w:sz="0" w:space="0" w:color="auto"/>
            <w:right w:val="none" w:sz="0" w:space="0" w:color="auto"/>
          </w:divBdr>
        </w:div>
        <w:div w:id="1934901362">
          <w:marLeft w:val="1080"/>
          <w:marRight w:val="0"/>
          <w:marTop w:val="100"/>
          <w:marBottom w:val="0"/>
          <w:divBdr>
            <w:top w:val="none" w:sz="0" w:space="0" w:color="auto"/>
            <w:left w:val="none" w:sz="0" w:space="0" w:color="auto"/>
            <w:bottom w:val="none" w:sz="0" w:space="0" w:color="auto"/>
            <w:right w:val="none" w:sz="0" w:space="0" w:color="auto"/>
          </w:divBdr>
        </w:div>
      </w:divsChild>
    </w:div>
    <w:div w:id="45760825">
      <w:bodyDiv w:val="1"/>
      <w:marLeft w:val="0"/>
      <w:marRight w:val="0"/>
      <w:marTop w:val="0"/>
      <w:marBottom w:val="0"/>
      <w:divBdr>
        <w:top w:val="none" w:sz="0" w:space="0" w:color="auto"/>
        <w:left w:val="none" w:sz="0" w:space="0" w:color="auto"/>
        <w:bottom w:val="none" w:sz="0" w:space="0" w:color="auto"/>
        <w:right w:val="none" w:sz="0" w:space="0" w:color="auto"/>
      </w:divBdr>
      <w:divsChild>
        <w:div w:id="291636236">
          <w:marLeft w:val="1166"/>
          <w:marRight w:val="0"/>
          <w:marTop w:val="96"/>
          <w:marBottom w:val="0"/>
          <w:divBdr>
            <w:top w:val="none" w:sz="0" w:space="0" w:color="auto"/>
            <w:left w:val="none" w:sz="0" w:space="0" w:color="auto"/>
            <w:bottom w:val="none" w:sz="0" w:space="0" w:color="auto"/>
            <w:right w:val="none" w:sz="0" w:space="0" w:color="auto"/>
          </w:divBdr>
        </w:div>
        <w:div w:id="1452285947">
          <w:marLeft w:val="1166"/>
          <w:marRight w:val="0"/>
          <w:marTop w:val="96"/>
          <w:marBottom w:val="0"/>
          <w:divBdr>
            <w:top w:val="none" w:sz="0" w:space="0" w:color="auto"/>
            <w:left w:val="none" w:sz="0" w:space="0" w:color="auto"/>
            <w:bottom w:val="none" w:sz="0" w:space="0" w:color="auto"/>
            <w:right w:val="none" w:sz="0" w:space="0" w:color="auto"/>
          </w:divBdr>
        </w:div>
        <w:div w:id="204755672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0233241">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1415070">
      <w:bodyDiv w:val="1"/>
      <w:marLeft w:val="0"/>
      <w:marRight w:val="0"/>
      <w:marTop w:val="0"/>
      <w:marBottom w:val="0"/>
      <w:divBdr>
        <w:top w:val="none" w:sz="0" w:space="0" w:color="auto"/>
        <w:left w:val="none" w:sz="0" w:space="0" w:color="auto"/>
        <w:bottom w:val="none" w:sz="0" w:space="0" w:color="auto"/>
        <w:right w:val="none" w:sz="0" w:space="0" w:color="auto"/>
      </w:divBdr>
      <w:divsChild>
        <w:div w:id="293682321">
          <w:marLeft w:val="1166"/>
          <w:marRight w:val="0"/>
          <w:marTop w:val="96"/>
          <w:marBottom w:val="0"/>
          <w:divBdr>
            <w:top w:val="none" w:sz="0" w:space="0" w:color="auto"/>
            <w:left w:val="none" w:sz="0" w:space="0" w:color="auto"/>
            <w:bottom w:val="none" w:sz="0" w:space="0" w:color="auto"/>
            <w:right w:val="none" w:sz="0" w:space="0" w:color="auto"/>
          </w:divBdr>
        </w:div>
        <w:div w:id="842932359">
          <w:marLeft w:val="1800"/>
          <w:marRight w:val="0"/>
          <w:marTop w:val="86"/>
          <w:marBottom w:val="0"/>
          <w:divBdr>
            <w:top w:val="none" w:sz="0" w:space="0" w:color="auto"/>
            <w:left w:val="none" w:sz="0" w:space="0" w:color="auto"/>
            <w:bottom w:val="none" w:sz="0" w:space="0" w:color="auto"/>
            <w:right w:val="none" w:sz="0" w:space="0" w:color="auto"/>
          </w:divBdr>
        </w:div>
        <w:div w:id="1464811948">
          <w:marLeft w:val="1166"/>
          <w:marRight w:val="0"/>
          <w:marTop w:val="96"/>
          <w:marBottom w:val="0"/>
          <w:divBdr>
            <w:top w:val="none" w:sz="0" w:space="0" w:color="auto"/>
            <w:left w:val="none" w:sz="0" w:space="0" w:color="auto"/>
            <w:bottom w:val="none" w:sz="0" w:space="0" w:color="auto"/>
            <w:right w:val="none" w:sz="0" w:space="0" w:color="auto"/>
          </w:divBdr>
        </w:div>
        <w:div w:id="1527599364">
          <w:marLeft w:val="1166"/>
          <w:marRight w:val="0"/>
          <w:marTop w:val="96"/>
          <w:marBottom w:val="0"/>
          <w:divBdr>
            <w:top w:val="none" w:sz="0" w:space="0" w:color="auto"/>
            <w:left w:val="none" w:sz="0" w:space="0" w:color="auto"/>
            <w:bottom w:val="none" w:sz="0" w:space="0" w:color="auto"/>
            <w:right w:val="none" w:sz="0" w:space="0" w:color="auto"/>
          </w:divBdr>
        </w:div>
        <w:div w:id="1745831969">
          <w:marLeft w:val="1166"/>
          <w:marRight w:val="0"/>
          <w:marTop w:val="96"/>
          <w:marBottom w:val="0"/>
          <w:divBdr>
            <w:top w:val="none" w:sz="0" w:space="0" w:color="auto"/>
            <w:left w:val="none" w:sz="0" w:space="0" w:color="auto"/>
            <w:bottom w:val="none" w:sz="0" w:space="0" w:color="auto"/>
            <w:right w:val="none" w:sz="0" w:space="0" w:color="auto"/>
          </w:divBdr>
        </w:div>
        <w:div w:id="1773234983">
          <w:marLeft w:val="547"/>
          <w:marRight w:val="0"/>
          <w:marTop w:val="115"/>
          <w:marBottom w:val="0"/>
          <w:divBdr>
            <w:top w:val="none" w:sz="0" w:space="0" w:color="auto"/>
            <w:left w:val="none" w:sz="0" w:space="0" w:color="auto"/>
            <w:bottom w:val="none" w:sz="0" w:space="0" w:color="auto"/>
            <w:right w:val="none" w:sz="0" w:space="0" w:color="auto"/>
          </w:divBdr>
        </w:div>
        <w:div w:id="1909072652">
          <w:marLeft w:val="1800"/>
          <w:marRight w:val="0"/>
          <w:marTop w:val="86"/>
          <w:marBottom w:val="0"/>
          <w:divBdr>
            <w:top w:val="none" w:sz="0" w:space="0" w:color="auto"/>
            <w:left w:val="none" w:sz="0" w:space="0" w:color="auto"/>
            <w:bottom w:val="none" w:sz="0" w:space="0" w:color="auto"/>
            <w:right w:val="none" w:sz="0" w:space="0" w:color="auto"/>
          </w:divBdr>
        </w:div>
        <w:div w:id="1909340118">
          <w:marLeft w:val="547"/>
          <w:marRight w:val="0"/>
          <w:marTop w:val="115"/>
          <w:marBottom w:val="0"/>
          <w:divBdr>
            <w:top w:val="none" w:sz="0" w:space="0" w:color="auto"/>
            <w:left w:val="none" w:sz="0" w:space="0" w:color="auto"/>
            <w:bottom w:val="none" w:sz="0" w:space="0" w:color="auto"/>
            <w:right w:val="none" w:sz="0" w:space="0" w:color="auto"/>
          </w:divBdr>
        </w:div>
      </w:divsChild>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89742365">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5633795">
      <w:bodyDiv w:val="1"/>
      <w:marLeft w:val="0"/>
      <w:marRight w:val="0"/>
      <w:marTop w:val="0"/>
      <w:marBottom w:val="0"/>
      <w:divBdr>
        <w:top w:val="none" w:sz="0" w:space="0" w:color="auto"/>
        <w:left w:val="none" w:sz="0" w:space="0" w:color="auto"/>
        <w:bottom w:val="none" w:sz="0" w:space="0" w:color="auto"/>
        <w:right w:val="none" w:sz="0" w:space="0" w:color="auto"/>
      </w:divBdr>
      <w:divsChild>
        <w:div w:id="1884558804">
          <w:marLeft w:val="547"/>
          <w:marRight w:val="0"/>
          <w:marTop w:val="115"/>
          <w:marBottom w:val="0"/>
          <w:divBdr>
            <w:top w:val="none" w:sz="0" w:space="0" w:color="auto"/>
            <w:left w:val="none" w:sz="0" w:space="0" w:color="auto"/>
            <w:bottom w:val="none" w:sz="0" w:space="0" w:color="auto"/>
            <w:right w:val="none" w:sz="0" w:space="0" w:color="auto"/>
          </w:divBdr>
        </w:div>
      </w:divsChild>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6630855">
      <w:bodyDiv w:val="1"/>
      <w:marLeft w:val="0"/>
      <w:marRight w:val="0"/>
      <w:marTop w:val="0"/>
      <w:marBottom w:val="0"/>
      <w:divBdr>
        <w:top w:val="none" w:sz="0" w:space="0" w:color="auto"/>
        <w:left w:val="none" w:sz="0" w:space="0" w:color="auto"/>
        <w:bottom w:val="none" w:sz="0" w:space="0" w:color="auto"/>
        <w:right w:val="none" w:sz="0" w:space="0" w:color="auto"/>
      </w:divBdr>
      <w:divsChild>
        <w:div w:id="14692834">
          <w:marLeft w:val="360"/>
          <w:marRight w:val="0"/>
          <w:marTop w:val="0"/>
          <w:marBottom w:val="120"/>
          <w:divBdr>
            <w:top w:val="none" w:sz="0" w:space="0" w:color="auto"/>
            <w:left w:val="none" w:sz="0" w:space="0" w:color="auto"/>
            <w:bottom w:val="none" w:sz="0" w:space="0" w:color="auto"/>
            <w:right w:val="none" w:sz="0" w:space="0" w:color="auto"/>
          </w:divBdr>
        </w:div>
        <w:div w:id="165440125">
          <w:marLeft w:val="1526"/>
          <w:marRight w:val="0"/>
          <w:marTop w:val="0"/>
          <w:marBottom w:val="120"/>
          <w:divBdr>
            <w:top w:val="none" w:sz="0" w:space="0" w:color="auto"/>
            <w:left w:val="none" w:sz="0" w:space="0" w:color="auto"/>
            <w:bottom w:val="none" w:sz="0" w:space="0" w:color="auto"/>
            <w:right w:val="none" w:sz="0" w:space="0" w:color="auto"/>
          </w:divBdr>
        </w:div>
        <w:div w:id="510921630">
          <w:marLeft w:val="907"/>
          <w:marRight w:val="0"/>
          <w:marTop w:val="0"/>
          <w:marBottom w:val="120"/>
          <w:divBdr>
            <w:top w:val="none" w:sz="0" w:space="0" w:color="auto"/>
            <w:left w:val="none" w:sz="0" w:space="0" w:color="auto"/>
            <w:bottom w:val="none" w:sz="0" w:space="0" w:color="auto"/>
            <w:right w:val="none" w:sz="0" w:space="0" w:color="auto"/>
          </w:divBdr>
        </w:div>
        <w:div w:id="625966676">
          <w:marLeft w:val="907"/>
          <w:marRight w:val="0"/>
          <w:marTop w:val="0"/>
          <w:marBottom w:val="120"/>
          <w:divBdr>
            <w:top w:val="none" w:sz="0" w:space="0" w:color="auto"/>
            <w:left w:val="none" w:sz="0" w:space="0" w:color="auto"/>
            <w:bottom w:val="none" w:sz="0" w:space="0" w:color="auto"/>
            <w:right w:val="none" w:sz="0" w:space="0" w:color="auto"/>
          </w:divBdr>
        </w:div>
        <w:div w:id="724379163">
          <w:marLeft w:val="1526"/>
          <w:marRight w:val="0"/>
          <w:marTop w:val="0"/>
          <w:marBottom w:val="120"/>
          <w:divBdr>
            <w:top w:val="none" w:sz="0" w:space="0" w:color="auto"/>
            <w:left w:val="none" w:sz="0" w:space="0" w:color="auto"/>
            <w:bottom w:val="none" w:sz="0" w:space="0" w:color="auto"/>
            <w:right w:val="none" w:sz="0" w:space="0" w:color="auto"/>
          </w:divBdr>
        </w:div>
        <w:div w:id="734209609">
          <w:marLeft w:val="1526"/>
          <w:marRight w:val="0"/>
          <w:marTop w:val="0"/>
          <w:marBottom w:val="120"/>
          <w:divBdr>
            <w:top w:val="none" w:sz="0" w:space="0" w:color="auto"/>
            <w:left w:val="none" w:sz="0" w:space="0" w:color="auto"/>
            <w:bottom w:val="none" w:sz="0" w:space="0" w:color="auto"/>
            <w:right w:val="none" w:sz="0" w:space="0" w:color="auto"/>
          </w:divBdr>
        </w:div>
        <w:div w:id="783353173">
          <w:marLeft w:val="1526"/>
          <w:marRight w:val="0"/>
          <w:marTop w:val="0"/>
          <w:marBottom w:val="120"/>
          <w:divBdr>
            <w:top w:val="none" w:sz="0" w:space="0" w:color="auto"/>
            <w:left w:val="none" w:sz="0" w:space="0" w:color="auto"/>
            <w:bottom w:val="none" w:sz="0" w:space="0" w:color="auto"/>
            <w:right w:val="none" w:sz="0" w:space="0" w:color="auto"/>
          </w:divBdr>
        </w:div>
        <w:div w:id="944919016">
          <w:marLeft w:val="1526"/>
          <w:marRight w:val="0"/>
          <w:marTop w:val="0"/>
          <w:marBottom w:val="120"/>
          <w:divBdr>
            <w:top w:val="none" w:sz="0" w:space="0" w:color="auto"/>
            <w:left w:val="none" w:sz="0" w:space="0" w:color="auto"/>
            <w:bottom w:val="none" w:sz="0" w:space="0" w:color="auto"/>
            <w:right w:val="none" w:sz="0" w:space="0" w:color="auto"/>
          </w:divBdr>
        </w:div>
        <w:div w:id="1065571482">
          <w:marLeft w:val="907"/>
          <w:marRight w:val="0"/>
          <w:marTop w:val="0"/>
          <w:marBottom w:val="120"/>
          <w:divBdr>
            <w:top w:val="none" w:sz="0" w:space="0" w:color="auto"/>
            <w:left w:val="none" w:sz="0" w:space="0" w:color="auto"/>
            <w:bottom w:val="none" w:sz="0" w:space="0" w:color="auto"/>
            <w:right w:val="none" w:sz="0" w:space="0" w:color="auto"/>
          </w:divBdr>
        </w:div>
        <w:div w:id="1166017792">
          <w:marLeft w:val="360"/>
          <w:marRight w:val="0"/>
          <w:marTop w:val="0"/>
          <w:marBottom w:val="120"/>
          <w:divBdr>
            <w:top w:val="none" w:sz="0" w:space="0" w:color="auto"/>
            <w:left w:val="none" w:sz="0" w:space="0" w:color="auto"/>
            <w:bottom w:val="none" w:sz="0" w:space="0" w:color="auto"/>
            <w:right w:val="none" w:sz="0" w:space="0" w:color="auto"/>
          </w:divBdr>
        </w:div>
        <w:div w:id="1179926030">
          <w:marLeft w:val="360"/>
          <w:marRight w:val="0"/>
          <w:marTop w:val="0"/>
          <w:marBottom w:val="120"/>
          <w:divBdr>
            <w:top w:val="none" w:sz="0" w:space="0" w:color="auto"/>
            <w:left w:val="none" w:sz="0" w:space="0" w:color="auto"/>
            <w:bottom w:val="none" w:sz="0" w:space="0" w:color="auto"/>
            <w:right w:val="none" w:sz="0" w:space="0" w:color="auto"/>
          </w:divBdr>
        </w:div>
        <w:div w:id="1191335437">
          <w:marLeft w:val="360"/>
          <w:marRight w:val="0"/>
          <w:marTop w:val="0"/>
          <w:marBottom w:val="120"/>
          <w:divBdr>
            <w:top w:val="none" w:sz="0" w:space="0" w:color="auto"/>
            <w:left w:val="none" w:sz="0" w:space="0" w:color="auto"/>
            <w:bottom w:val="none" w:sz="0" w:space="0" w:color="auto"/>
            <w:right w:val="none" w:sz="0" w:space="0" w:color="auto"/>
          </w:divBdr>
        </w:div>
        <w:div w:id="1196388630">
          <w:marLeft w:val="1526"/>
          <w:marRight w:val="0"/>
          <w:marTop w:val="0"/>
          <w:marBottom w:val="120"/>
          <w:divBdr>
            <w:top w:val="none" w:sz="0" w:space="0" w:color="auto"/>
            <w:left w:val="none" w:sz="0" w:space="0" w:color="auto"/>
            <w:bottom w:val="none" w:sz="0" w:space="0" w:color="auto"/>
            <w:right w:val="none" w:sz="0" w:space="0" w:color="auto"/>
          </w:divBdr>
        </w:div>
        <w:div w:id="1226405799">
          <w:marLeft w:val="1526"/>
          <w:marRight w:val="0"/>
          <w:marTop w:val="0"/>
          <w:marBottom w:val="120"/>
          <w:divBdr>
            <w:top w:val="none" w:sz="0" w:space="0" w:color="auto"/>
            <w:left w:val="none" w:sz="0" w:space="0" w:color="auto"/>
            <w:bottom w:val="none" w:sz="0" w:space="0" w:color="auto"/>
            <w:right w:val="none" w:sz="0" w:space="0" w:color="auto"/>
          </w:divBdr>
        </w:div>
        <w:div w:id="1233156800">
          <w:marLeft w:val="1526"/>
          <w:marRight w:val="0"/>
          <w:marTop w:val="0"/>
          <w:marBottom w:val="120"/>
          <w:divBdr>
            <w:top w:val="none" w:sz="0" w:space="0" w:color="auto"/>
            <w:left w:val="none" w:sz="0" w:space="0" w:color="auto"/>
            <w:bottom w:val="none" w:sz="0" w:space="0" w:color="auto"/>
            <w:right w:val="none" w:sz="0" w:space="0" w:color="auto"/>
          </w:divBdr>
        </w:div>
        <w:div w:id="1401055077">
          <w:marLeft w:val="907"/>
          <w:marRight w:val="0"/>
          <w:marTop w:val="0"/>
          <w:marBottom w:val="120"/>
          <w:divBdr>
            <w:top w:val="none" w:sz="0" w:space="0" w:color="auto"/>
            <w:left w:val="none" w:sz="0" w:space="0" w:color="auto"/>
            <w:bottom w:val="none" w:sz="0" w:space="0" w:color="auto"/>
            <w:right w:val="none" w:sz="0" w:space="0" w:color="auto"/>
          </w:divBdr>
        </w:div>
        <w:div w:id="1584530176">
          <w:marLeft w:val="907"/>
          <w:marRight w:val="0"/>
          <w:marTop w:val="0"/>
          <w:marBottom w:val="120"/>
          <w:divBdr>
            <w:top w:val="none" w:sz="0" w:space="0" w:color="auto"/>
            <w:left w:val="none" w:sz="0" w:space="0" w:color="auto"/>
            <w:bottom w:val="none" w:sz="0" w:space="0" w:color="auto"/>
            <w:right w:val="none" w:sz="0" w:space="0" w:color="auto"/>
          </w:divBdr>
        </w:div>
        <w:div w:id="1861972124">
          <w:marLeft w:val="907"/>
          <w:marRight w:val="0"/>
          <w:marTop w:val="0"/>
          <w:marBottom w:val="120"/>
          <w:divBdr>
            <w:top w:val="none" w:sz="0" w:space="0" w:color="auto"/>
            <w:left w:val="none" w:sz="0" w:space="0" w:color="auto"/>
            <w:bottom w:val="none" w:sz="0" w:space="0" w:color="auto"/>
            <w:right w:val="none" w:sz="0" w:space="0" w:color="auto"/>
          </w:divBdr>
        </w:div>
        <w:div w:id="2091736422">
          <w:marLeft w:val="1526"/>
          <w:marRight w:val="0"/>
          <w:marTop w:val="0"/>
          <w:marBottom w:val="12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20073250">
      <w:bodyDiv w:val="1"/>
      <w:marLeft w:val="0"/>
      <w:marRight w:val="0"/>
      <w:marTop w:val="0"/>
      <w:marBottom w:val="0"/>
      <w:divBdr>
        <w:top w:val="none" w:sz="0" w:space="0" w:color="auto"/>
        <w:left w:val="none" w:sz="0" w:space="0" w:color="auto"/>
        <w:bottom w:val="none" w:sz="0" w:space="0" w:color="auto"/>
        <w:right w:val="none" w:sz="0" w:space="0" w:color="auto"/>
      </w:divBdr>
    </w:div>
    <w:div w:id="121462905">
      <w:bodyDiv w:val="1"/>
      <w:marLeft w:val="0"/>
      <w:marRight w:val="0"/>
      <w:marTop w:val="0"/>
      <w:marBottom w:val="0"/>
      <w:divBdr>
        <w:top w:val="none" w:sz="0" w:space="0" w:color="auto"/>
        <w:left w:val="none" w:sz="0" w:space="0" w:color="auto"/>
        <w:bottom w:val="none" w:sz="0" w:space="0" w:color="auto"/>
        <w:right w:val="none" w:sz="0" w:space="0" w:color="auto"/>
      </w:divBdr>
    </w:div>
    <w:div w:id="144595250">
      <w:bodyDiv w:val="1"/>
      <w:marLeft w:val="0"/>
      <w:marRight w:val="0"/>
      <w:marTop w:val="0"/>
      <w:marBottom w:val="0"/>
      <w:divBdr>
        <w:top w:val="none" w:sz="0" w:space="0" w:color="auto"/>
        <w:left w:val="none" w:sz="0" w:space="0" w:color="auto"/>
        <w:bottom w:val="none" w:sz="0" w:space="0" w:color="auto"/>
        <w:right w:val="none" w:sz="0" w:space="0" w:color="auto"/>
      </w:divBdr>
      <w:divsChild>
        <w:div w:id="841235594">
          <w:marLeft w:val="0"/>
          <w:marRight w:val="0"/>
          <w:marTop w:val="0"/>
          <w:marBottom w:val="0"/>
          <w:divBdr>
            <w:top w:val="none" w:sz="0" w:space="0" w:color="auto"/>
            <w:left w:val="none" w:sz="0" w:space="0" w:color="auto"/>
            <w:bottom w:val="none" w:sz="0" w:space="0" w:color="auto"/>
            <w:right w:val="none" w:sz="0" w:space="0" w:color="auto"/>
          </w:divBdr>
          <w:divsChild>
            <w:div w:id="1353410316">
              <w:marLeft w:val="0"/>
              <w:marRight w:val="0"/>
              <w:marTop w:val="0"/>
              <w:marBottom w:val="0"/>
              <w:divBdr>
                <w:top w:val="none" w:sz="0" w:space="0" w:color="auto"/>
                <w:left w:val="none" w:sz="0" w:space="0" w:color="auto"/>
                <w:bottom w:val="none" w:sz="0" w:space="0" w:color="auto"/>
                <w:right w:val="none" w:sz="0" w:space="0" w:color="auto"/>
              </w:divBdr>
              <w:divsChild>
                <w:div w:id="1235428620">
                  <w:marLeft w:val="0"/>
                  <w:marRight w:val="0"/>
                  <w:marTop w:val="0"/>
                  <w:marBottom w:val="0"/>
                  <w:divBdr>
                    <w:top w:val="none" w:sz="0" w:space="0" w:color="auto"/>
                    <w:left w:val="none" w:sz="0" w:space="0" w:color="auto"/>
                    <w:bottom w:val="none" w:sz="0" w:space="0" w:color="auto"/>
                    <w:right w:val="none" w:sz="0" w:space="0" w:color="auto"/>
                  </w:divBdr>
                </w:div>
              </w:divsChild>
            </w:div>
            <w:div w:id="409232229">
              <w:marLeft w:val="0"/>
              <w:marRight w:val="0"/>
              <w:marTop w:val="0"/>
              <w:marBottom w:val="0"/>
              <w:divBdr>
                <w:top w:val="none" w:sz="0" w:space="0" w:color="auto"/>
                <w:left w:val="none" w:sz="0" w:space="0" w:color="auto"/>
                <w:bottom w:val="none" w:sz="0" w:space="0" w:color="auto"/>
                <w:right w:val="none" w:sz="0" w:space="0" w:color="auto"/>
              </w:divBdr>
              <w:divsChild>
                <w:div w:id="1402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4612075">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273853">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9634347">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0002225">
      <w:bodyDiv w:val="1"/>
      <w:marLeft w:val="0"/>
      <w:marRight w:val="0"/>
      <w:marTop w:val="0"/>
      <w:marBottom w:val="0"/>
      <w:divBdr>
        <w:top w:val="none" w:sz="0" w:space="0" w:color="auto"/>
        <w:left w:val="none" w:sz="0" w:space="0" w:color="auto"/>
        <w:bottom w:val="none" w:sz="0" w:space="0" w:color="auto"/>
        <w:right w:val="none" w:sz="0" w:space="0" w:color="auto"/>
      </w:divBdr>
      <w:divsChild>
        <w:div w:id="208999649">
          <w:marLeft w:val="1166"/>
          <w:marRight w:val="0"/>
          <w:marTop w:val="115"/>
          <w:marBottom w:val="0"/>
          <w:divBdr>
            <w:top w:val="none" w:sz="0" w:space="0" w:color="auto"/>
            <w:left w:val="none" w:sz="0" w:space="0" w:color="auto"/>
            <w:bottom w:val="none" w:sz="0" w:space="0" w:color="auto"/>
            <w:right w:val="none" w:sz="0" w:space="0" w:color="auto"/>
          </w:divBdr>
        </w:div>
        <w:div w:id="954599635">
          <w:marLeft w:val="1166"/>
          <w:marRight w:val="0"/>
          <w:marTop w:val="115"/>
          <w:marBottom w:val="0"/>
          <w:divBdr>
            <w:top w:val="none" w:sz="0" w:space="0" w:color="auto"/>
            <w:left w:val="none" w:sz="0" w:space="0" w:color="auto"/>
            <w:bottom w:val="none" w:sz="0" w:space="0" w:color="auto"/>
            <w:right w:val="none" w:sz="0" w:space="0" w:color="auto"/>
          </w:divBdr>
        </w:div>
        <w:div w:id="1285232530">
          <w:marLeft w:val="547"/>
          <w:marRight w:val="0"/>
          <w:marTop w:val="134"/>
          <w:marBottom w:val="0"/>
          <w:divBdr>
            <w:top w:val="none" w:sz="0" w:space="0" w:color="auto"/>
            <w:left w:val="none" w:sz="0" w:space="0" w:color="auto"/>
            <w:bottom w:val="none" w:sz="0" w:space="0" w:color="auto"/>
            <w:right w:val="none" w:sz="0" w:space="0" w:color="auto"/>
          </w:divBdr>
        </w:div>
        <w:div w:id="1627155589">
          <w:marLeft w:val="1166"/>
          <w:marRight w:val="0"/>
          <w:marTop w:val="115"/>
          <w:marBottom w:val="0"/>
          <w:divBdr>
            <w:top w:val="none" w:sz="0" w:space="0" w:color="auto"/>
            <w:left w:val="none" w:sz="0" w:space="0" w:color="auto"/>
            <w:bottom w:val="none" w:sz="0" w:space="0" w:color="auto"/>
            <w:right w:val="none" w:sz="0" w:space="0" w:color="auto"/>
          </w:divBdr>
        </w:div>
        <w:div w:id="1645968523">
          <w:marLeft w:val="1166"/>
          <w:marRight w:val="0"/>
          <w:marTop w:val="115"/>
          <w:marBottom w:val="0"/>
          <w:divBdr>
            <w:top w:val="none" w:sz="0" w:space="0" w:color="auto"/>
            <w:left w:val="none" w:sz="0" w:space="0" w:color="auto"/>
            <w:bottom w:val="none" w:sz="0" w:space="0" w:color="auto"/>
            <w:right w:val="none" w:sz="0" w:space="0" w:color="auto"/>
          </w:divBdr>
        </w:div>
        <w:div w:id="1741519352">
          <w:marLeft w:val="1166"/>
          <w:marRight w:val="0"/>
          <w:marTop w:val="115"/>
          <w:marBottom w:val="0"/>
          <w:divBdr>
            <w:top w:val="none" w:sz="0" w:space="0" w:color="auto"/>
            <w:left w:val="none" w:sz="0" w:space="0" w:color="auto"/>
            <w:bottom w:val="none" w:sz="0" w:space="0" w:color="auto"/>
            <w:right w:val="none" w:sz="0" w:space="0" w:color="auto"/>
          </w:divBdr>
        </w:div>
      </w:divsChild>
    </w:div>
    <w:div w:id="210727378">
      <w:bodyDiv w:val="1"/>
      <w:marLeft w:val="0"/>
      <w:marRight w:val="0"/>
      <w:marTop w:val="0"/>
      <w:marBottom w:val="0"/>
      <w:divBdr>
        <w:top w:val="none" w:sz="0" w:space="0" w:color="auto"/>
        <w:left w:val="none" w:sz="0" w:space="0" w:color="auto"/>
        <w:bottom w:val="none" w:sz="0" w:space="0" w:color="auto"/>
        <w:right w:val="none" w:sz="0" w:space="0" w:color="auto"/>
      </w:divBdr>
    </w:div>
    <w:div w:id="215315327">
      <w:bodyDiv w:val="1"/>
      <w:marLeft w:val="0"/>
      <w:marRight w:val="0"/>
      <w:marTop w:val="0"/>
      <w:marBottom w:val="0"/>
      <w:divBdr>
        <w:top w:val="none" w:sz="0" w:space="0" w:color="auto"/>
        <w:left w:val="none" w:sz="0" w:space="0" w:color="auto"/>
        <w:bottom w:val="none" w:sz="0" w:space="0" w:color="auto"/>
        <w:right w:val="none" w:sz="0" w:space="0" w:color="auto"/>
      </w:divBdr>
    </w:div>
    <w:div w:id="216283426">
      <w:bodyDiv w:val="1"/>
      <w:marLeft w:val="0"/>
      <w:marRight w:val="0"/>
      <w:marTop w:val="0"/>
      <w:marBottom w:val="0"/>
      <w:divBdr>
        <w:top w:val="none" w:sz="0" w:space="0" w:color="auto"/>
        <w:left w:val="none" w:sz="0" w:space="0" w:color="auto"/>
        <w:bottom w:val="none" w:sz="0" w:space="0" w:color="auto"/>
        <w:right w:val="none" w:sz="0" w:space="0" w:color="auto"/>
      </w:divBdr>
    </w:div>
    <w:div w:id="216429824">
      <w:bodyDiv w:val="1"/>
      <w:marLeft w:val="0"/>
      <w:marRight w:val="0"/>
      <w:marTop w:val="0"/>
      <w:marBottom w:val="0"/>
      <w:divBdr>
        <w:top w:val="none" w:sz="0" w:space="0" w:color="auto"/>
        <w:left w:val="none" w:sz="0" w:space="0" w:color="auto"/>
        <w:bottom w:val="none" w:sz="0" w:space="0" w:color="auto"/>
        <w:right w:val="none" w:sz="0" w:space="0" w:color="auto"/>
      </w:divBdr>
      <w:divsChild>
        <w:div w:id="16198468">
          <w:marLeft w:val="1080"/>
          <w:marRight w:val="0"/>
          <w:marTop w:val="200"/>
          <w:marBottom w:val="0"/>
          <w:divBdr>
            <w:top w:val="none" w:sz="0" w:space="0" w:color="auto"/>
            <w:left w:val="none" w:sz="0" w:space="0" w:color="auto"/>
            <w:bottom w:val="none" w:sz="0" w:space="0" w:color="auto"/>
            <w:right w:val="none" w:sz="0" w:space="0" w:color="auto"/>
          </w:divBdr>
        </w:div>
        <w:div w:id="109983009">
          <w:marLeft w:val="2520"/>
          <w:marRight w:val="0"/>
          <w:marTop w:val="200"/>
          <w:marBottom w:val="0"/>
          <w:divBdr>
            <w:top w:val="none" w:sz="0" w:space="0" w:color="auto"/>
            <w:left w:val="none" w:sz="0" w:space="0" w:color="auto"/>
            <w:bottom w:val="none" w:sz="0" w:space="0" w:color="auto"/>
            <w:right w:val="none" w:sz="0" w:space="0" w:color="auto"/>
          </w:divBdr>
        </w:div>
        <w:div w:id="146559470">
          <w:marLeft w:val="1080"/>
          <w:marRight w:val="0"/>
          <w:marTop w:val="200"/>
          <w:marBottom w:val="0"/>
          <w:divBdr>
            <w:top w:val="none" w:sz="0" w:space="0" w:color="auto"/>
            <w:left w:val="none" w:sz="0" w:space="0" w:color="auto"/>
            <w:bottom w:val="none" w:sz="0" w:space="0" w:color="auto"/>
            <w:right w:val="none" w:sz="0" w:space="0" w:color="auto"/>
          </w:divBdr>
        </w:div>
        <w:div w:id="404231573">
          <w:marLeft w:val="1080"/>
          <w:marRight w:val="0"/>
          <w:marTop w:val="200"/>
          <w:marBottom w:val="0"/>
          <w:divBdr>
            <w:top w:val="none" w:sz="0" w:space="0" w:color="auto"/>
            <w:left w:val="none" w:sz="0" w:space="0" w:color="auto"/>
            <w:bottom w:val="none" w:sz="0" w:space="0" w:color="auto"/>
            <w:right w:val="none" w:sz="0" w:space="0" w:color="auto"/>
          </w:divBdr>
        </w:div>
        <w:div w:id="563224781">
          <w:marLeft w:val="360"/>
          <w:marRight w:val="0"/>
          <w:marTop w:val="200"/>
          <w:marBottom w:val="0"/>
          <w:divBdr>
            <w:top w:val="none" w:sz="0" w:space="0" w:color="auto"/>
            <w:left w:val="none" w:sz="0" w:space="0" w:color="auto"/>
            <w:bottom w:val="none" w:sz="0" w:space="0" w:color="auto"/>
            <w:right w:val="none" w:sz="0" w:space="0" w:color="auto"/>
          </w:divBdr>
        </w:div>
        <w:div w:id="658583435">
          <w:marLeft w:val="2520"/>
          <w:marRight w:val="0"/>
          <w:marTop w:val="200"/>
          <w:marBottom w:val="0"/>
          <w:divBdr>
            <w:top w:val="none" w:sz="0" w:space="0" w:color="auto"/>
            <w:left w:val="none" w:sz="0" w:space="0" w:color="auto"/>
            <w:bottom w:val="none" w:sz="0" w:space="0" w:color="auto"/>
            <w:right w:val="none" w:sz="0" w:space="0" w:color="auto"/>
          </w:divBdr>
        </w:div>
        <w:div w:id="757556339">
          <w:marLeft w:val="360"/>
          <w:marRight w:val="0"/>
          <w:marTop w:val="200"/>
          <w:marBottom w:val="0"/>
          <w:divBdr>
            <w:top w:val="none" w:sz="0" w:space="0" w:color="auto"/>
            <w:left w:val="none" w:sz="0" w:space="0" w:color="auto"/>
            <w:bottom w:val="none" w:sz="0" w:space="0" w:color="auto"/>
            <w:right w:val="none" w:sz="0" w:space="0" w:color="auto"/>
          </w:divBdr>
        </w:div>
        <w:div w:id="1597442232">
          <w:marLeft w:val="360"/>
          <w:marRight w:val="0"/>
          <w:marTop w:val="200"/>
          <w:marBottom w:val="0"/>
          <w:divBdr>
            <w:top w:val="none" w:sz="0" w:space="0" w:color="auto"/>
            <w:left w:val="none" w:sz="0" w:space="0" w:color="auto"/>
            <w:bottom w:val="none" w:sz="0" w:space="0" w:color="auto"/>
            <w:right w:val="none" w:sz="0" w:space="0" w:color="auto"/>
          </w:divBdr>
        </w:div>
        <w:div w:id="1608267905">
          <w:marLeft w:val="1080"/>
          <w:marRight w:val="0"/>
          <w:marTop w:val="200"/>
          <w:marBottom w:val="0"/>
          <w:divBdr>
            <w:top w:val="none" w:sz="0" w:space="0" w:color="auto"/>
            <w:left w:val="none" w:sz="0" w:space="0" w:color="auto"/>
            <w:bottom w:val="none" w:sz="0" w:space="0" w:color="auto"/>
            <w:right w:val="none" w:sz="0" w:space="0" w:color="auto"/>
          </w:divBdr>
        </w:div>
        <w:div w:id="1837844789">
          <w:marLeft w:val="2520"/>
          <w:marRight w:val="0"/>
          <w:marTop w:val="200"/>
          <w:marBottom w:val="0"/>
          <w:divBdr>
            <w:top w:val="none" w:sz="0" w:space="0" w:color="auto"/>
            <w:left w:val="none" w:sz="0" w:space="0" w:color="auto"/>
            <w:bottom w:val="none" w:sz="0" w:space="0" w:color="auto"/>
            <w:right w:val="none" w:sz="0" w:space="0" w:color="auto"/>
          </w:divBdr>
        </w:div>
        <w:div w:id="1923559859">
          <w:marLeft w:val="1800"/>
          <w:marRight w:val="0"/>
          <w:marTop w:val="200"/>
          <w:marBottom w:val="0"/>
          <w:divBdr>
            <w:top w:val="none" w:sz="0" w:space="0" w:color="auto"/>
            <w:left w:val="none" w:sz="0" w:space="0" w:color="auto"/>
            <w:bottom w:val="none" w:sz="0" w:space="0" w:color="auto"/>
            <w:right w:val="none" w:sz="0" w:space="0" w:color="auto"/>
          </w:divBdr>
        </w:div>
        <w:div w:id="1927223049">
          <w:marLeft w:val="360"/>
          <w:marRight w:val="0"/>
          <w:marTop w:val="200"/>
          <w:marBottom w:val="0"/>
          <w:divBdr>
            <w:top w:val="none" w:sz="0" w:space="0" w:color="auto"/>
            <w:left w:val="none" w:sz="0" w:space="0" w:color="auto"/>
            <w:bottom w:val="none" w:sz="0" w:space="0" w:color="auto"/>
            <w:right w:val="none" w:sz="0" w:space="0" w:color="auto"/>
          </w:divBdr>
        </w:div>
        <w:div w:id="1959527186">
          <w:marLeft w:val="2520"/>
          <w:marRight w:val="0"/>
          <w:marTop w:val="200"/>
          <w:marBottom w:val="0"/>
          <w:divBdr>
            <w:top w:val="none" w:sz="0" w:space="0" w:color="auto"/>
            <w:left w:val="none" w:sz="0" w:space="0" w:color="auto"/>
            <w:bottom w:val="none" w:sz="0" w:space="0" w:color="auto"/>
            <w:right w:val="none" w:sz="0" w:space="0" w:color="auto"/>
          </w:divBdr>
        </w:div>
        <w:div w:id="2034960862">
          <w:marLeft w:val="360"/>
          <w:marRight w:val="0"/>
          <w:marTop w:val="200"/>
          <w:marBottom w:val="0"/>
          <w:divBdr>
            <w:top w:val="none" w:sz="0" w:space="0" w:color="auto"/>
            <w:left w:val="none" w:sz="0" w:space="0" w:color="auto"/>
            <w:bottom w:val="none" w:sz="0" w:space="0" w:color="auto"/>
            <w:right w:val="none" w:sz="0" w:space="0" w:color="auto"/>
          </w:divBdr>
        </w:div>
        <w:div w:id="2099783804">
          <w:marLeft w:val="1080"/>
          <w:marRight w:val="0"/>
          <w:marTop w:val="200"/>
          <w:marBottom w:val="0"/>
          <w:divBdr>
            <w:top w:val="none" w:sz="0" w:space="0" w:color="auto"/>
            <w:left w:val="none" w:sz="0" w:space="0" w:color="auto"/>
            <w:bottom w:val="none" w:sz="0" w:space="0" w:color="auto"/>
            <w:right w:val="none" w:sz="0" w:space="0" w:color="auto"/>
          </w:divBdr>
        </w:div>
      </w:divsChild>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19639777">
      <w:bodyDiv w:val="1"/>
      <w:marLeft w:val="0"/>
      <w:marRight w:val="0"/>
      <w:marTop w:val="0"/>
      <w:marBottom w:val="0"/>
      <w:divBdr>
        <w:top w:val="none" w:sz="0" w:space="0" w:color="auto"/>
        <w:left w:val="none" w:sz="0" w:space="0" w:color="auto"/>
        <w:bottom w:val="none" w:sz="0" w:space="0" w:color="auto"/>
        <w:right w:val="none" w:sz="0" w:space="0" w:color="auto"/>
      </w:divBdr>
      <w:divsChild>
        <w:div w:id="228155070">
          <w:marLeft w:val="360"/>
          <w:marRight w:val="0"/>
          <w:marTop w:val="200"/>
          <w:marBottom w:val="0"/>
          <w:divBdr>
            <w:top w:val="none" w:sz="0" w:space="0" w:color="auto"/>
            <w:left w:val="none" w:sz="0" w:space="0" w:color="auto"/>
            <w:bottom w:val="none" w:sz="0" w:space="0" w:color="auto"/>
            <w:right w:val="none" w:sz="0" w:space="0" w:color="auto"/>
          </w:divBdr>
        </w:div>
        <w:div w:id="833495980">
          <w:marLeft w:val="360"/>
          <w:marRight w:val="0"/>
          <w:marTop w:val="200"/>
          <w:marBottom w:val="0"/>
          <w:divBdr>
            <w:top w:val="none" w:sz="0" w:space="0" w:color="auto"/>
            <w:left w:val="none" w:sz="0" w:space="0" w:color="auto"/>
            <w:bottom w:val="none" w:sz="0" w:space="0" w:color="auto"/>
            <w:right w:val="none" w:sz="0" w:space="0" w:color="auto"/>
          </w:divBdr>
        </w:div>
        <w:div w:id="1986280889">
          <w:marLeft w:val="360"/>
          <w:marRight w:val="0"/>
          <w:marTop w:val="200"/>
          <w:marBottom w:val="0"/>
          <w:divBdr>
            <w:top w:val="none" w:sz="0" w:space="0" w:color="auto"/>
            <w:left w:val="none" w:sz="0" w:space="0" w:color="auto"/>
            <w:bottom w:val="none" w:sz="0" w:space="0" w:color="auto"/>
            <w:right w:val="none" w:sz="0" w:space="0" w:color="auto"/>
          </w:divBdr>
        </w:div>
        <w:div w:id="2003308486">
          <w:marLeft w:val="1267"/>
          <w:marRight w:val="0"/>
          <w:marTop w:val="200"/>
          <w:marBottom w:val="0"/>
          <w:divBdr>
            <w:top w:val="none" w:sz="0" w:space="0" w:color="auto"/>
            <w:left w:val="none" w:sz="0" w:space="0" w:color="auto"/>
            <w:bottom w:val="none" w:sz="0" w:space="0" w:color="auto"/>
            <w:right w:val="none" w:sz="0" w:space="0" w:color="auto"/>
          </w:divBdr>
        </w:div>
      </w:divsChild>
    </w:div>
    <w:div w:id="23228037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0164610">
      <w:bodyDiv w:val="1"/>
      <w:marLeft w:val="0"/>
      <w:marRight w:val="0"/>
      <w:marTop w:val="0"/>
      <w:marBottom w:val="0"/>
      <w:divBdr>
        <w:top w:val="none" w:sz="0" w:space="0" w:color="auto"/>
        <w:left w:val="none" w:sz="0" w:space="0" w:color="auto"/>
        <w:bottom w:val="none" w:sz="0" w:space="0" w:color="auto"/>
        <w:right w:val="none" w:sz="0" w:space="0" w:color="auto"/>
      </w:divBdr>
    </w:div>
    <w:div w:id="264577545">
      <w:bodyDiv w:val="1"/>
      <w:marLeft w:val="0"/>
      <w:marRight w:val="0"/>
      <w:marTop w:val="0"/>
      <w:marBottom w:val="0"/>
      <w:divBdr>
        <w:top w:val="none" w:sz="0" w:space="0" w:color="auto"/>
        <w:left w:val="none" w:sz="0" w:space="0" w:color="auto"/>
        <w:bottom w:val="none" w:sz="0" w:space="0" w:color="auto"/>
        <w:right w:val="none" w:sz="0" w:space="0" w:color="auto"/>
      </w:divBdr>
    </w:div>
    <w:div w:id="265187960">
      <w:bodyDiv w:val="1"/>
      <w:marLeft w:val="0"/>
      <w:marRight w:val="0"/>
      <w:marTop w:val="0"/>
      <w:marBottom w:val="0"/>
      <w:divBdr>
        <w:top w:val="none" w:sz="0" w:space="0" w:color="auto"/>
        <w:left w:val="none" w:sz="0" w:space="0" w:color="auto"/>
        <w:bottom w:val="none" w:sz="0" w:space="0" w:color="auto"/>
        <w:right w:val="none" w:sz="0" w:space="0" w:color="auto"/>
      </w:divBdr>
    </w:div>
    <w:div w:id="268660804">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280654296">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8982112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01690434">
      <w:bodyDiv w:val="1"/>
      <w:marLeft w:val="0"/>
      <w:marRight w:val="0"/>
      <w:marTop w:val="0"/>
      <w:marBottom w:val="0"/>
      <w:divBdr>
        <w:top w:val="none" w:sz="0" w:space="0" w:color="auto"/>
        <w:left w:val="none" w:sz="0" w:space="0" w:color="auto"/>
        <w:bottom w:val="none" w:sz="0" w:space="0" w:color="auto"/>
        <w:right w:val="none" w:sz="0" w:space="0" w:color="auto"/>
      </w:divBdr>
      <w:divsChild>
        <w:div w:id="69890595">
          <w:marLeft w:val="907"/>
          <w:marRight w:val="0"/>
          <w:marTop w:val="120"/>
          <w:marBottom w:val="0"/>
          <w:divBdr>
            <w:top w:val="none" w:sz="0" w:space="0" w:color="auto"/>
            <w:left w:val="none" w:sz="0" w:space="0" w:color="auto"/>
            <w:bottom w:val="none" w:sz="0" w:space="0" w:color="auto"/>
            <w:right w:val="none" w:sz="0" w:space="0" w:color="auto"/>
          </w:divBdr>
        </w:div>
        <w:div w:id="224462206">
          <w:marLeft w:val="360"/>
          <w:marRight w:val="0"/>
          <w:marTop w:val="240"/>
          <w:marBottom w:val="0"/>
          <w:divBdr>
            <w:top w:val="none" w:sz="0" w:space="0" w:color="auto"/>
            <w:left w:val="none" w:sz="0" w:space="0" w:color="auto"/>
            <w:bottom w:val="none" w:sz="0" w:space="0" w:color="auto"/>
            <w:right w:val="none" w:sz="0" w:space="0" w:color="auto"/>
          </w:divBdr>
        </w:div>
        <w:div w:id="1007096911">
          <w:marLeft w:val="360"/>
          <w:marRight w:val="0"/>
          <w:marTop w:val="240"/>
          <w:marBottom w:val="0"/>
          <w:divBdr>
            <w:top w:val="none" w:sz="0" w:space="0" w:color="auto"/>
            <w:left w:val="none" w:sz="0" w:space="0" w:color="auto"/>
            <w:bottom w:val="none" w:sz="0" w:space="0" w:color="auto"/>
            <w:right w:val="none" w:sz="0" w:space="0" w:color="auto"/>
          </w:divBdr>
        </w:div>
        <w:div w:id="1205752587">
          <w:marLeft w:val="907"/>
          <w:marRight w:val="0"/>
          <w:marTop w:val="120"/>
          <w:marBottom w:val="0"/>
          <w:divBdr>
            <w:top w:val="none" w:sz="0" w:space="0" w:color="auto"/>
            <w:left w:val="none" w:sz="0" w:space="0" w:color="auto"/>
            <w:bottom w:val="none" w:sz="0" w:space="0" w:color="auto"/>
            <w:right w:val="none" w:sz="0" w:space="0" w:color="auto"/>
          </w:divBdr>
        </w:div>
        <w:div w:id="1287347569">
          <w:marLeft w:val="907"/>
          <w:marRight w:val="0"/>
          <w:marTop w:val="120"/>
          <w:marBottom w:val="0"/>
          <w:divBdr>
            <w:top w:val="none" w:sz="0" w:space="0" w:color="auto"/>
            <w:left w:val="none" w:sz="0" w:space="0" w:color="auto"/>
            <w:bottom w:val="none" w:sz="0" w:space="0" w:color="auto"/>
            <w:right w:val="none" w:sz="0" w:space="0" w:color="auto"/>
          </w:divBdr>
        </w:div>
        <w:div w:id="1488476050">
          <w:marLeft w:val="907"/>
          <w:marRight w:val="0"/>
          <w:marTop w:val="120"/>
          <w:marBottom w:val="0"/>
          <w:divBdr>
            <w:top w:val="none" w:sz="0" w:space="0" w:color="auto"/>
            <w:left w:val="none" w:sz="0" w:space="0" w:color="auto"/>
            <w:bottom w:val="none" w:sz="0" w:space="0" w:color="auto"/>
            <w:right w:val="none" w:sz="0" w:space="0" w:color="auto"/>
          </w:divBdr>
        </w:div>
        <w:div w:id="1938555498">
          <w:marLeft w:val="907"/>
          <w:marRight w:val="0"/>
          <w:marTop w:val="120"/>
          <w:marBottom w:val="0"/>
          <w:divBdr>
            <w:top w:val="none" w:sz="0" w:space="0" w:color="auto"/>
            <w:left w:val="none" w:sz="0" w:space="0" w:color="auto"/>
            <w:bottom w:val="none" w:sz="0" w:space="0" w:color="auto"/>
            <w:right w:val="none" w:sz="0" w:space="0" w:color="auto"/>
          </w:divBdr>
        </w:div>
        <w:div w:id="2021005834">
          <w:marLeft w:val="907"/>
          <w:marRight w:val="0"/>
          <w:marTop w:val="120"/>
          <w:marBottom w:val="0"/>
          <w:divBdr>
            <w:top w:val="none" w:sz="0" w:space="0" w:color="auto"/>
            <w:left w:val="none" w:sz="0" w:space="0" w:color="auto"/>
            <w:bottom w:val="none" w:sz="0" w:space="0" w:color="auto"/>
            <w:right w:val="none" w:sz="0" w:space="0" w:color="auto"/>
          </w:divBdr>
        </w:div>
      </w:divsChild>
    </w:div>
    <w:div w:id="307393846">
      <w:bodyDiv w:val="1"/>
      <w:marLeft w:val="0"/>
      <w:marRight w:val="0"/>
      <w:marTop w:val="0"/>
      <w:marBottom w:val="0"/>
      <w:divBdr>
        <w:top w:val="none" w:sz="0" w:space="0" w:color="auto"/>
        <w:left w:val="none" w:sz="0" w:space="0" w:color="auto"/>
        <w:bottom w:val="none" w:sz="0" w:space="0" w:color="auto"/>
        <w:right w:val="none" w:sz="0" w:space="0" w:color="auto"/>
      </w:divBdr>
    </w:div>
    <w:div w:id="310840031">
      <w:bodyDiv w:val="1"/>
      <w:marLeft w:val="0"/>
      <w:marRight w:val="0"/>
      <w:marTop w:val="0"/>
      <w:marBottom w:val="0"/>
      <w:divBdr>
        <w:top w:val="none" w:sz="0" w:space="0" w:color="auto"/>
        <w:left w:val="none" w:sz="0" w:space="0" w:color="auto"/>
        <w:bottom w:val="none" w:sz="0" w:space="0" w:color="auto"/>
        <w:right w:val="none" w:sz="0" w:space="0" w:color="auto"/>
      </w:divBdr>
    </w:div>
    <w:div w:id="313798593">
      <w:bodyDiv w:val="1"/>
      <w:marLeft w:val="0"/>
      <w:marRight w:val="0"/>
      <w:marTop w:val="0"/>
      <w:marBottom w:val="0"/>
      <w:divBdr>
        <w:top w:val="none" w:sz="0" w:space="0" w:color="auto"/>
        <w:left w:val="none" w:sz="0" w:space="0" w:color="auto"/>
        <w:bottom w:val="none" w:sz="0" w:space="0" w:color="auto"/>
        <w:right w:val="none" w:sz="0" w:space="0" w:color="auto"/>
      </w:divBdr>
    </w:div>
    <w:div w:id="314577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683">
          <w:marLeft w:val="274"/>
          <w:marRight w:val="0"/>
          <w:marTop w:val="0"/>
          <w:marBottom w:val="0"/>
          <w:divBdr>
            <w:top w:val="none" w:sz="0" w:space="0" w:color="auto"/>
            <w:left w:val="none" w:sz="0" w:space="0" w:color="auto"/>
            <w:bottom w:val="none" w:sz="0" w:space="0" w:color="auto"/>
            <w:right w:val="none" w:sz="0" w:space="0" w:color="auto"/>
          </w:divBdr>
        </w:div>
        <w:div w:id="886525184">
          <w:marLeft w:val="274"/>
          <w:marRight w:val="0"/>
          <w:marTop w:val="0"/>
          <w:marBottom w:val="0"/>
          <w:divBdr>
            <w:top w:val="none" w:sz="0" w:space="0" w:color="auto"/>
            <w:left w:val="none" w:sz="0" w:space="0" w:color="auto"/>
            <w:bottom w:val="none" w:sz="0" w:space="0" w:color="auto"/>
            <w:right w:val="none" w:sz="0" w:space="0" w:color="auto"/>
          </w:divBdr>
        </w:div>
      </w:divsChild>
    </w:div>
    <w:div w:id="324554633">
      <w:bodyDiv w:val="1"/>
      <w:marLeft w:val="0"/>
      <w:marRight w:val="0"/>
      <w:marTop w:val="0"/>
      <w:marBottom w:val="0"/>
      <w:divBdr>
        <w:top w:val="none" w:sz="0" w:space="0" w:color="auto"/>
        <w:left w:val="none" w:sz="0" w:space="0" w:color="auto"/>
        <w:bottom w:val="none" w:sz="0" w:space="0" w:color="auto"/>
        <w:right w:val="none" w:sz="0" w:space="0" w:color="auto"/>
      </w:divBdr>
    </w:div>
    <w:div w:id="343675801">
      <w:bodyDiv w:val="1"/>
      <w:marLeft w:val="0"/>
      <w:marRight w:val="0"/>
      <w:marTop w:val="0"/>
      <w:marBottom w:val="0"/>
      <w:divBdr>
        <w:top w:val="none" w:sz="0" w:space="0" w:color="auto"/>
        <w:left w:val="none" w:sz="0" w:space="0" w:color="auto"/>
        <w:bottom w:val="none" w:sz="0" w:space="0" w:color="auto"/>
        <w:right w:val="none" w:sz="0" w:space="0" w:color="auto"/>
      </w:divBdr>
      <w:divsChild>
        <w:div w:id="410542761">
          <w:marLeft w:val="1526"/>
          <w:marRight w:val="0"/>
          <w:marTop w:val="0"/>
          <w:marBottom w:val="120"/>
          <w:divBdr>
            <w:top w:val="none" w:sz="0" w:space="0" w:color="auto"/>
            <w:left w:val="none" w:sz="0" w:space="0" w:color="auto"/>
            <w:bottom w:val="none" w:sz="0" w:space="0" w:color="auto"/>
            <w:right w:val="none" w:sz="0" w:space="0" w:color="auto"/>
          </w:divBdr>
        </w:div>
        <w:div w:id="907574560">
          <w:marLeft w:val="907"/>
          <w:marRight w:val="0"/>
          <w:marTop w:val="0"/>
          <w:marBottom w:val="120"/>
          <w:divBdr>
            <w:top w:val="none" w:sz="0" w:space="0" w:color="auto"/>
            <w:left w:val="none" w:sz="0" w:space="0" w:color="auto"/>
            <w:bottom w:val="none" w:sz="0" w:space="0" w:color="auto"/>
            <w:right w:val="none" w:sz="0" w:space="0" w:color="auto"/>
          </w:divBdr>
        </w:div>
        <w:div w:id="917985044">
          <w:marLeft w:val="1526"/>
          <w:marRight w:val="0"/>
          <w:marTop w:val="0"/>
          <w:marBottom w:val="120"/>
          <w:divBdr>
            <w:top w:val="none" w:sz="0" w:space="0" w:color="auto"/>
            <w:left w:val="none" w:sz="0" w:space="0" w:color="auto"/>
            <w:bottom w:val="none" w:sz="0" w:space="0" w:color="auto"/>
            <w:right w:val="none" w:sz="0" w:space="0" w:color="auto"/>
          </w:divBdr>
        </w:div>
        <w:div w:id="1677070660">
          <w:marLeft w:val="907"/>
          <w:marRight w:val="0"/>
          <w:marTop w:val="0"/>
          <w:marBottom w:val="120"/>
          <w:divBdr>
            <w:top w:val="none" w:sz="0" w:space="0" w:color="auto"/>
            <w:left w:val="none" w:sz="0" w:space="0" w:color="auto"/>
            <w:bottom w:val="none" w:sz="0" w:space="0" w:color="auto"/>
            <w:right w:val="none" w:sz="0" w:space="0" w:color="auto"/>
          </w:divBdr>
        </w:div>
        <w:div w:id="1841693946">
          <w:marLeft w:val="360"/>
          <w:marRight w:val="0"/>
          <w:marTop w:val="0"/>
          <w:marBottom w:val="120"/>
          <w:divBdr>
            <w:top w:val="none" w:sz="0" w:space="0" w:color="auto"/>
            <w:left w:val="none" w:sz="0" w:space="0" w:color="auto"/>
            <w:bottom w:val="none" w:sz="0" w:space="0" w:color="auto"/>
            <w:right w:val="none" w:sz="0" w:space="0" w:color="auto"/>
          </w:divBdr>
        </w:div>
        <w:div w:id="1952013726">
          <w:marLeft w:val="360"/>
          <w:marRight w:val="0"/>
          <w:marTop w:val="0"/>
          <w:marBottom w:val="120"/>
          <w:divBdr>
            <w:top w:val="none" w:sz="0" w:space="0" w:color="auto"/>
            <w:left w:val="none" w:sz="0" w:space="0" w:color="auto"/>
            <w:bottom w:val="none" w:sz="0" w:space="0" w:color="auto"/>
            <w:right w:val="none" w:sz="0" w:space="0" w:color="auto"/>
          </w:divBdr>
        </w:div>
      </w:divsChild>
    </w:div>
    <w:div w:id="345449867">
      <w:bodyDiv w:val="1"/>
      <w:marLeft w:val="0"/>
      <w:marRight w:val="0"/>
      <w:marTop w:val="0"/>
      <w:marBottom w:val="0"/>
      <w:divBdr>
        <w:top w:val="none" w:sz="0" w:space="0" w:color="auto"/>
        <w:left w:val="none" w:sz="0" w:space="0" w:color="auto"/>
        <w:bottom w:val="none" w:sz="0" w:space="0" w:color="auto"/>
        <w:right w:val="none" w:sz="0" w:space="0" w:color="auto"/>
      </w:divBdr>
    </w:div>
    <w:div w:id="349992464">
      <w:bodyDiv w:val="1"/>
      <w:marLeft w:val="0"/>
      <w:marRight w:val="0"/>
      <w:marTop w:val="0"/>
      <w:marBottom w:val="0"/>
      <w:divBdr>
        <w:top w:val="none" w:sz="0" w:space="0" w:color="auto"/>
        <w:left w:val="none" w:sz="0" w:space="0" w:color="auto"/>
        <w:bottom w:val="none" w:sz="0" w:space="0" w:color="auto"/>
        <w:right w:val="none" w:sz="0" w:space="0" w:color="auto"/>
      </w:divBdr>
      <w:divsChild>
        <w:div w:id="140969425">
          <w:marLeft w:val="1166"/>
          <w:marRight w:val="0"/>
          <w:marTop w:val="96"/>
          <w:marBottom w:val="0"/>
          <w:divBdr>
            <w:top w:val="none" w:sz="0" w:space="0" w:color="auto"/>
            <w:left w:val="none" w:sz="0" w:space="0" w:color="auto"/>
            <w:bottom w:val="none" w:sz="0" w:space="0" w:color="auto"/>
            <w:right w:val="none" w:sz="0" w:space="0" w:color="auto"/>
          </w:divBdr>
        </w:div>
        <w:div w:id="357974795">
          <w:marLeft w:val="547"/>
          <w:marRight w:val="0"/>
          <w:marTop w:val="115"/>
          <w:marBottom w:val="0"/>
          <w:divBdr>
            <w:top w:val="none" w:sz="0" w:space="0" w:color="auto"/>
            <w:left w:val="none" w:sz="0" w:space="0" w:color="auto"/>
            <w:bottom w:val="none" w:sz="0" w:space="0" w:color="auto"/>
            <w:right w:val="none" w:sz="0" w:space="0" w:color="auto"/>
          </w:divBdr>
        </w:div>
        <w:div w:id="1438871070">
          <w:marLeft w:val="1166"/>
          <w:marRight w:val="0"/>
          <w:marTop w:val="96"/>
          <w:marBottom w:val="0"/>
          <w:divBdr>
            <w:top w:val="none" w:sz="0" w:space="0" w:color="auto"/>
            <w:left w:val="none" w:sz="0" w:space="0" w:color="auto"/>
            <w:bottom w:val="none" w:sz="0" w:space="0" w:color="auto"/>
            <w:right w:val="none" w:sz="0" w:space="0" w:color="auto"/>
          </w:divBdr>
        </w:div>
        <w:div w:id="1552182830">
          <w:marLeft w:val="1166"/>
          <w:marRight w:val="0"/>
          <w:marTop w:val="96"/>
          <w:marBottom w:val="0"/>
          <w:divBdr>
            <w:top w:val="none" w:sz="0" w:space="0" w:color="auto"/>
            <w:left w:val="none" w:sz="0" w:space="0" w:color="auto"/>
            <w:bottom w:val="none" w:sz="0" w:space="0" w:color="auto"/>
            <w:right w:val="none" w:sz="0" w:space="0" w:color="auto"/>
          </w:divBdr>
        </w:div>
        <w:div w:id="1720090198">
          <w:marLeft w:val="547"/>
          <w:marRight w:val="0"/>
          <w:marTop w:val="115"/>
          <w:marBottom w:val="0"/>
          <w:divBdr>
            <w:top w:val="none" w:sz="0" w:space="0" w:color="auto"/>
            <w:left w:val="none" w:sz="0" w:space="0" w:color="auto"/>
            <w:bottom w:val="none" w:sz="0" w:space="0" w:color="auto"/>
            <w:right w:val="none" w:sz="0" w:space="0" w:color="auto"/>
          </w:divBdr>
        </w:div>
      </w:divsChild>
    </w:div>
    <w:div w:id="350227701">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5860842">
      <w:bodyDiv w:val="1"/>
      <w:marLeft w:val="0"/>
      <w:marRight w:val="0"/>
      <w:marTop w:val="0"/>
      <w:marBottom w:val="0"/>
      <w:divBdr>
        <w:top w:val="none" w:sz="0" w:space="0" w:color="auto"/>
        <w:left w:val="none" w:sz="0" w:space="0" w:color="auto"/>
        <w:bottom w:val="none" w:sz="0" w:space="0" w:color="auto"/>
        <w:right w:val="none" w:sz="0" w:space="0" w:color="auto"/>
      </w:divBdr>
      <w:divsChild>
        <w:div w:id="179972412">
          <w:marLeft w:val="547"/>
          <w:marRight w:val="0"/>
          <w:marTop w:val="115"/>
          <w:marBottom w:val="0"/>
          <w:divBdr>
            <w:top w:val="none" w:sz="0" w:space="0" w:color="auto"/>
            <w:left w:val="none" w:sz="0" w:space="0" w:color="auto"/>
            <w:bottom w:val="none" w:sz="0" w:space="0" w:color="auto"/>
            <w:right w:val="none" w:sz="0" w:space="0" w:color="auto"/>
          </w:divBdr>
        </w:div>
        <w:div w:id="545602418">
          <w:marLeft w:val="1166"/>
          <w:marRight w:val="0"/>
          <w:marTop w:val="96"/>
          <w:marBottom w:val="0"/>
          <w:divBdr>
            <w:top w:val="none" w:sz="0" w:space="0" w:color="auto"/>
            <w:left w:val="none" w:sz="0" w:space="0" w:color="auto"/>
            <w:bottom w:val="none" w:sz="0" w:space="0" w:color="auto"/>
            <w:right w:val="none" w:sz="0" w:space="0" w:color="auto"/>
          </w:divBdr>
        </w:div>
        <w:div w:id="1797530356">
          <w:marLeft w:val="1166"/>
          <w:marRight w:val="0"/>
          <w:marTop w:val="96"/>
          <w:marBottom w:val="0"/>
          <w:divBdr>
            <w:top w:val="none" w:sz="0" w:space="0" w:color="auto"/>
            <w:left w:val="none" w:sz="0" w:space="0" w:color="auto"/>
            <w:bottom w:val="none" w:sz="0" w:space="0" w:color="auto"/>
            <w:right w:val="none" w:sz="0" w:space="0" w:color="auto"/>
          </w:divBdr>
        </w:div>
      </w:divsChild>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3304224">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44006786">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804310">
      <w:bodyDiv w:val="1"/>
      <w:marLeft w:val="0"/>
      <w:marRight w:val="0"/>
      <w:marTop w:val="0"/>
      <w:marBottom w:val="0"/>
      <w:divBdr>
        <w:top w:val="none" w:sz="0" w:space="0" w:color="auto"/>
        <w:left w:val="none" w:sz="0" w:space="0" w:color="auto"/>
        <w:bottom w:val="none" w:sz="0" w:space="0" w:color="auto"/>
        <w:right w:val="none" w:sz="0" w:space="0" w:color="auto"/>
      </w:divBdr>
    </w:div>
    <w:div w:id="460803396">
      <w:bodyDiv w:val="1"/>
      <w:marLeft w:val="0"/>
      <w:marRight w:val="0"/>
      <w:marTop w:val="0"/>
      <w:marBottom w:val="0"/>
      <w:divBdr>
        <w:top w:val="none" w:sz="0" w:space="0" w:color="auto"/>
        <w:left w:val="none" w:sz="0" w:space="0" w:color="auto"/>
        <w:bottom w:val="none" w:sz="0" w:space="0" w:color="auto"/>
        <w:right w:val="none" w:sz="0" w:space="0" w:color="auto"/>
      </w:divBdr>
      <w:divsChild>
        <w:div w:id="228423392">
          <w:marLeft w:val="446"/>
          <w:marRight w:val="0"/>
          <w:marTop w:val="0"/>
          <w:marBottom w:val="0"/>
          <w:divBdr>
            <w:top w:val="none" w:sz="0" w:space="0" w:color="auto"/>
            <w:left w:val="none" w:sz="0" w:space="0" w:color="auto"/>
            <w:bottom w:val="none" w:sz="0" w:space="0" w:color="auto"/>
            <w:right w:val="none" w:sz="0" w:space="0" w:color="auto"/>
          </w:divBdr>
        </w:div>
        <w:div w:id="341974253">
          <w:marLeft w:val="446"/>
          <w:marRight w:val="0"/>
          <w:marTop w:val="0"/>
          <w:marBottom w:val="0"/>
          <w:divBdr>
            <w:top w:val="none" w:sz="0" w:space="0" w:color="auto"/>
            <w:left w:val="none" w:sz="0" w:space="0" w:color="auto"/>
            <w:bottom w:val="none" w:sz="0" w:space="0" w:color="auto"/>
            <w:right w:val="none" w:sz="0" w:space="0" w:color="auto"/>
          </w:divBdr>
        </w:div>
        <w:div w:id="345863522">
          <w:marLeft w:val="446"/>
          <w:marRight w:val="0"/>
          <w:marTop w:val="0"/>
          <w:marBottom w:val="0"/>
          <w:divBdr>
            <w:top w:val="none" w:sz="0" w:space="0" w:color="auto"/>
            <w:left w:val="none" w:sz="0" w:space="0" w:color="auto"/>
            <w:bottom w:val="none" w:sz="0" w:space="0" w:color="auto"/>
            <w:right w:val="none" w:sz="0" w:space="0" w:color="auto"/>
          </w:divBdr>
        </w:div>
        <w:div w:id="1071846912">
          <w:marLeft w:val="446"/>
          <w:marRight w:val="0"/>
          <w:marTop w:val="0"/>
          <w:marBottom w:val="0"/>
          <w:divBdr>
            <w:top w:val="none" w:sz="0" w:space="0" w:color="auto"/>
            <w:left w:val="none" w:sz="0" w:space="0" w:color="auto"/>
            <w:bottom w:val="none" w:sz="0" w:space="0" w:color="auto"/>
            <w:right w:val="none" w:sz="0" w:space="0" w:color="auto"/>
          </w:divBdr>
        </w:div>
        <w:div w:id="1472358936">
          <w:marLeft w:val="446"/>
          <w:marRight w:val="0"/>
          <w:marTop w:val="0"/>
          <w:marBottom w:val="0"/>
          <w:divBdr>
            <w:top w:val="none" w:sz="0" w:space="0" w:color="auto"/>
            <w:left w:val="none" w:sz="0" w:space="0" w:color="auto"/>
            <w:bottom w:val="none" w:sz="0" w:space="0" w:color="auto"/>
            <w:right w:val="none" w:sz="0" w:space="0" w:color="auto"/>
          </w:divBdr>
        </w:div>
      </w:divsChild>
    </w:div>
    <w:div w:id="4685496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959">
          <w:marLeft w:val="0"/>
          <w:marRight w:val="0"/>
          <w:marTop w:val="0"/>
          <w:marBottom w:val="0"/>
          <w:divBdr>
            <w:top w:val="none" w:sz="0" w:space="0" w:color="auto"/>
            <w:left w:val="none" w:sz="0" w:space="0" w:color="auto"/>
            <w:bottom w:val="none" w:sz="0" w:space="0" w:color="auto"/>
            <w:right w:val="none" w:sz="0" w:space="0" w:color="auto"/>
          </w:divBdr>
          <w:divsChild>
            <w:div w:id="415858277">
              <w:marLeft w:val="0"/>
              <w:marRight w:val="0"/>
              <w:marTop w:val="0"/>
              <w:marBottom w:val="0"/>
              <w:divBdr>
                <w:top w:val="none" w:sz="0" w:space="0" w:color="auto"/>
                <w:left w:val="none" w:sz="0" w:space="0" w:color="auto"/>
                <w:bottom w:val="none" w:sz="0" w:space="0" w:color="auto"/>
                <w:right w:val="none" w:sz="0" w:space="0" w:color="auto"/>
              </w:divBdr>
              <w:divsChild>
                <w:div w:id="388767216">
                  <w:marLeft w:val="0"/>
                  <w:marRight w:val="0"/>
                  <w:marTop w:val="0"/>
                  <w:marBottom w:val="0"/>
                  <w:divBdr>
                    <w:top w:val="none" w:sz="0" w:space="0" w:color="auto"/>
                    <w:left w:val="none" w:sz="0" w:space="0" w:color="auto"/>
                    <w:bottom w:val="none" w:sz="0" w:space="0" w:color="auto"/>
                    <w:right w:val="none" w:sz="0" w:space="0" w:color="auto"/>
                  </w:divBdr>
                </w:div>
              </w:divsChild>
            </w:div>
            <w:div w:id="1240943630">
              <w:marLeft w:val="0"/>
              <w:marRight w:val="0"/>
              <w:marTop w:val="0"/>
              <w:marBottom w:val="0"/>
              <w:divBdr>
                <w:top w:val="none" w:sz="0" w:space="0" w:color="auto"/>
                <w:left w:val="none" w:sz="0" w:space="0" w:color="auto"/>
                <w:bottom w:val="none" w:sz="0" w:space="0" w:color="auto"/>
                <w:right w:val="none" w:sz="0" w:space="0" w:color="auto"/>
              </w:divBdr>
              <w:divsChild>
                <w:div w:id="213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424">
      <w:bodyDiv w:val="1"/>
      <w:marLeft w:val="0"/>
      <w:marRight w:val="0"/>
      <w:marTop w:val="0"/>
      <w:marBottom w:val="0"/>
      <w:divBdr>
        <w:top w:val="none" w:sz="0" w:space="0" w:color="auto"/>
        <w:left w:val="none" w:sz="0" w:space="0" w:color="auto"/>
        <w:bottom w:val="none" w:sz="0" w:space="0" w:color="auto"/>
        <w:right w:val="none" w:sz="0" w:space="0" w:color="auto"/>
      </w:divBdr>
    </w:div>
    <w:div w:id="473838472">
      <w:bodyDiv w:val="1"/>
      <w:marLeft w:val="0"/>
      <w:marRight w:val="0"/>
      <w:marTop w:val="0"/>
      <w:marBottom w:val="0"/>
      <w:divBdr>
        <w:top w:val="none" w:sz="0" w:space="0" w:color="auto"/>
        <w:left w:val="none" w:sz="0" w:space="0" w:color="auto"/>
        <w:bottom w:val="none" w:sz="0" w:space="0" w:color="auto"/>
        <w:right w:val="none" w:sz="0" w:space="0" w:color="auto"/>
      </w:divBdr>
    </w:div>
    <w:div w:id="479619257">
      <w:bodyDiv w:val="1"/>
      <w:marLeft w:val="0"/>
      <w:marRight w:val="0"/>
      <w:marTop w:val="0"/>
      <w:marBottom w:val="0"/>
      <w:divBdr>
        <w:top w:val="none" w:sz="0" w:space="0" w:color="auto"/>
        <w:left w:val="none" w:sz="0" w:space="0" w:color="auto"/>
        <w:bottom w:val="none" w:sz="0" w:space="0" w:color="auto"/>
        <w:right w:val="none" w:sz="0" w:space="0" w:color="auto"/>
      </w:divBdr>
    </w:div>
    <w:div w:id="490801166">
      <w:bodyDiv w:val="1"/>
      <w:marLeft w:val="0"/>
      <w:marRight w:val="0"/>
      <w:marTop w:val="0"/>
      <w:marBottom w:val="0"/>
      <w:divBdr>
        <w:top w:val="none" w:sz="0" w:space="0" w:color="auto"/>
        <w:left w:val="none" w:sz="0" w:space="0" w:color="auto"/>
        <w:bottom w:val="none" w:sz="0" w:space="0" w:color="auto"/>
        <w:right w:val="none" w:sz="0" w:space="0" w:color="auto"/>
      </w:divBdr>
      <w:divsChild>
        <w:div w:id="356548358">
          <w:marLeft w:val="0"/>
          <w:marRight w:val="0"/>
          <w:marTop w:val="0"/>
          <w:marBottom w:val="0"/>
          <w:divBdr>
            <w:top w:val="none" w:sz="0" w:space="0" w:color="auto"/>
            <w:left w:val="none" w:sz="0" w:space="0" w:color="auto"/>
            <w:bottom w:val="none" w:sz="0" w:space="0" w:color="auto"/>
            <w:right w:val="none" w:sz="0" w:space="0" w:color="auto"/>
          </w:divBdr>
        </w:div>
        <w:div w:id="696927131">
          <w:marLeft w:val="0"/>
          <w:marRight w:val="0"/>
          <w:marTop w:val="0"/>
          <w:marBottom w:val="0"/>
          <w:divBdr>
            <w:top w:val="none" w:sz="0" w:space="0" w:color="auto"/>
            <w:left w:val="none" w:sz="0" w:space="0" w:color="auto"/>
            <w:bottom w:val="none" w:sz="0" w:space="0" w:color="auto"/>
            <w:right w:val="none" w:sz="0" w:space="0" w:color="auto"/>
          </w:divBdr>
        </w:div>
        <w:div w:id="117531923">
          <w:marLeft w:val="0"/>
          <w:marRight w:val="0"/>
          <w:marTop w:val="0"/>
          <w:marBottom w:val="0"/>
          <w:divBdr>
            <w:top w:val="none" w:sz="0" w:space="0" w:color="auto"/>
            <w:left w:val="none" w:sz="0" w:space="0" w:color="auto"/>
            <w:bottom w:val="none" w:sz="0" w:space="0" w:color="auto"/>
            <w:right w:val="none" w:sz="0" w:space="0" w:color="auto"/>
          </w:divBdr>
        </w:div>
      </w:divsChild>
    </w:div>
    <w:div w:id="502820911">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13884657">
      <w:bodyDiv w:val="1"/>
      <w:marLeft w:val="0"/>
      <w:marRight w:val="0"/>
      <w:marTop w:val="0"/>
      <w:marBottom w:val="0"/>
      <w:divBdr>
        <w:top w:val="none" w:sz="0" w:space="0" w:color="auto"/>
        <w:left w:val="none" w:sz="0" w:space="0" w:color="auto"/>
        <w:bottom w:val="none" w:sz="0" w:space="0" w:color="auto"/>
        <w:right w:val="none" w:sz="0" w:space="0" w:color="auto"/>
      </w:divBdr>
    </w:div>
    <w:div w:id="52279102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4847788">
      <w:bodyDiv w:val="1"/>
      <w:marLeft w:val="0"/>
      <w:marRight w:val="0"/>
      <w:marTop w:val="0"/>
      <w:marBottom w:val="0"/>
      <w:divBdr>
        <w:top w:val="none" w:sz="0" w:space="0" w:color="auto"/>
        <w:left w:val="none" w:sz="0" w:space="0" w:color="auto"/>
        <w:bottom w:val="none" w:sz="0" w:space="0" w:color="auto"/>
        <w:right w:val="none" w:sz="0" w:space="0" w:color="auto"/>
      </w:divBdr>
      <w:divsChild>
        <w:div w:id="94130178">
          <w:marLeft w:val="1166"/>
          <w:marRight w:val="0"/>
          <w:marTop w:val="96"/>
          <w:marBottom w:val="0"/>
          <w:divBdr>
            <w:top w:val="none" w:sz="0" w:space="0" w:color="auto"/>
            <w:left w:val="none" w:sz="0" w:space="0" w:color="auto"/>
            <w:bottom w:val="none" w:sz="0" w:space="0" w:color="auto"/>
            <w:right w:val="none" w:sz="0" w:space="0" w:color="auto"/>
          </w:divBdr>
        </w:div>
        <w:div w:id="470824965">
          <w:marLeft w:val="1166"/>
          <w:marRight w:val="0"/>
          <w:marTop w:val="96"/>
          <w:marBottom w:val="0"/>
          <w:divBdr>
            <w:top w:val="none" w:sz="0" w:space="0" w:color="auto"/>
            <w:left w:val="none" w:sz="0" w:space="0" w:color="auto"/>
            <w:bottom w:val="none" w:sz="0" w:space="0" w:color="auto"/>
            <w:right w:val="none" w:sz="0" w:space="0" w:color="auto"/>
          </w:divBdr>
        </w:div>
        <w:div w:id="572010687">
          <w:marLeft w:val="547"/>
          <w:marRight w:val="0"/>
          <w:marTop w:val="115"/>
          <w:marBottom w:val="0"/>
          <w:divBdr>
            <w:top w:val="none" w:sz="0" w:space="0" w:color="auto"/>
            <w:left w:val="none" w:sz="0" w:space="0" w:color="auto"/>
            <w:bottom w:val="none" w:sz="0" w:space="0" w:color="auto"/>
            <w:right w:val="none" w:sz="0" w:space="0" w:color="auto"/>
          </w:divBdr>
        </w:div>
        <w:div w:id="610555835">
          <w:marLeft w:val="547"/>
          <w:marRight w:val="0"/>
          <w:marTop w:val="115"/>
          <w:marBottom w:val="0"/>
          <w:divBdr>
            <w:top w:val="none" w:sz="0" w:space="0" w:color="auto"/>
            <w:left w:val="none" w:sz="0" w:space="0" w:color="auto"/>
            <w:bottom w:val="none" w:sz="0" w:space="0" w:color="auto"/>
            <w:right w:val="none" w:sz="0" w:space="0" w:color="auto"/>
          </w:divBdr>
        </w:div>
        <w:div w:id="937905732">
          <w:marLeft w:val="1166"/>
          <w:marRight w:val="0"/>
          <w:marTop w:val="96"/>
          <w:marBottom w:val="0"/>
          <w:divBdr>
            <w:top w:val="none" w:sz="0" w:space="0" w:color="auto"/>
            <w:left w:val="none" w:sz="0" w:space="0" w:color="auto"/>
            <w:bottom w:val="none" w:sz="0" w:space="0" w:color="auto"/>
            <w:right w:val="none" w:sz="0" w:space="0" w:color="auto"/>
          </w:divBdr>
        </w:div>
        <w:div w:id="1285113347">
          <w:marLeft w:val="1166"/>
          <w:marRight w:val="0"/>
          <w:marTop w:val="96"/>
          <w:marBottom w:val="0"/>
          <w:divBdr>
            <w:top w:val="none" w:sz="0" w:space="0" w:color="auto"/>
            <w:left w:val="none" w:sz="0" w:space="0" w:color="auto"/>
            <w:bottom w:val="none" w:sz="0" w:space="0" w:color="auto"/>
            <w:right w:val="none" w:sz="0" w:space="0" w:color="auto"/>
          </w:divBdr>
        </w:div>
        <w:div w:id="2018384045">
          <w:marLeft w:val="1166"/>
          <w:marRight w:val="0"/>
          <w:marTop w:val="96"/>
          <w:marBottom w:val="0"/>
          <w:divBdr>
            <w:top w:val="none" w:sz="0" w:space="0" w:color="auto"/>
            <w:left w:val="none" w:sz="0" w:space="0" w:color="auto"/>
            <w:bottom w:val="none" w:sz="0" w:space="0" w:color="auto"/>
            <w:right w:val="none" w:sz="0" w:space="0" w:color="auto"/>
          </w:divBdr>
        </w:div>
      </w:divsChild>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9005102">
      <w:bodyDiv w:val="1"/>
      <w:marLeft w:val="0"/>
      <w:marRight w:val="0"/>
      <w:marTop w:val="0"/>
      <w:marBottom w:val="0"/>
      <w:divBdr>
        <w:top w:val="none" w:sz="0" w:space="0" w:color="auto"/>
        <w:left w:val="none" w:sz="0" w:space="0" w:color="auto"/>
        <w:bottom w:val="none" w:sz="0" w:space="0" w:color="auto"/>
        <w:right w:val="none" w:sz="0" w:space="0" w:color="auto"/>
      </w:divBdr>
      <w:divsChild>
        <w:div w:id="131795729">
          <w:marLeft w:val="1080"/>
          <w:marRight w:val="0"/>
          <w:marTop w:val="100"/>
          <w:marBottom w:val="0"/>
          <w:divBdr>
            <w:top w:val="none" w:sz="0" w:space="0" w:color="auto"/>
            <w:left w:val="none" w:sz="0" w:space="0" w:color="auto"/>
            <w:bottom w:val="none" w:sz="0" w:space="0" w:color="auto"/>
            <w:right w:val="none" w:sz="0" w:space="0" w:color="auto"/>
          </w:divBdr>
        </w:div>
      </w:divsChild>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4976696">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1717807">
      <w:bodyDiv w:val="1"/>
      <w:marLeft w:val="0"/>
      <w:marRight w:val="0"/>
      <w:marTop w:val="0"/>
      <w:marBottom w:val="0"/>
      <w:divBdr>
        <w:top w:val="none" w:sz="0" w:space="0" w:color="auto"/>
        <w:left w:val="none" w:sz="0" w:space="0" w:color="auto"/>
        <w:bottom w:val="none" w:sz="0" w:space="0" w:color="auto"/>
        <w:right w:val="none" w:sz="0" w:space="0" w:color="auto"/>
      </w:divBdr>
      <w:divsChild>
        <w:div w:id="254048856">
          <w:marLeft w:val="360"/>
          <w:marRight w:val="0"/>
          <w:marTop w:val="200"/>
          <w:marBottom w:val="0"/>
          <w:divBdr>
            <w:top w:val="none" w:sz="0" w:space="0" w:color="auto"/>
            <w:left w:val="none" w:sz="0" w:space="0" w:color="auto"/>
            <w:bottom w:val="none" w:sz="0" w:space="0" w:color="auto"/>
            <w:right w:val="none" w:sz="0" w:space="0" w:color="auto"/>
          </w:divBdr>
        </w:div>
        <w:div w:id="260647606">
          <w:marLeft w:val="1080"/>
          <w:marRight w:val="0"/>
          <w:marTop w:val="100"/>
          <w:marBottom w:val="0"/>
          <w:divBdr>
            <w:top w:val="none" w:sz="0" w:space="0" w:color="auto"/>
            <w:left w:val="none" w:sz="0" w:space="0" w:color="auto"/>
            <w:bottom w:val="none" w:sz="0" w:space="0" w:color="auto"/>
            <w:right w:val="none" w:sz="0" w:space="0" w:color="auto"/>
          </w:divBdr>
        </w:div>
        <w:div w:id="1004748676">
          <w:marLeft w:val="1080"/>
          <w:marRight w:val="0"/>
          <w:marTop w:val="100"/>
          <w:marBottom w:val="0"/>
          <w:divBdr>
            <w:top w:val="none" w:sz="0" w:space="0" w:color="auto"/>
            <w:left w:val="none" w:sz="0" w:space="0" w:color="auto"/>
            <w:bottom w:val="none" w:sz="0" w:space="0" w:color="auto"/>
            <w:right w:val="none" w:sz="0" w:space="0" w:color="auto"/>
          </w:divBdr>
        </w:div>
        <w:div w:id="1491869601">
          <w:marLeft w:val="360"/>
          <w:marRight w:val="0"/>
          <w:marTop w:val="200"/>
          <w:marBottom w:val="0"/>
          <w:divBdr>
            <w:top w:val="none" w:sz="0" w:space="0" w:color="auto"/>
            <w:left w:val="none" w:sz="0" w:space="0" w:color="auto"/>
            <w:bottom w:val="none" w:sz="0" w:space="0" w:color="auto"/>
            <w:right w:val="none" w:sz="0" w:space="0" w:color="auto"/>
          </w:divBdr>
        </w:div>
        <w:div w:id="1639261122">
          <w:marLeft w:val="1080"/>
          <w:marRight w:val="0"/>
          <w:marTop w:val="100"/>
          <w:marBottom w:val="0"/>
          <w:divBdr>
            <w:top w:val="none" w:sz="0" w:space="0" w:color="auto"/>
            <w:left w:val="none" w:sz="0" w:space="0" w:color="auto"/>
            <w:bottom w:val="none" w:sz="0" w:space="0" w:color="auto"/>
            <w:right w:val="none" w:sz="0" w:space="0" w:color="auto"/>
          </w:divBdr>
        </w:div>
        <w:div w:id="1992829138">
          <w:marLeft w:val="360"/>
          <w:marRight w:val="0"/>
          <w:marTop w:val="200"/>
          <w:marBottom w:val="0"/>
          <w:divBdr>
            <w:top w:val="none" w:sz="0" w:space="0" w:color="auto"/>
            <w:left w:val="none" w:sz="0" w:space="0" w:color="auto"/>
            <w:bottom w:val="none" w:sz="0" w:space="0" w:color="auto"/>
            <w:right w:val="none" w:sz="0" w:space="0" w:color="auto"/>
          </w:divBdr>
        </w:div>
        <w:div w:id="2127655342">
          <w:marLeft w:val="1080"/>
          <w:marRight w:val="0"/>
          <w:marTop w:val="10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1013508">
      <w:bodyDiv w:val="1"/>
      <w:marLeft w:val="0"/>
      <w:marRight w:val="0"/>
      <w:marTop w:val="0"/>
      <w:marBottom w:val="0"/>
      <w:divBdr>
        <w:top w:val="none" w:sz="0" w:space="0" w:color="auto"/>
        <w:left w:val="none" w:sz="0" w:space="0" w:color="auto"/>
        <w:bottom w:val="none" w:sz="0" w:space="0" w:color="auto"/>
        <w:right w:val="none" w:sz="0" w:space="0" w:color="auto"/>
      </w:divBdr>
      <w:divsChild>
        <w:div w:id="132329951">
          <w:marLeft w:val="1080"/>
          <w:marRight w:val="0"/>
          <w:marTop w:val="100"/>
          <w:marBottom w:val="0"/>
          <w:divBdr>
            <w:top w:val="none" w:sz="0" w:space="0" w:color="auto"/>
            <w:left w:val="none" w:sz="0" w:space="0" w:color="auto"/>
            <w:bottom w:val="none" w:sz="0" w:space="0" w:color="auto"/>
            <w:right w:val="none" w:sz="0" w:space="0" w:color="auto"/>
          </w:divBdr>
        </w:div>
        <w:div w:id="258374579">
          <w:marLeft w:val="1080"/>
          <w:marRight w:val="0"/>
          <w:marTop w:val="100"/>
          <w:marBottom w:val="0"/>
          <w:divBdr>
            <w:top w:val="none" w:sz="0" w:space="0" w:color="auto"/>
            <w:left w:val="none" w:sz="0" w:space="0" w:color="auto"/>
            <w:bottom w:val="none" w:sz="0" w:space="0" w:color="auto"/>
            <w:right w:val="none" w:sz="0" w:space="0" w:color="auto"/>
          </w:divBdr>
        </w:div>
        <w:div w:id="317222766">
          <w:marLeft w:val="360"/>
          <w:marRight w:val="0"/>
          <w:marTop w:val="200"/>
          <w:marBottom w:val="0"/>
          <w:divBdr>
            <w:top w:val="none" w:sz="0" w:space="0" w:color="auto"/>
            <w:left w:val="none" w:sz="0" w:space="0" w:color="auto"/>
            <w:bottom w:val="none" w:sz="0" w:space="0" w:color="auto"/>
            <w:right w:val="none" w:sz="0" w:space="0" w:color="auto"/>
          </w:divBdr>
        </w:div>
        <w:div w:id="496648847">
          <w:marLeft w:val="360"/>
          <w:marRight w:val="0"/>
          <w:marTop w:val="200"/>
          <w:marBottom w:val="0"/>
          <w:divBdr>
            <w:top w:val="none" w:sz="0" w:space="0" w:color="auto"/>
            <w:left w:val="none" w:sz="0" w:space="0" w:color="auto"/>
            <w:bottom w:val="none" w:sz="0" w:space="0" w:color="auto"/>
            <w:right w:val="none" w:sz="0" w:space="0" w:color="auto"/>
          </w:divBdr>
        </w:div>
        <w:div w:id="790170782">
          <w:marLeft w:val="360"/>
          <w:marRight w:val="0"/>
          <w:marTop w:val="200"/>
          <w:marBottom w:val="0"/>
          <w:divBdr>
            <w:top w:val="none" w:sz="0" w:space="0" w:color="auto"/>
            <w:left w:val="none" w:sz="0" w:space="0" w:color="auto"/>
            <w:bottom w:val="none" w:sz="0" w:space="0" w:color="auto"/>
            <w:right w:val="none" w:sz="0" w:space="0" w:color="auto"/>
          </w:divBdr>
        </w:div>
        <w:div w:id="927076141">
          <w:marLeft w:val="1080"/>
          <w:marRight w:val="0"/>
          <w:marTop w:val="100"/>
          <w:marBottom w:val="0"/>
          <w:divBdr>
            <w:top w:val="none" w:sz="0" w:space="0" w:color="auto"/>
            <w:left w:val="none" w:sz="0" w:space="0" w:color="auto"/>
            <w:bottom w:val="none" w:sz="0" w:space="0" w:color="auto"/>
            <w:right w:val="none" w:sz="0" w:space="0" w:color="auto"/>
          </w:divBdr>
        </w:div>
        <w:div w:id="1364357558">
          <w:marLeft w:val="1080"/>
          <w:marRight w:val="0"/>
          <w:marTop w:val="100"/>
          <w:marBottom w:val="0"/>
          <w:divBdr>
            <w:top w:val="none" w:sz="0" w:space="0" w:color="auto"/>
            <w:left w:val="none" w:sz="0" w:space="0" w:color="auto"/>
            <w:bottom w:val="none" w:sz="0" w:space="0" w:color="auto"/>
            <w:right w:val="none" w:sz="0" w:space="0" w:color="auto"/>
          </w:divBdr>
        </w:div>
        <w:div w:id="1397893774">
          <w:marLeft w:val="360"/>
          <w:marRight w:val="0"/>
          <w:marTop w:val="200"/>
          <w:marBottom w:val="0"/>
          <w:divBdr>
            <w:top w:val="none" w:sz="0" w:space="0" w:color="auto"/>
            <w:left w:val="none" w:sz="0" w:space="0" w:color="auto"/>
            <w:bottom w:val="none" w:sz="0" w:space="0" w:color="auto"/>
            <w:right w:val="none" w:sz="0" w:space="0" w:color="auto"/>
          </w:divBdr>
        </w:div>
        <w:div w:id="1560092511">
          <w:marLeft w:val="360"/>
          <w:marRight w:val="0"/>
          <w:marTop w:val="200"/>
          <w:marBottom w:val="0"/>
          <w:divBdr>
            <w:top w:val="none" w:sz="0" w:space="0" w:color="auto"/>
            <w:left w:val="none" w:sz="0" w:space="0" w:color="auto"/>
            <w:bottom w:val="none" w:sz="0" w:space="0" w:color="auto"/>
            <w:right w:val="none" w:sz="0" w:space="0" w:color="auto"/>
          </w:divBdr>
        </w:div>
        <w:div w:id="1901476030">
          <w:marLeft w:val="1080"/>
          <w:marRight w:val="0"/>
          <w:marTop w:val="100"/>
          <w:marBottom w:val="0"/>
          <w:divBdr>
            <w:top w:val="none" w:sz="0" w:space="0" w:color="auto"/>
            <w:left w:val="none" w:sz="0" w:space="0" w:color="auto"/>
            <w:bottom w:val="none" w:sz="0" w:space="0" w:color="auto"/>
            <w:right w:val="none" w:sz="0" w:space="0" w:color="auto"/>
          </w:divBdr>
        </w:div>
        <w:div w:id="2106921141">
          <w:marLeft w:val="360"/>
          <w:marRight w:val="0"/>
          <w:marTop w:val="200"/>
          <w:marBottom w:val="0"/>
          <w:divBdr>
            <w:top w:val="none" w:sz="0" w:space="0" w:color="auto"/>
            <w:left w:val="none" w:sz="0" w:space="0" w:color="auto"/>
            <w:bottom w:val="none" w:sz="0" w:space="0" w:color="auto"/>
            <w:right w:val="none" w:sz="0" w:space="0" w:color="auto"/>
          </w:divBdr>
        </w:div>
      </w:divsChild>
    </w:div>
    <w:div w:id="600797735">
      <w:bodyDiv w:val="1"/>
      <w:marLeft w:val="0"/>
      <w:marRight w:val="0"/>
      <w:marTop w:val="0"/>
      <w:marBottom w:val="0"/>
      <w:divBdr>
        <w:top w:val="none" w:sz="0" w:space="0" w:color="auto"/>
        <w:left w:val="none" w:sz="0" w:space="0" w:color="auto"/>
        <w:bottom w:val="none" w:sz="0" w:space="0" w:color="auto"/>
        <w:right w:val="none" w:sz="0" w:space="0" w:color="auto"/>
      </w:divBdr>
    </w:div>
    <w:div w:id="602610368">
      <w:bodyDiv w:val="1"/>
      <w:marLeft w:val="0"/>
      <w:marRight w:val="0"/>
      <w:marTop w:val="0"/>
      <w:marBottom w:val="0"/>
      <w:divBdr>
        <w:top w:val="none" w:sz="0" w:space="0" w:color="auto"/>
        <w:left w:val="none" w:sz="0" w:space="0" w:color="auto"/>
        <w:bottom w:val="none" w:sz="0" w:space="0" w:color="auto"/>
        <w:right w:val="none" w:sz="0" w:space="0" w:color="auto"/>
      </w:divBdr>
      <w:divsChild>
        <w:div w:id="363487553">
          <w:marLeft w:val="360"/>
          <w:marRight w:val="0"/>
          <w:marTop w:val="200"/>
          <w:marBottom w:val="0"/>
          <w:divBdr>
            <w:top w:val="none" w:sz="0" w:space="0" w:color="auto"/>
            <w:left w:val="none" w:sz="0" w:space="0" w:color="auto"/>
            <w:bottom w:val="none" w:sz="0" w:space="0" w:color="auto"/>
            <w:right w:val="none" w:sz="0" w:space="0" w:color="auto"/>
          </w:divBdr>
        </w:div>
      </w:divsChild>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15988033">
      <w:bodyDiv w:val="1"/>
      <w:marLeft w:val="0"/>
      <w:marRight w:val="0"/>
      <w:marTop w:val="0"/>
      <w:marBottom w:val="0"/>
      <w:divBdr>
        <w:top w:val="none" w:sz="0" w:space="0" w:color="auto"/>
        <w:left w:val="none" w:sz="0" w:space="0" w:color="auto"/>
        <w:bottom w:val="none" w:sz="0" w:space="0" w:color="auto"/>
        <w:right w:val="none" w:sz="0" w:space="0" w:color="auto"/>
      </w:divBdr>
    </w:div>
    <w:div w:id="619341999">
      <w:bodyDiv w:val="1"/>
      <w:marLeft w:val="0"/>
      <w:marRight w:val="0"/>
      <w:marTop w:val="0"/>
      <w:marBottom w:val="0"/>
      <w:divBdr>
        <w:top w:val="none" w:sz="0" w:space="0" w:color="auto"/>
        <w:left w:val="none" w:sz="0" w:space="0" w:color="auto"/>
        <w:bottom w:val="none" w:sz="0" w:space="0" w:color="auto"/>
        <w:right w:val="none" w:sz="0" w:space="0" w:color="auto"/>
      </w:divBdr>
    </w:div>
    <w:div w:id="633831309">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118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341">
          <w:marLeft w:val="907"/>
          <w:marRight w:val="0"/>
          <w:marTop w:val="0"/>
          <w:marBottom w:val="80"/>
          <w:divBdr>
            <w:top w:val="none" w:sz="0" w:space="0" w:color="auto"/>
            <w:left w:val="none" w:sz="0" w:space="0" w:color="auto"/>
            <w:bottom w:val="none" w:sz="0" w:space="0" w:color="auto"/>
            <w:right w:val="none" w:sz="0" w:space="0" w:color="auto"/>
          </w:divBdr>
        </w:div>
        <w:div w:id="403257761">
          <w:marLeft w:val="907"/>
          <w:marRight w:val="0"/>
          <w:marTop w:val="0"/>
          <w:marBottom w:val="80"/>
          <w:divBdr>
            <w:top w:val="none" w:sz="0" w:space="0" w:color="auto"/>
            <w:left w:val="none" w:sz="0" w:space="0" w:color="auto"/>
            <w:bottom w:val="none" w:sz="0" w:space="0" w:color="auto"/>
            <w:right w:val="none" w:sz="0" w:space="0" w:color="auto"/>
          </w:divBdr>
        </w:div>
        <w:div w:id="450974687">
          <w:marLeft w:val="360"/>
          <w:marRight w:val="0"/>
          <w:marTop w:val="0"/>
          <w:marBottom w:val="80"/>
          <w:divBdr>
            <w:top w:val="none" w:sz="0" w:space="0" w:color="auto"/>
            <w:left w:val="none" w:sz="0" w:space="0" w:color="auto"/>
            <w:bottom w:val="none" w:sz="0" w:space="0" w:color="auto"/>
            <w:right w:val="none" w:sz="0" w:space="0" w:color="auto"/>
          </w:divBdr>
        </w:div>
        <w:div w:id="652566111">
          <w:marLeft w:val="907"/>
          <w:marRight w:val="0"/>
          <w:marTop w:val="0"/>
          <w:marBottom w:val="80"/>
          <w:divBdr>
            <w:top w:val="none" w:sz="0" w:space="0" w:color="auto"/>
            <w:left w:val="none" w:sz="0" w:space="0" w:color="auto"/>
            <w:bottom w:val="none" w:sz="0" w:space="0" w:color="auto"/>
            <w:right w:val="none" w:sz="0" w:space="0" w:color="auto"/>
          </w:divBdr>
        </w:div>
        <w:div w:id="712535315">
          <w:marLeft w:val="907"/>
          <w:marRight w:val="0"/>
          <w:marTop w:val="0"/>
          <w:marBottom w:val="80"/>
          <w:divBdr>
            <w:top w:val="none" w:sz="0" w:space="0" w:color="auto"/>
            <w:left w:val="none" w:sz="0" w:space="0" w:color="auto"/>
            <w:bottom w:val="none" w:sz="0" w:space="0" w:color="auto"/>
            <w:right w:val="none" w:sz="0" w:space="0" w:color="auto"/>
          </w:divBdr>
        </w:div>
        <w:div w:id="1048724937">
          <w:marLeft w:val="360"/>
          <w:marRight w:val="0"/>
          <w:marTop w:val="0"/>
          <w:marBottom w:val="80"/>
          <w:divBdr>
            <w:top w:val="none" w:sz="0" w:space="0" w:color="auto"/>
            <w:left w:val="none" w:sz="0" w:space="0" w:color="auto"/>
            <w:bottom w:val="none" w:sz="0" w:space="0" w:color="auto"/>
            <w:right w:val="none" w:sz="0" w:space="0" w:color="auto"/>
          </w:divBdr>
        </w:div>
        <w:div w:id="1104226796">
          <w:marLeft w:val="360"/>
          <w:marRight w:val="0"/>
          <w:marTop w:val="0"/>
          <w:marBottom w:val="80"/>
          <w:divBdr>
            <w:top w:val="none" w:sz="0" w:space="0" w:color="auto"/>
            <w:left w:val="none" w:sz="0" w:space="0" w:color="auto"/>
            <w:bottom w:val="none" w:sz="0" w:space="0" w:color="auto"/>
            <w:right w:val="none" w:sz="0" w:space="0" w:color="auto"/>
          </w:divBdr>
        </w:div>
        <w:div w:id="1122306256">
          <w:marLeft w:val="360"/>
          <w:marRight w:val="0"/>
          <w:marTop w:val="0"/>
          <w:marBottom w:val="80"/>
          <w:divBdr>
            <w:top w:val="none" w:sz="0" w:space="0" w:color="auto"/>
            <w:left w:val="none" w:sz="0" w:space="0" w:color="auto"/>
            <w:bottom w:val="none" w:sz="0" w:space="0" w:color="auto"/>
            <w:right w:val="none" w:sz="0" w:space="0" w:color="auto"/>
          </w:divBdr>
        </w:div>
        <w:div w:id="2050104345">
          <w:marLeft w:val="907"/>
          <w:marRight w:val="0"/>
          <w:marTop w:val="0"/>
          <w:marBottom w:val="80"/>
          <w:divBdr>
            <w:top w:val="none" w:sz="0" w:space="0" w:color="auto"/>
            <w:left w:val="none" w:sz="0" w:space="0" w:color="auto"/>
            <w:bottom w:val="none" w:sz="0" w:space="0" w:color="auto"/>
            <w:right w:val="none" w:sz="0" w:space="0" w:color="auto"/>
          </w:divBdr>
        </w:div>
      </w:divsChild>
    </w:div>
    <w:div w:id="651761598">
      <w:bodyDiv w:val="1"/>
      <w:marLeft w:val="0"/>
      <w:marRight w:val="0"/>
      <w:marTop w:val="0"/>
      <w:marBottom w:val="0"/>
      <w:divBdr>
        <w:top w:val="none" w:sz="0" w:space="0" w:color="auto"/>
        <w:left w:val="none" w:sz="0" w:space="0" w:color="auto"/>
        <w:bottom w:val="none" w:sz="0" w:space="0" w:color="auto"/>
        <w:right w:val="none" w:sz="0" w:space="0" w:color="auto"/>
      </w:divBdr>
      <w:divsChild>
        <w:div w:id="965619803">
          <w:marLeft w:val="1080"/>
          <w:marRight w:val="0"/>
          <w:marTop w:val="100"/>
          <w:marBottom w:val="0"/>
          <w:divBdr>
            <w:top w:val="none" w:sz="0" w:space="0" w:color="auto"/>
            <w:left w:val="none" w:sz="0" w:space="0" w:color="auto"/>
            <w:bottom w:val="none" w:sz="0" w:space="0" w:color="auto"/>
            <w:right w:val="none" w:sz="0" w:space="0" w:color="auto"/>
          </w:divBdr>
        </w:div>
        <w:div w:id="1550722009">
          <w:marLeft w:val="1080"/>
          <w:marRight w:val="0"/>
          <w:marTop w:val="100"/>
          <w:marBottom w:val="0"/>
          <w:divBdr>
            <w:top w:val="none" w:sz="0" w:space="0" w:color="auto"/>
            <w:left w:val="none" w:sz="0" w:space="0" w:color="auto"/>
            <w:bottom w:val="none" w:sz="0" w:space="0" w:color="auto"/>
            <w:right w:val="none" w:sz="0" w:space="0" w:color="auto"/>
          </w:divBdr>
        </w:div>
      </w:divsChild>
    </w:div>
    <w:div w:id="6525680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6687020">
      <w:bodyDiv w:val="1"/>
      <w:marLeft w:val="0"/>
      <w:marRight w:val="0"/>
      <w:marTop w:val="0"/>
      <w:marBottom w:val="0"/>
      <w:divBdr>
        <w:top w:val="none" w:sz="0" w:space="0" w:color="auto"/>
        <w:left w:val="none" w:sz="0" w:space="0" w:color="auto"/>
        <w:bottom w:val="none" w:sz="0" w:space="0" w:color="auto"/>
        <w:right w:val="none" w:sz="0" w:space="0" w:color="auto"/>
      </w:divBdr>
    </w:div>
    <w:div w:id="656693906">
      <w:bodyDiv w:val="1"/>
      <w:marLeft w:val="0"/>
      <w:marRight w:val="0"/>
      <w:marTop w:val="0"/>
      <w:marBottom w:val="0"/>
      <w:divBdr>
        <w:top w:val="none" w:sz="0" w:space="0" w:color="auto"/>
        <w:left w:val="none" w:sz="0" w:space="0" w:color="auto"/>
        <w:bottom w:val="none" w:sz="0" w:space="0" w:color="auto"/>
        <w:right w:val="none" w:sz="0" w:space="0" w:color="auto"/>
      </w:divBdr>
    </w:div>
    <w:div w:id="657148742">
      <w:bodyDiv w:val="1"/>
      <w:marLeft w:val="0"/>
      <w:marRight w:val="0"/>
      <w:marTop w:val="0"/>
      <w:marBottom w:val="0"/>
      <w:divBdr>
        <w:top w:val="none" w:sz="0" w:space="0" w:color="auto"/>
        <w:left w:val="none" w:sz="0" w:space="0" w:color="auto"/>
        <w:bottom w:val="none" w:sz="0" w:space="0" w:color="auto"/>
        <w:right w:val="none" w:sz="0" w:space="0" w:color="auto"/>
      </w:divBdr>
    </w:div>
    <w:div w:id="672028411">
      <w:bodyDiv w:val="1"/>
      <w:marLeft w:val="0"/>
      <w:marRight w:val="0"/>
      <w:marTop w:val="0"/>
      <w:marBottom w:val="0"/>
      <w:divBdr>
        <w:top w:val="none" w:sz="0" w:space="0" w:color="auto"/>
        <w:left w:val="none" w:sz="0" w:space="0" w:color="auto"/>
        <w:bottom w:val="none" w:sz="0" w:space="0" w:color="auto"/>
        <w:right w:val="none" w:sz="0" w:space="0" w:color="auto"/>
      </w:divBdr>
      <w:divsChild>
        <w:div w:id="25102773">
          <w:marLeft w:val="360"/>
          <w:marRight w:val="0"/>
          <w:marTop w:val="0"/>
          <w:marBottom w:val="120"/>
          <w:divBdr>
            <w:top w:val="none" w:sz="0" w:space="0" w:color="auto"/>
            <w:left w:val="none" w:sz="0" w:space="0" w:color="auto"/>
            <w:bottom w:val="none" w:sz="0" w:space="0" w:color="auto"/>
            <w:right w:val="none" w:sz="0" w:space="0" w:color="auto"/>
          </w:divBdr>
        </w:div>
        <w:div w:id="876938335">
          <w:marLeft w:val="907"/>
          <w:marRight w:val="0"/>
          <w:marTop w:val="0"/>
          <w:marBottom w:val="120"/>
          <w:divBdr>
            <w:top w:val="none" w:sz="0" w:space="0" w:color="auto"/>
            <w:left w:val="none" w:sz="0" w:space="0" w:color="auto"/>
            <w:bottom w:val="none" w:sz="0" w:space="0" w:color="auto"/>
            <w:right w:val="none" w:sz="0" w:space="0" w:color="auto"/>
          </w:divBdr>
        </w:div>
        <w:div w:id="1665621181">
          <w:marLeft w:val="907"/>
          <w:marRight w:val="0"/>
          <w:marTop w:val="0"/>
          <w:marBottom w:val="120"/>
          <w:divBdr>
            <w:top w:val="none" w:sz="0" w:space="0" w:color="auto"/>
            <w:left w:val="none" w:sz="0" w:space="0" w:color="auto"/>
            <w:bottom w:val="none" w:sz="0" w:space="0" w:color="auto"/>
            <w:right w:val="none" w:sz="0" w:space="0" w:color="auto"/>
          </w:divBdr>
        </w:div>
        <w:div w:id="1901674881">
          <w:marLeft w:val="907"/>
          <w:marRight w:val="0"/>
          <w:marTop w:val="0"/>
          <w:marBottom w:val="120"/>
          <w:divBdr>
            <w:top w:val="none" w:sz="0" w:space="0" w:color="auto"/>
            <w:left w:val="none" w:sz="0" w:space="0" w:color="auto"/>
            <w:bottom w:val="none" w:sz="0" w:space="0" w:color="auto"/>
            <w:right w:val="none" w:sz="0" w:space="0" w:color="auto"/>
          </w:divBdr>
        </w:div>
        <w:div w:id="1906641995">
          <w:marLeft w:val="907"/>
          <w:marRight w:val="0"/>
          <w:marTop w:val="0"/>
          <w:marBottom w:val="120"/>
          <w:divBdr>
            <w:top w:val="none" w:sz="0" w:space="0" w:color="auto"/>
            <w:left w:val="none" w:sz="0" w:space="0" w:color="auto"/>
            <w:bottom w:val="none" w:sz="0" w:space="0" w:color="auto"/>
            <w:right w:val="none" w:sz="0" w:space="0" w:color="auto"/>
          </w:divBdr>
        </w:div>
        <w:div w:id="2005163803">
          <w:marLeft w:val="360"/>
          <w:marRight w:val="0"/>
          <w:marTop w:val="0"/>
          <w:marBottom w:val="12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408462">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4477602">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1423667">
      <w:bodyDiv w:val="1"/>
      <w:marLeft w:val="0"/>
      <w:marRight w:val="0"/>
      <w:marTop w:val="0"/>
      <w:marBottom w:val="0"/>
      <w:divBdr>
        <w:top w:val="none" w:sz="0" w:space="0" w:color="auto"/>
        <w:left w:val="none" w:sz="0" w:space="0" w:color="auto"/>
        <w:bottom w:val="none" w:sz="0" w:space="0" w:color="auto"/>
        <w:right w:val="none" w:sz="0" w:space="0" w:color="auto"/>
      </w:divBdr>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23019180">
      <w:bodyDiv w:val="1"/>
      <w:marLeft w:val="0"/>
      <w:marRight w:val="0"/>
      <w:marTop w:val="0"/>
      <w:marBottom w:val="0"/>
      <w:divBdr>
        <w:top w:val="none" w:sz="0" w:space="0" w:color="auto"/>
        <w:left w:val="none" w:sz="0" w:space="0" w:color="auto"/>
        <w:bottom w:val="none" w:sz="0" w:space="0" w:color="auto"/>
        <w:right w:val="none" w:sz="0" w:space="0" w:color="auto"/>
      </w:divBdr>
    </w:div>
    <w:div w:id="746001513">
      <w:bodyDiv w:val="1"/>
      <w:marLeft w:val="0"/>
      <w:marRight w:val="0"/>
      <w:marTop w:val="0"/>
      <w:marBottom w:val="0"/>
      <w:divBdr>
        <w:top w:val="none" w:sz="0" w:space="0" w:color="auto"/>
        <w:left w:val="none" w:sz="0" w:space="0" w:color="auto"/>
        <w:bottom w:val="none" w:sz="0" w:space="0" w:color="auto"/>
        <w:right w:val="none" w:sz="0" w:space="0" w:color="auto"/>
      </w:divBdr>
    </w:div>
    <w:div w:id="757561402">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81267599">
      <w:bodyDiv w:val="1"/>
      <w:marLeft w:val="0"/>
      <w:marRight w:val="0"/>
      <w:marTop w:val="0"/>
      <w:marBottom w:val="0"/>
      <w:divBdr>
        <w:top w:val="none" w:sz="0" w:space="0" w:color="auto"/>
        <w:left w:val="none" w:sz="0" w:space="0" w:color="auto"/>
        <w:bottom w:val="none" w:sz="0" w:space="0" w:color="auto"/>
        <w:right w:val="none" w:sz="0" w:space="0" w:color="auto"/>
      </w:divBdr>
      <w:divsChild>
        <w:div w:id="623536186">
          <w:marLeft w:val="0"/>
          <w:marRight w:val="0"/>
          <w:marTop w:val="0"/>
          <w:marBottom w:val="0"/>
          <w:divBdr>
            <w:top w:val="none" w:sz="0" w:space="0" w:color="auto"/>
            <w:left w:val="none" w:sz="0" w:space="0" w:color="auto"/>
            <w:bottom w:val="none" w:sz="0" w:space="0" w:color="auto"/>
            <w:right w:val="none" w:sz="0" w:space="0" w:color="auto"/>
          </w:divBdr>
          <w:divsChild>
            <w:div w:id="1769887140">
              <w:marLeft w:val="0"/>
              <w:marRight w:val="0"/>
              <w:marTop w:val="0"/>
              <w:marBottom w:val="0"/>
              <w:divBdr>
                <w:top w:val="none" w:sz="0" w:space="0" w:color="auto"/>
                <w:left w:val="none" w:sz="0" w:space="0" w:color="auto"/>
                <w:bottom w:val="none" w:sz="0" w:space="0" w:color="auto"/>
                <w:right w:val="none" w:sz="0" w:space="0" w:color="auto"/>
              </w:divBdr>
              <w:divsChild>
                <w:div w:id="1796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404">
      <w:bodyDiv w:val="1"/>
      <w:marLeft w:val="0"/>
      <w:marRight w:val="0"/>
      <w:marTop w:val="0"/>
      <w:marBottom w:val="0"/>
      <w:divBdr>
        <w:top w:val="none" w:sz="0" w:space="0" w:color="auto"/>
        <w:left w:val="none" w:sz="0" w:space="0" w:color="auto"/>
        <w:bottom w:val="none" w:sz="0" w:space="0" w:color="auto"/>
        <w:right w:val="none" w:sz="0" w:space="0" w:color="auto"/>
      </w:divBdr>
    </w:div>
    <w:div w:id="790782810">
      <w:bodyDiv w:val="1"/>
      <w:marLeft w:val="0"/>
      <w:marRight w:val="0"/>
      <w:marTop w:val="0"/>
      <w:marBottom w:val="0"/>
      <w:divBdr>
        <w:top w:val="none" w:sz="0" w:space="0" w:color="auto"/>
        <w:left w:val="none" w:sz="0" w:space="0" w:color="auto"/>
        <w:bottom w:val="none" w:sz="0" w:space="0" w:color="auto"/>
        <w:right w:val="none" w:sz="0" w:space="0" w:color="auto"/>
      </w:divBdr>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16336601">
      <w:bodyDiv w:val="1"/>
      <w:marLeft w:val="0"/>
      <w:marRight w:val="0"/>
      <w:marTop w:val="0"/>
      <w:marBottom w:val="0"/>
      <w:divBdr>
        <w:top w:val="none" w:sz="0" w:space="0" w:color="auto"/>
        <w:left w:val="none" w:sz="0" w:space="0" w:color="auto"/>
        <w:bottom w:val="none" w:sz="0" w:space="0" w:color="auto"/>
        <w:right w:val="none" w:sz="0" w:space="0" w:color="auto"/>
      </w:divBdr>
    </w:div>
    <w:div w:id="819032414">
      <w:bodyDiv w:val="1"/>
      <w:marLeft w:val="0"/>
      <w:marRight w:val="0"/>
      <w:marTop w:val="0"/>
      <w:marBottom w:val="0"/>
      <w:divBdr>
        <w:top w:val="none" w:sz="0" w:space="0" w:color="auto"/>
        <w:left w:val="none" w:sz="0" w:space="0" w:color="auto"/>
        <w:bottom w:val="none" w:sz="0" w:space="0" w:color="auto"/>
        <w:right w:val="none" w:sz="0" w:space="0" w:color="auto"/>
      </w:divBdr>
    </w:div>
    <w:div w:id="820079272">
      <w:bodyDiv w:val="1"/>
      <w:marLeft w:val="0"/>
      <w:marRight w:val="0"/>
      <w:marTop w:val="0"/>
      <w:marBottom w:val="0"/>
      <w:divBdr>
        <w:top w:val="none" w:sz="0" w:space="0" w:color="auto"/>
        <w:left w:val="none" w:sz="0" w:space="0" w:color="auto"/>
        <w:bottom w:val="none" w:sz="0" w:space="0" w:color="auto"/>
        <w:right w:val="none" w:sz="0" w:space="0" w:color="auto"/>
      </w:divBdr>
      <w:divsChild>
        <w:div w:id="1329750602">
          <w:marLeft w:val="1080"/>
          <w:marRight w:val="0"/>
          <w:marTop w:val="100"/>
          <w:marBottom w:val="0"/>
          <w:divBdr>
            <w:top w:val="none" w:sz="0" w:space="0" w:color="auto"/>
            <w:left w:val="none" w:sz="0" w:space="0" w:color="auto"/>
            <w:bottom w:val="none" w:sz="0" w:space="0" w:color="auto"/>
            <w:right w:val="none" w:sz="0" w:space="0" w:color="auto"/>
          </w:divBdr>
        </w:div>
        <w:div w:id="1018972897">
          <w:marLeft w:val="1080"/>
          <w:marRight w:val="0"/>
          <w:marTop w:val="100"/>
          <w:marBottom w:val="0"/>
          <w:divBdr>
            <w:top w:val="none" w:sz="0" w:space="0" w:color="auto"/>
            <w:left w:val="none" w:sz="0" w:space="0" w:color="auto"/>
            <w:bottom w:val="none" w:sz="0" w:space="0" w:color="auto"/>
            <w:right w:val="none" w:sz="0" w:space="0" w:color="auto"/>
          </w:divBdr>
        </w:div>
      </w:divsChild>
    </w:div>
    <w:div w:id="864052480">
      <w:bodyDiv w:val="1"/>
      <w:marLeft w:val="0"/>
      <w:marRight w:val="0"/>
      <w:marTop w:val="0"/>
      <w:marBottom w:val="0"/>
      <w:divBdr>
        <w:top w:val="none" w:sz="0" w:space="0" w:color="auto"/>
        <w:left w:val="none" w:sz="0" w:space="0" w:color="auto"/>
        <w:bottom w:val="none" w:sz="0" w:space="0" w:color="auto"/>
        <w:right w:val="none" w:sz="0" w:space="0" w:color="auto"/>
      </w:divBdr>
      <w:divsChild>
        <w:div w:id="117381036">
          <w:marLeft w:val="1886"/>
          <w:marRight w:val="0"/>
          <w:marTop w:val="77"/>
          <w:marBottom w:val="0"/>
          <w:divBdr>
            <w:top w:val="none" w:sz="0" w:space="0" w:color="auto"/>
            <w:left w:val="none" w:sz="0" w:space="0" w:color="auto"/>
            <w:bottom w:val="none" w:sz="0" w:space="0" w:color="auto"/>
            <w:right w:val="none" w:sz="0" w:space="0" w:color="auto"/>
          </w:divBdr>
        </w:div>
        <w:div w:id="1619138820">
          <w:marLeft w:val="1886"/>
          <w:marRight w:val="0"/>
          <w:marTop w:val="77"/>
          <w:marBottom w:val="0"/>
          <w:divBdr>
            <w:top w:val="none" w:sz="0" w:space="0" w:color="auto"/>
            <w:left w:val="none" w:sz="0" w:space="0" w:color="auto"/>
            <w:bottom w:val="none" w:sz="0" w:space="0" w:color="auto"/>
            <w:right w:val="none" w:sz="0" w:space="0" w:color="auto"/>
          </w:divBdr>
        </w:div>
        <w:div w:id="1903179660">
          <w:marLeft w:val="1166"/>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9510425">
      <w:bodyDiv w:val="1"/>
      <w:marLeft w:val="0"/>
      <w:marRight w:val="0"/>
      <w:marTop w:val="0"/>
      <w:marBottom w:val="0"/>
      <w:divBdr>
        <w:top w:val="none" w:sz="0" w:space="0" w:color="auto"/>
        <w:left w:val="none" w:sz="0" w:space="0" w:color="auto"/>
        <w:bottom w:val="none" w:sz="0" w:space="0" w:color="auto"/>
        <w:right w:val="none" w:sz="0" w:space="0" w:color="auto"/>
      </w:divBdr>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9611356">
      <w:bodyDiv w:val="1"/>
      <w:marLeft w:val="0"/>
      <w:marRight w:val="0"/>
      <w:marTop w:val="0"/>
      <w:marBottom w:val="0"/>
      <w:divBdr>
        <w:top w:val="none" w:sz="0" w:space="0" w:color="auto"/>
        <w:left w:val="none" w:sz="0" w:space="0" w:color="auto"/>
        <w:bottom w:val="none" w:sz="0" w:space="0" w:color="auto"/>
        <w:right w:val="none" w:sz="0" w:space="0" w:color="auto"/>
      </w:divBdr>
    </w:div>
    <w:div w:id="901407376">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sChild>
        <w:div w:id="979461996">
          <w:marLeft w:val="0"/>
          <w:marRight w:val="0"/>
          <w:marTop w:val="0"/>
          <w:marBottom w:val="0"/>
          <w:divBdr>
            <w:top w:val="none" w:sz="0" w:space="0" w:color="auto"/>
            <w:left w:val="none" w:sz="0" w:space="0" w:color="auto"/>
            <w:bottom w:val="none" w:sz="0" w:space="0" w:color="auto"/>
            <w:right w:val="none" w:sz="0" w:space="0" w:color="auto"/>
          </w:divBdr>
          <w:divsChild>
            <w:div w:id="691498780">
              <w:marLeft w:val="0"/>
              <w:marRight w:val="0"/>
              <w:marTop w:val="0"/>
              <w:marBottom w:val="0"/>
              <w:divBdr>
                <w:top w:val="none" w:sz="0" w:space="0" w:color="auto"/>
                <w:left w:val="none" w:sz="0" w:space="0" w:color="auto"/>
                <w:bottom w:val="none" w:sz="0" w:space="0" w:color="auto"/>
                <w:right w:val="none" w:sz="0" w:space="0" w:color="auto"/>
              </w:divBdr>
              <w:divsChild>
                <w:div w:id="203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5936602">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22179195">
      <w:bodyDiv w:val="1"/>
      <w:marLeft w:val="0"/>
      <w:marRight w:val="0"/>
      <w:marTop w:val="0"/>
      <w:marBottom w:val="0"/>
      <w:divBdr>
        <w:top w:val="none" w:sz="0" w:space="0" w:color="auto"/>
        <w:left w:val="none" w:sz="0" w:space="0" w:color="auto"/>
        <w:bottom w:val="none" w:sz="0" w:space="0" w:color="auto"/>
        <w:right w:val="none" w:sz="0" w:space="0" w:color="auto"/>
      </w:divBdr>
    </w:div>
    <w:div w:id="927076757">
      <w:bodyDiv w:val="1"/>
      <w:marLeft w:val="0"/>
      <w:marRight w:val="0"/>
      <w:marTop w:val="0"/>
      <w:marBottom w:val="0"/>
      <w:divBdr>
        <w:top w:val="none" w:sz="0" w:space="0" w:color="auto"/>
        <w:left w:val="none" w:sz="0" w:space="0" w:color="auto"/>
        <w:bottom w:val="none" w:sz="0" w:space="0" w:color="auto"/>
        <w:right w:val="none" w:sz="0" w:space="0" w:color="auto"/>
      </w:divBdr>
      <w:divsChild>
        <w:div w:id="356080586">
          <w:marLeft w:val="360"/>
          <w:marRight w:val="0"/>
          <w:marTop w:val="0"/>
          <w:marBottom w:val="120"/>
          <w:divBdr>
            <w:top w:val="none" w:sz="0" w:space="0" w:color="auto"/>
            <w:left w:val="none" w:sz="0" w:space="0" w:color="auto"/>
            <w:bottom w:val="none" w:sz="0" w:space="0" w:color="auto"/>
            <w:right w:val="none" w:sz="0" w:space="0" w:color="auto"/>
          </w:divBdr>
        </w:div>
        <w:div w:id="582644131">
          <w:marLeft w:val="907"/>
          <w:marRight w:val="0"/>
          <w:marTop w:val="0"/>
          <w:marBottom w:val="120"/>
          <w:divBdr>
            <w:top w:val="none" w:sz="0" w:space="0" w:color="auto"/>
            <w:left w:val="none" w:sz="0" w:space="0" w:color="auto"/>
            <w:bottom w:val="none" w:sz="0" w:space="0" w:color="auto"/>
            <w:right w:val="none" w:sz="0" w:space="0" w:color="auto"/>
          </w:divBdr>
        </w:div>
        <w:div w:id="868294146">
          <w:marLeft w:val="907"/>
          <w:marRight w:val="0"/>
          <w:marTop w:val="0"/>
          <w:marBottom w:val="120"/>
          <w:divBdr>
            <w:top w:val="none" w:sz="0" w:space="0" w:color="auto"/>
            <w:left w:val="none" w:sz="0" w:space="0" w:color="auto"/>
            <w:bottom w:val="none" w:sz="0" w:space="0" w:color="auto"/>
            <w:right w:val="none" w:sz="0" w:space="0" w:color="auto"/>
          </w:divBdr>
        </w:div>
        <w:div w:id="1059475779">
          <w:marLeft w:val="907"/>
          <w:marRight w:val="0"/>
          <w:marTop w:val="0"/>
          <w:marBottom w:val="120"/>
          <w:divBdr>
            <w:top w:val="none" w:sz="0" w:space="0" w:color="auto"/>
            <w:left w:val="none" w:sz="0" w:space="0" w:color="auto"/>
            <w:bottom w:val="none" w:sz="0" w:space="0" w:color="auto"/>
            <w:right w:val="none" w:sz="0" w:space="0" w:color="auto"/>
          </w:divBdr>
        </w:div>
        <w:div w:id="1218736415">
          <w:marLeft w:val="360"/>
          <w:marRight w:val="0"/>
          <w:marTop w:val="0"/>
          <w:marBottom w:val="120"/>
          <w:divBdr>
            <w:top w:val="none" w:sz="0" w:space="0" w:color="auto"/>
            <w:left w:val="none" w:sz="0" w:space="0" w:color="auto"/>
            <w:bottom w:val="none" w:sz="0" w:space="0" w:color="auto"/>
            <w:right w:val="none" w:sz="0" w:space="0" w:color="auto"/>
          </w:divBdr>
        </w:div>
        <w:div w:id="1512068336">
          <w:marLeft w:val="907"/>
          <w:marRight w:val="0"/>
          <w:marTop w:val="0"/>
          <w:marBottom w:val="120"/>
          <w:divBdr>
            <w:top w:val="none" w:sz="0" w:space="0" w:color="auto"/>
            <w:left w:val="none" w:sz="0" w:space="0" w:color="auto"/>
            <w:bottom w:val="none" w:sz="0" w:space="0" w:color="auto"/>
            <w:right w:val="none" w:sz="0" w:space="0" w:color="auto"/>
          </w:divBdr>
        </w:div>
        <w:div w:id="1928536802">
          <w:marLeft w:val="907"/>
          <w:marRight w:val="0"/>
          <w:marTop w:val="0"/>
          <w:marBottom w:val="120"/>
          <w:divBdr>
            <w:top w:val="none" w:sz="0" w:space="0" w:color="auto"/>
            <w:left w:val="none" w:sz="0" w:space="0" w:color="auto"/>
            <w:bottom w:val="none" w:sz="0" w:space="0" w:color="auto"/>
            <w:right w:val="none" w:sz="0" w:space="0" w:color="auto"/>
          </w:divBdr>
        </w:div>
        <w:div w:id="2100368427">
          <w:marLeft w:val="907"/>
          <w:marRight w:val="0"/>
          <w:marTop w:val="0"/>
          <w:marBottom w:val="120"/>
          <w:divBdr>
            <w:top w:val="none" w:sz="0" w:space="0" w:color="auto"/>
            <w:left w:val="none" w:sz="0" w:space="0" w:color="auto"/>
            <w:bottom w:val="none" w:sz="0" w:space="0" w:color="auto"/>
            <w:right w:val="none" w:sz="0" w:space="0" w:color="auto"/>
          </w:divBdr>
        </w:div>
      </w:divsChild>
    </w:div>
    <w:div w:id="928195160">
      <w:bodyDiv w:val="1"/>
      <w:marLeft w:val="0"/>
      <w:marRight w:val="0"/>
      <w:marTop w:val="0"/>
      <w:marBottom w:val="0"/>
      <w:divBdr>
        <w:top w:val="none" w:sz="0" w:space="0" w:color="auto"/>
        <w:left w:val="none" w:sz="0" w:space="0" w:color="auto"/>
        <w:bottom w:val="none" w:sz="0" w:space="0" w:color="auto"/>
        <w:right w:val="none" w:sz="0" w:space="0" w:color="auto"/>
      </w:divBdr>
    </w:div>
    <w:div w:id="928394115">
      <w:bodyDiv w:val="1"/>
      <w:marLeft w:val="0"/>
      <w:marRight w:val="0"/>
      <w:marTop w:val="0"/>
      <w:marBottom w:val="0"/>
      <w:divBdr>
        <w:top w:val="none" w:sz="0" w:space="0" w:color="auto"/>
        <w:left w:val="none" w:sz="0" w:space="0" w:color="auto"/>
        <w:bottom w:val="none" w:sz="0" w:space="0" w:color="auto"/>
        <w:right w:val="none" w:sz="0" w:space="0" w:color="auto"/>
      </w:divBdr>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452224">
      <w:bodyDiv w:val="1"/>
      <w:marLeft w:val="0"/>
      <w:marRight w:val="0"/>
      <w:marTop w:val="0"/>
      <w:marBottom w:val="0"/>
      <w:divBdr>
        <w:top w:val="none" w:sz="0" w:space="0" w:color="auto"/>
        <w:left w:val="none" w:sz="0" w:space="0" w:color="auto"/>
        <w:bottom w:val="none" w:sz="0" w:space="0" w:color="auto"/>
        <w:right w:val="none" w:sz="0" w:space="0" w:color="auto"/>
      </w:divBdr>
    </w:div>
    <w:div w:id="957375613">
      <w:bodyDiv w:val="1"/>
      <w:marLeft w:val="0"/>
      <w:marRight w:val="0"/>
      <w:marTop w:val="0"/>
      <w:marBottom w:val="0"/>
      <w:divBdr>
        <w:top w:val="none" w:sz="0" w:space="0" w:color="auto"/>
        <w:left w:val="none" w:sz="0" w:space="0" w:color="auto"/>
        <w:bottom w:val="none" w:sz="0" w:space="0" w:color="auto"/>
        <w:right w:val="none" w:sz="0" w:space="0" w:color="auto"/>
      </w:divBdr>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1520027">
      <w:bodyDiv w:val="1"/>
      <w:marLeft w:val="0"/>
      <w:marRight w:val="0"/>
      <w:marTop w:val="0"/>
      <w:marBottom w:val="0"/>
      <w:divBdr>
        <w:top w:val="none" w:sz="0" w:space="0" w:color="auto"/>
        <w:left w:val="none" w:sz="0" w:space="0" w:color="auto"/>
        <w:bottom w:val="none" w:sz="0" w:space="0" w:color="auto"/>
        <w:right w:val="none" w:sz="0" w:space="0" w:color="auto"/>
      </w:divBdr>
      <w:divsChild>
        <w:div w:id="338775105">
          <w:marLeft w:val="1166"/>
          <w:marRight w:val="0"/>
          <w:marTop w:val="96"/>
          <w:marBottom w:val="0"/>
          <w:divBdr>
            <w:top w:val="none" w:sz="0" w:space="0" w:color="auto"/>
            <w:left w:val="none" w:sz="0" w:space="0" w:color="auto"/>
            <w:bottom w:val="none" w:sz="0" w:space="0" w:color="auto"/>
            <w:right w:val="none" w:sz="0" w:space="0" w:color="auto"/>
          </w:divBdr>
        </w:div>
        <w:div w:id="639267085">
          <w:marLeft w:val="1166"/>
          <w:marRight w:val="0"/>
          <w:marTop w:val="96"/>
          <w:marBottom w:val="0"/>
          <w:divBdr>
            <w:top w:val="none" w:sz="0" w:space="0" w:color="auto"/>
            <w:left w:val="none" w:sz="0" w:space="0" w:color="auto"/>
            <w:bottom w:val="none" w:sz="0" w:space="0" w:color="auto"/>
            <w:right w:val="none" w:sz="0" w:space="0" w:color="auto"/>
          </w:divBdr>
        </w:div>
        <w:div w:id="820193118">
          <w:marLeft w:val="1166"/>
          <w:marRight w:val="0"/>
          <w:marTop w:val="96"/>
          <w:marBottom w:val="0"/>
          <w:divBdr>
            <w:top w:val="none" w:sz="0" w:space="0" w:color="auto"/>
            <w:left w:val="none" w:sz="0" w:space="0" w:color="auto"/>
            <w:bottom w:val="none" w:sz="0" w:space="0" w:color="auto"/>
            <w:right w:val="none" w:sz="0" w:space="0" w:color="auto"/>
          </w:divBdr>
        </w:div>
        <w:div w:id="1508521683">
          <w:marLeft w:val="547"/>
          <w:marRight w:val="0"/>
          <w:marTop w:val="96"/>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91522832">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0755569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3411135">
      <w:bodyDiv w:val="1"/>
      <w:marLeft w:val="0"/>
      <w:marRight w:val="0"/>
      <w:marTop w:val="0"/>
      <w:marBottom w:val="0"/>
      <w:divBdr>
        <w:top w:val="none" w:sz="0" w:space="0" w:color="auto"/>
        <w:left w:val="none" w:sz="0" w:space="0" w:color="auto"/>
        <w:bottom w:val="none" w:sz="0" w:space="0" w:color="auto"/>
        <w:right w:val="none" w:sz="0" w:space="0" w:color="auto"/>
      </w:divBdr>
      <w:divsChild>
        <w:div w:id="1373070548">
          <w:marLeft w:val="0"/>
          <w:marRight w:val="0"/>
          <w:marTop w:val="0"/>
          <w:marBottom w:val="0"/>
          <w:divBdr>
            <w:top w:val="none" w:sz="0" w:space="0" w:color="auto"/>
            <w:left w:val="none" w:sz="0" w:space="0" w:color="auto"/>
            <w:bottom w:val="none" w:sz="0" w:space="0" w:color="auto"/>
            <w:right w:val="none" w:sz="0" w:space="0" w:color="auto"/>
          </w:divBdr>
          <w:divsChild>
            <w:div w:id="63258467">
              <w:marLeft w:val="0"/>
              <w:marRight w:val="0"/>
              <w:marTop w:val="0"/>
              <w:marBottom w:val="0"/>
              <w:divBdr>
                <w:top w:val="none" w:sz="0" w:space="0" w:color="auto"/>
                <w:left w:val="none" w:sz="0" w:space="0" w:color="auto"/>
                <w:bottom w:val="none" w:sz="0" w:space="0" w:color="auto"/>
                <w:right w:val="none" w:sz="0" w:space="0" w:color="auto"/>
              </w:divBdr>
              <w:divsChild>
                <w:div w:id="1722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17390341">
      <w:bodyDiv w:val="1"/>
      <w:marLeft w:val="0"/>
      <w:marRight w:val="0"/>
      <w:marTop w:val="0"/>
      <w:marBottom w:val="0"/>
      <w:divBdr>
        <w:top w:val="none" w:sz="0" w:space="0" w:color="auto"/>
        <w:left w:val="none" w:sz="0" w:space="0" w:color="auto"/>
        <w:bottom w:val="none" w:sz="0" w:space="0" w:color="auto"/>
        <w:right w:val="none" w:sz="0" w:space="0" w:color="auto"/>
      </w:divBdr>
      <w:divsChild>
        <w:div w:id="1061976861">
          <w:marLeft w:val="547"/>
          <w:marRight w:val="0"/>
          <w:marTop w:val="115"/>
          <w:marBottom w:val="0"/>
          <w:divBdr>
            <w:top w:val="none" w:sz="0" w:space="0" w:color="auto"/>
            <w:left w:val="none" w:sz="0" w:space="0" w:color="auto"/>
            <w:bottom w:val="none" w:sz="0" w:space="0" w:color="auto"/>
            <w:right w:val="none" w:sz="0" w:space="0" w:color="auto"/>
          </w:divBdr>
        </w:div>
      </w:divsChild>
    </w:div>
    <w:div w:id="1017998623">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31151615">
      <w:bodyDiv w:val="1"/>
      <w:marLeft w:val="0"/>
      <w:marRight w:val="0"/>
      <w:marTop w:val="0"/>
      <w:marBottom w:val="0"/>
      <w:divBdr>
        <w:top w:val="none" w:sz="0" w:space="0" w:color="auto"/>
        <w:left w:val="none" w:sz="0" w:space="0" w:color="auto"/>
        <w:bottom w:val="none" w:sz="0" w:space="0" w:color="auto"/>
        <w:right w:val="none" w:sz="0" w:space="0" w:color="auto"/>
      </w:divBdr>
    </w:div>
    <w:div w:id="1033463427">
      <w:bodyDiv w:val="1"/>
      <w:marLeft w:val="0"/>
      <w:marRight w:val="0"/>
      <w:marTop w:val="0"/>
      <w:marBottom w:val="0"/>
      <w:divBdr>
        <w:top w:val="none" w:sz="0" w:space="0" w:color="auto"/>
        <w:left w:val="none" w:sz="0" w:space="0" w:color="auto"/>
        <w:bottom w:val="none" w:sz="0" w:space="0" w:color="auto"/>
        <w:right w:val="none" w:sz="0" w:space="0" w:color="auto"/>
      </w:divBdr>
    </w:div>
    <w:div w:id="1039814331">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132172">
      <w:bodyDiv w:val="1"/>
      <w:marLeft w:val="0"/>
      <w:marRight w:val="0"/>
      <w:marTop w:val="0"/>
      <w:marBottom w:val="0"/>
      <w:divBdr>
        <w:top w:val="none" w:sz="0" w:space="0" w:color="auto"/>
        <w:left w:val="none" w:sz="0" w:space="0" w:color="auto"/>
        <w:bottom w:val="none" w:sz="0" w:space="0" w:color="auto"/>
        <w:right w:val="none" w:sz="0" w:space="0" w:color="auto"/>
      </w:divBdr>
      <w:divsChild>
        <w:div w:id="9260941">
          <w:marLeft w:val="547"/>
          <w:marRight w:val="0"/>
          <w:marTop w:val="115"/>
          <w:marBottom w:val="0"/>
          <w:divBdr>
            <w:top w:val="none" w:sz="0" w:space="0" w:color="auto"/>
            <w:left w:val="none" w:sz="0" w:space="0" w:color="auto"/>
            <w:bottom w:val="none" w:sz="0" w:space="0" w:color="auto"/>
            <w:right w:val="none" w:sz="0" w:space="0" w:color="auto"/>
          </w:divBdr>
        </w:div>
        <w:div w:id="181630338">
          <w:marLeft w:val="1166"/>
          <w:marRight w:val="0"/>
          <w:marTop w:val="96"/>
          <w:marBottom w:val="0"/>
          <w:divBdr>
            <w:top w:val="none" w:sz="0" w:space="0" w:color="auto"/>
            <w:left w:val="none" w:sz="0" w:space="0" w:color="auto"/>
            <w:bottom w:val="none" w:sz="0" w:space="0" w:color="auto"/>
            <w:right w:val="none" w:sz="0" w:space="0" w:color="auto"/>
          </w:divBdr>
        </w:div>
        <w:div w:id="650136615">
          <w:marLeft w:val="547"/>
          <w:marRight w:val="0"/>
          <w:marTop w:val="115"/>
          <w:marBottom w:val="0"/>
          <w:divBdr>
            <w:top w:val="none" w:sz="0" w:space="0" w:color="auto"/>
            <w:left w:val="none" w:sz="0" w:space="0" w:color="auto"/>
            <w:bottom w:val="none" w:sz="0" w:space="0" w:color="auto"/>
            <w:right w:val="none" w:sz="0" w:space="0" w:color="auto"/>
          </w:divBdr>
        </w:div>
        <w:div w:id="719475749">
          <w:marLeft w:val="1166"/>
          <w:marRight w:val="0"/>
          <w:marTop w:val="96"/>
          <w:marBottom w:val="0"/>
          <w:divBdr>
            <w:top w:val="none" w:sz="0" w:space="0" w:color="auto"/>
            <w:left w:val="none" w:sz="0" w:space="0" w:color="auto"/>
            <w:bottom w:val="none" w:sz="0" w:space="0" w:color="auto"/>
            <w:right w:val="none" w:sz="0" w:space="0" w:color="auto"/>
          </w:divBdr>
        </w:div>
        <w:div w:id="947658231">
          <w:marLeft w:val="1166"/>
          <w:marRight w:val="0"/>
          <w:marTop w:val="96"/>
          <w:marBottom w:val="0"/>
          <w:divBdr>
            <w:top w:val="none" w:sz="0" w:space="0" w:color="auto"/>
            <w:left w:val="none" w:sz="0" w:space="0" w:color="auto"/>
            <w:bottom w:val="none" w:sz="0" w:space="0" w:color="auto"/>
            <w:right w:val="none" w:sz="0" w:space="0" w:color="auto"/>
          </w:divBdr>
        </w:div>
        <w:div w:id="1223980283">
          <w:marLeft w:val="547"/>
          <w:marRight w:val="0"/>
          <w:marTop w:val="115"/>
          <w:marBottom w:val="0"/>
          <w:divBdr>
            <w:top w:val="none" w:sz="0" w:space="0" w:color="auto"/>
            <w:left w:val="none" w:sz="0" w:space="0" w:color="auto"/>
            <w:bottom w:val="none" w:sz="0" w:space="0" w:color="auto"/>
            <w:right w:val="none" w:sz="0" w:space="0" w:color="auto"/>
          </w:divBdr>
        </w:div>
        <w:div w:id="1561020642">
          <w:marLeft w:val="1800"/>
          <w:marRight w:val="0"/>
          <w:marTop w:val="86"/>
          <w:marBottom w:val="0"/>
          <w:divBdr>
            <w:top w:val="none" w:sz="0" w:space="0" w:color="auto"/>
            <w:left w:val="none" w:sz="0" w:space="0" w:color="auto"/>
            <w:bottom w:val="none" w:sz="0" w:space="0" w:color="auto"/>
            <w:right w:val="none" w:sz="0" w:space="0" w:color="auto"/>
          </w:divBdr>
        </w:div>
        <w:div w:id="1738819804">
          <w:marLeft w:val="1166"/>
          <w:marRight w:val="0"/>
          <w:marTop w:val="96"/>
          <w:marBottom w:val="0"/>
          <w:divBdr>
            <w:top w:val="none" w:sz="0" w:space="0" w:color="auto"/>
            <w:left w:val="none" w:sz="0" w:space="0" w:color="auto"/>
            <w:bottom w:val="none" w:sz="0" w:space="0" w:color="auto"/>
            <w:right w:val="none" w:sz="0" w:space="0" w:color="auto"/>
          </w:divBdr>
        </w:div>
        <w:div w:id="1784424485">
          <w:marLeft w:val="547"/>
          <w:marRight w:val="0"/>
          <w:marTop w:val="115"/>
          <w:marBottom w:val="0"/>
          <w:divBdr>
            <w:top w:val="none" w:sz="0" w:space="0" w:color="auto"/>
            <w:left w:val="none" w:sz="0" w:space="0" w:color="auto"/>
            <w:bottom w:val="none" w:sz="0" w:space="0" w:color="auto"/>
            <w:right w:val="none" w:sz="0" w:space="0" w:color="auto"/>
          </w:divBdr>
        </w:div>
      </w:divsChild>
    </w:div>
    <w:div w:id="1055467003">
      <w:bodyDiv w:val="1"/>
      <w:marLeft w:val="0"/>
      <w:marRight w:val="0"/>
      <w:marTop w:val="0"/>
      <w:marBottom w:val="0"/>
      <w:divBdr>
        <w:top w:val="none" w:sz="0" w:space="0" w:color="auto"/>
        <w:left w:val="none" w:sz="0" w:space="0" w:color="auto"/>
        <w:bottom w:val="none" w:sz="0" w:space="0" w:color="auto"/>
        <w:right w:val="none" w:sz="0" w:space="0" w:color="auto"/>
      </w:divBdr>
    </w:div>
    <w:div w:id="1059784435">
      <w:bodyDiv w:val="1"/>
      <w:marLeft w:val="0"/>
      <w:marRight w:val="0"/>
      <w:marTop w:val="0"/>
      <w:marBottom w:val="0"/>
      <w:divBdr>
        <w:top w:val="none" w:sz="0" w:space="0" w:color="auto"/>
        <w:left w:val="none" w:sz="0" w:space="0" w:color="auto"/>
        <w:bottom w:val="none" w:sz="0" w:space="0" w:color="auto"/>
        <w:right w:val="none" w:sz="0" w:space="0" w:color="auto"/>
      </w:divBdr>
    </w:div>
    <w:div w:id="1062370473">
      <w:bodyDiv w:val="1"/>
      <w:marLeft w:val="0"/>
      <w:marRight w:val="0"/>
      <w:marTop w:val="0"/>
      <w:marBottom w:val="0"/>
      <w:divBdr>
        <w:top w:val="none" w:sz="0" w:space="0" w:color="auto"/>
        <w:left w:val="none" w:sz="0" w:space="0" w:color="auto"/>
        <w:bottom w:val="none" w:sz="0" w:space="0" w:color="auto"/>
        <w:right w:val="none" w:sz="0" w:space="0" w:color="auto"/>
      </w:divBdr>
      <w:divsChild>
        <w:div w:id="1365596332">
          <w:marLeft w:val="0"/>
          <w:marRight w:val="0"/>
          <w:marTop w:val="0"/>
          <w:marBottom w:val="0"/>
          <w:divBdr>
            <w:top w:val="none" w:sz="0" w:space="0" w:color="auto"/>
            <w:left w:val="none" w:sz="0" w:space="0" w:color="auto"/>
            <w:bottom w:val="none" w:sz="0" w:space="0" w:color="auto"/>
            <w:right w:val="none" w:sz="0" w:space="0" w:color="auto"/>
          </w:divBdr>
        </w:div>
        <w:div w:id="1419138623">
          <w:marLeft w:val="0"/>
          <w:marRight w:val="0"/>
          <w:marTop w:val="0"/>
          <w:marBottom w:val="0"/>
          <w:divBdr>
            <w:top w:val="none" w:sz="0" w:space="0" w:color="auto"/>
            <w:left w:val="none" w:sz="0" w:space="0" w:color="auto"/>
            <w:bottom w:val="none" w:sz="0" w:space="0" w:color="auto"/>
            <w:right w:val="none" w:sz="0" w:space="0" w:color="auto"/>
          </w:divBdr>
        </w:div>
        <w:div w:id="1375810185">
          <w:marLeft w:val="0"/>
          <w:marRight w:val="0"/>
          <w:marTop w:val="0"/>
          <w:marBottom w:val="0"/>
          <w:divBdr>
            <w:top w:val="none" w:sz="0" w:space="0" w:color="auto"/>
            <w:left w:val="none" w:sz="0" w:space="0" w:color="auto"/>
            <w:bottom w:val="none" w:sz="0" w:space="0" w:color="auto"/>
            <w:right w:val="none" w:sz="0" w:space="0" w:color="auto"/>
          </w:divBdr>
        </w:div>
      </w:divsChild>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8626755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891025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4518227">
      <w:bodyDiv w:val="1"/>
      <w:marLeft w:val="0"/>
      <w:marRight w:val="0"/>
      <w:marTop w:val="0"/>
      <w:marBottom w:val="0"/>
      <w:divBdr>
        <w:top w:val="none" w:sz="0" w:space="0" w:color="auto"/>
        <w:left w:val="none" w:sz="0" w:space="0" w:color="auto"/>
        <w:bottom w:val="none" w:sz="0" w:space="0" w:color="auto"/>
        <w:right w:val="none" w:sz="0" w:space="0" w:color="auto"/>
      </w:divBdr>
    </w:div>
    <w:div w:id="111575319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035">
      <w:bodyDiv w:val="1"/>
      <w:marLeft w:val="0"/>
      <w:marRight w:val="0"/>
      <w:marTop w:val="0"/>
      <w:marBottom w:val="0"/>
      <w:divBdr>
        <w:top w:val="none" w:sz="0" w:space="0" w:color="auto"/>
        <w:left w:val="none" w:sz="0" w:space="0" w:color="auto"/>
        <w:bottom w:val="none" w:sz="0" w:space="0" w:color="auto"/>
        <w:right w:val="none" w:sz="0" w:space="0" w:color="auto"/>
      </w:divBdr>
    </w:div>
    <w:div w:id="1136029636">
      <w:bodyDiv w:val="1"/>
      <w:marLeft w:val="0"/>
      <w:marRight w:val="0"/>
      <w:marTop w:val="0"/>
      <w:marBottom w:val="0"/>
      <w:divBdr>
        <w:top w:val="none" w:sz="0" w:space="0" w:color="auto"/>
        <w:left w:val="none" w:sz="0" w:space="0" w:color="auto"/>
        <w:bottom w:val="none" w:sz="0" w:space="0" w:color="auto"/>
        <w:right w:val="none" w:sz="0" w:space="0" w:color="auto"/>
      </w:divBdr>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7796331">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5221600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9035085">
      <w:bodyDiv w:val="1"/>
      <w:marLeft w:val="0"/>
      <w:marRight w:val="0"/>
      <w:marTop w:val="0"/>
      <w:marBottom w:val="0"/>
      <w:divBdr>
        <w:top w:val="none" w:sz="0" w:space="0" w:color="auto"/>
        <w:left w:val="none" w:sz="0" w:space="0" w:color="auto"/>
        <w:bottom w:val="none" w:sz="0" w:space="0" w:color="auto"/>
        <w:right w:val="none" w:sz="0" w:space="0" w:color="auto"/>
      </w:divBdr>
      <w:divsChild>
        <w:div w:id="1525360744">
          <w:marLeft w:val="0"/>
          <w:marRight w:val="0"/>
          <w:marTop w:val="0"/>
          <w:marBottom w:val="0"/>
          <w:divBdr>
            <w:top w:val="none" w:sz="0" w:space="0" w:color="auto"/>
            <w:left w:val="none" w:sz="0" w:space="0" w:color="auto"/>
            <w:bottom w:val="none" w:sz="0" w:space="0" w:color="auto"/>
            <w:right w:val="none" w:sz="0" w:space="0" w:color="auto"/>
          </w:divBdr>
        </w:div>
        <w:div w:id="975111322">
          <w:marLeft w:val="0"/>
          <w:marRight w:val="0"/>
          <w:marTop w:val="0"/>
          <w:marBottom w:val="0"/>
          <w:divBdr>
            <w:top w:val="none" w:sz="0" w:space="0" w:color="auto"/>
            <w:left w:val="none" w:sz="0" w:space="0" w:color="auto"/>
            <w:bottom w:val="none" w:sz="0" w:space="0" w:color="auto"/>
            <w:right w:val="none" w:sz="0" w:space="0" w:color="auto"/>
          </w:divBdr>
        </w:div>
        <w:div w:id="279455099">
          <w:marLeft w:val="0"/>
          <w:marRight w:val="0"/>
          <w:marTop w:val="0"/>
          <w:marBottom w:val="0"/>
          <w:divBdr>
            <w:top w:val="none" w:sz="0" w:space="0" w:color="auto"/>
            <w:left w:val="none" w:sz="0" w:space="0" w:color="auto"/>
            <w:bottom w:val="none" w:sz="0" w:space="0" w:color="auto"/>
            <w:right w:val="none" w:sz="0" w:space="0" w:color="auto"/>
          </w:divBdr>
        </w:div>
        <w:div w:id="2096436888">
          <w:marLeft w:val="0"/>
          <w:marRight w:val="0"/>
          <w:marTop w:val="0"/>
          <w:marBottom w:val="0"/>
          <w:divBdr>
            <w:top w:val="none" w:sz="0" w:space="0" w:color="auto"/>
            <w:left w:val="none" w:sz="0" w:space="0" w:color="auto"/>
            <w:bottom w:val="none" w:sz="0" w:space="0" w:color="auto"/>
            <w:right w:val="none" w:sz="0" w:space="0" w:color="auto"/>
          </w:divBdr>
        </w:div>
        <w:div w:id="1118180013">
          <w:marLeft w:val="0"/>
          <w:marRight w:val="0"/>
          <w:marTop w:val="0"/>
          <w:marBottom w:val="0"/>
          <w:divBdr>
            <w:top w:val="none" w:sz="0" w:space="0" w:color="auto"/>
            <w:left w:val="none" w:sz="0" w:space="0" w:color="auto"/>
            <w:bottom w:val="none" w:sz="0" w:space="0" w:color="auto"/>
            <w:right w:val="none" w:sz="0" w:space="0" w:color="auto"/>
          </w:divBdr>
        </w:div>
        <w:div w:id="2136368256">
          <w:marLeft w:val="0"/>
          <w:marRight w:val="0"/>
          <w:marTop w:val="0"/>
          <w:marBottom w:val="0"/>
          <w:divBdr>
            <w:top w:val="none" w:sz="0" w:space="0" w:color="auto"/>
            <w:left w:val="none" w:sz="0" w:space="0" w:color="auto"/>
            <w:bottom w:val="none" w:sz="0" w:space="0" w:color="auto"/>
            <w:right w:val="none" w:sz="0" w:space="0" w:color="auto"/>
          </w:divBdr>
        </w:div>
        <w:div w:id="668795404">
          <w:marLeft w:val="0"/>
          <w:marRight w:val="0"/>
          <w:marTop w:val="0"/>
          <w:marBottom w:val="0"/>
          <w:divBdr>
            <w:top w:val="none" w:sz="0" w:space="0" w:color="auto"/>
            <w:left w:val="none" w:sz="0" w:space="0" w:color="auto"/>
            <w:bottom w:val="none" w:sz="0" w:space="0" w:color="auto"/>
            <w:right w:val="none" w:sz="0" w:space="0" w:color="auto"/>
          </w:divBdr>
        </w:div>
        <w:div w:id="12610510">
          <w:marLeft w:val="0"/>
          <w:marRight w:val="0"/>
          <w:marTop w:val="0"/>
          <w:marBottom w:val="0"/>
          <w:divBdr>
            <w:top w:val="none" w:sz="0" w:space="0" w:color="auto"/>
            <w:left w:val="none" w:sz="0" w:space="0" w:color="auto"/>
            <w:bottom w:val="none" w:sz="0" w:space="0" w:color="auto"/>
            <w:right w:val="none" w:sz="0" w:space="0" w:color="auto"/>
          </w:divBdr>
        </w:div>
        <w:div w:id="1758020753">
          <w:marLeft w:val="0"/>
          <w:marRight w:val="0"/>
          <w:marTop w:val="0"/>
          <w:marBottom w:val="0"/>
          <w:divBdr>
            <w:top w:val="none" w:sz="0" w:space="0" w:color="auto"/>
            <w:left w:val="none" w:sz="0" w:space="0" w:color="auto"/>
            <w:bottom w:val="none" w:sz="0" w:space="0" w:color="auto"/>
            <w:right w:val="none" w:sz="0" w:space="0" w:color="auto"/>
          </w:divBdr>
        </w:div>
        <w:div w:id="305361993">
          <w:marLeft w:val="0"/>
          <w:marRight w:val="0"/>
          <w:marTop w:val="0"/>
          <w:marBottom w:val="0"/>
          <w:divBdr>
            <w:top w:val="none" w:sz="0" w:space="0" w:color="auto"/>
            <w:left w:val="none" w:sz="0" w:space="0" w:color="auto"/>
            <w:bottom w:val="none" w:sz="0" w:space="0" w:color="auto"/>
            <w:right w:val="none" w:sz="0" w:space="0" w:color="auto"/>
          </w:divBdr>
        </w:div>
        <w:div w:id="883374243">
          <w:marLeft w:val="0"/>
          <w:marRight w:val="0"/>
          <w:marTop w:val="0"/>
          <w:marBottom w:val="0"/>
          <w:divBdr>
            <w:top w:val="none" w:sz="0" w:space="0" w:color="auto"/>
            <w:left w:val="none" w:sz="0" w:space="0" w:color="auto"/>
            <w:bottom w:val="none" w:sz="0" w:space="0" w:color="auto"/>
            <w:right w:val="none" w:sz="0" w:space="0" w:color="auto"/>
          </w:divBdr>
        </w:div>
        <w:div w:id="1407261002">
          <w:marLeft w:val="0"/>
          <w:marRight w:val="0"/>
          <w:marTop w:val="0"/>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4399157">
      <w:bodyDiv w:val="1"/>
      <w:marLeft w:val="0"/>
      <w:marRight w:val="0"/>
      <w:marTop w:val="0"/>
      <w:marBottom w:val="0"/>
      <w:divBdr>
        <w:top w:val="none" w:sz="0" w:space="0" w:color="auto"/>
        <w:left w:val="none" w:sz="0" w:space="0" w:color="auto"/>
        <w:bottom w:val="none" w:sz="0" w:space="0" w:color="auto"/>
        <w:right w:val="none" w:sz="0" w:space="0" w:color="auto"/>
      </w:divBdr>
      <w:divsChild>
        <w:div w:id="1532570535">
          <w:marLeft w:val="547"/>
          <w:marRight w:val="0"/>
          <w:marTop w:val="96"/>
          <w:marBottom w:val="0"/>
          <w:divBdr>
            <w:top w:val="none" w:sz="0" w:space="0" w:color="auto"/>
            <w:left w:val="none" w:sz="0" w:space="0" w:color="auto"/>
            <w:bottom w:val="none" w:sz="0" w:space="0" w:color="auto"/>
            <w:right w:val="none" w:sz="0" w:space="0" w:color="auto"/>
          </w:divBdr>
        </w:div>
      </w:divsChild>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6262588">
      <w:bodyDiv w:val="1"/>
      <w:marLeft w:val="0"/>
      <w:marRight w:val="0"/>
      <w:marTop w:val="0"/>
      <w:marBottom w:val="0"/>
      <w:divBdr>
        <w:top w:val="none" w:sz="0" w:space="0" w:color="auto"/>
        <w:left w:val="none" w:sz="0" w:space="0" w:color="auto"/>
        <w:bottom w:val="none" w:sz="0" w:space="0" w:color="auto"/>
        <w:right w:val="none" w:sz="0" w:space="0" w:color="auto"/>
      </w:divBdr>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179848817">
      <w:bodyDiv w:val="1"/>
      <w:marLeft w:val="0"/>
      <w:marRight w:val="0"/>
      <w:marTop w:val="0"/>
      <w:marBottom w:val="0"/>
      <w:divBdr>
        <w:top w:val="none" w:sz="0" w:space="0" w:color="auto"/>
        <w:left w:val="none" w:sz="0" w:space="0" w:color="auto"/>
        <w:bottom w:val="none" w:sz="0" w:space="0" w:color="auto"/>
        <w:right w:val="none" w:sz="0" w:space="0" w:color="auto"/>
      </w:divBdr>
      <w:divsChild>
        <w:div w:id="47994292">
          <w:marLeft w:val="1166"/>
          <w:marRight w:val="0"/>
          <w:marTop w:val="96"/>
          <w:marBottom w:val="0"/>
          <w:divBdr>
            <w:top w:val="none" w:sz="0" w:space="0" w:color="auto"/>
            <w:left w:val="none" w:sz="0" w:space="0" w:color="auto"/>
            <w:bottom w:val="none" w:sz="0" w:space="0" w:color="auto"/>
            <w:right w:val="none" w:sz="0" w:space="0" w:color="auto"/>
          </w:divBdr>
        </w:div>
        <w:div w:id="858085103">
          <w:marLeft w:val="547"/>
          <w:marRight w:val="0"/>
          <w:marTop w:val="115"/>
          <w:marBottom w:val="0"/>
          <w:divBdr>
            <w:top w:val="none" w:sz="0" w:space="0" w:color="auto"/>
            <w:left w:val="none" w:sz="0" w:space="0" w:color="auto"/>
            <w:bottom w:val="none" w:sz="0" w:space="0" w:color="auto"/>
            <w:right w:val="none" w:sz="0" w:space="0" w:color="auto"/>
          </w:divBdr>
        </w:div>
        <w:div w:id="1482036904">
          <w:marLeft w:val="1166"/>
          <w:marRight w:val="0"/>
          <w:marTop w:val="96"/>
          <w:marBottom w:val="0"/>
          <w:divBdr>
            <w:top w:val="none" w:sz="0" w:space="0" w:color="auto"/>
            <w:left w:val="none" w:sz="0" w:space="0" w:color="auto"/>
            <w:bottom w:val="none" w:sz="0" w:space="0" w:color="auto"/>
            <w:right w:val="none" w:sz="0" w:space="0" w:color="auto"/>
          </w:divBdr>
        </w:div>
      </w:divsChild>
    </w:div>
    <w:div w:id="1180048501">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4638982">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379195">
      <w:bodyDiv w:val="1"/>
      <w:marLeft w:val="0"/>
      <w:marRight w:val="0"/>
      <w:marTop w:val="0"/>
      <w:marBottom w:val="0"/>
      <w:divBdr>
        <w:top w:val="none" w:sz="0" w:space="0" w:color="auto"/>
        <w:left w:val="none" w:sz="0" w:space="0" w:color="auto"/>
        <w:bottom w:val="none" w:sz="0" w:space="0" w:color="auto"/>
        <w:right w:val="none" w:sz="0" w:space="0" w:color="auto"/>
      </w:divBdr>
    </w:div>
    <w:div w:id="1208182457">
      <w:bodyDiv w:val="1"/>
      <w:marLeft w:val="0"/>
      <w:marRight w:val="0"/>
      <w:marTop w:val="0"/>
      <w:marBottom w:val="0"/>
      <w:divBdr>
        <w:top w:val="none" w:sz="0" w:space="0" w:color="auto"/>
        <w:left w:val="none" w:sz="0" w:space="0" w:color="auto"/>
        <w:bottom w:val="none" w:sz="0" w:space="0" w:color="auto"/>
        <w:right w:val="none" w:sz="0" w:space="0" w:color="auto"/>
      </w:divBdr>
      <w:divsChild>
        <w:div w:id="98109905">
          <w:marLeft w:val="360"/>
          <w:marRight w:val="0"/>
          <w:marTop w:val="200"/>
          <w:marBottom w:val="0"/>
          <w:divBdr>
            <w:top w:val="none" w:sz="0" w:space="0" w:color="auto"/>
            <w:left w:val="none" w:sz="0" w:space="0" w:color="auto"/>
            <w:bottom w:val="none" w:sz="0" w:space="0" w:color="auto"/>
            <w:right w:val="none" w:sz="0" w:space="0" w:color="auto"/>
          </w:divBdr>
        </w:div>
        <w:div w:id="312176434">
          <w:marLeft w:val="1080"/>
          <w:marRight w:val="0"/>
          <w:marTop w:val="100"/>
          <w:marBottom w:val="0"/>
          <w:divBdr>
            <w:top w:val="none" w:sz="0" w:space="0" w:color="auto"/>
            <w:left w:val="none" w:sz="0" w:space="0" w:color="auto"/>
            <w:bottom w:val="none" w:sz="0" w:space="0" w:color="auto"/>
            <w:right w:val="none" w:sz="0" w:space="0" w:color="auto"/>
          </w:divBdr>
        </w:div>
        <w:div w:id="799957287">
          <w:marLeft w:val="1080"/>
          <w:marRight w:val="0"/>
          <w:marTop w:val="100"/>
          <w:marBottom w:val="0"/>
          <w:divBdr>
            <w:top w:val="none" w:sz="0" w:space="0" w:color="auto"/>
            <w:left w:val="none" w:sz="0" w:space="0" w:color="auto"/>
            <w:bottom w:val="none" w:sz="0" w:space="0" w:color="auto"/>
            <w:right w:val="none" w:sz="0" w:space="0" w:color="auto"/>
          </w:divBdr>
        </w:div>
        <w:div w:id="911159902">
          <w:marLeft w:val="1080"/>
          <w:marRight w:val="0"/>
          <w:marTop w:val="100"/>
          <w:marBottom w:val="0"/>
          <w:divBdr>
            <w:top w:val="none" w:sz="0" w:space="0" w:color="auto"/>
            <w:left w:val="none" w:sz="0" w:space="0" w:color="auto"/>
            <w:bottom w:val="none" w:sz="0" w:space="0" w:color="auto"/>
            <w:right w:val="none" w:sz="0" w:space="0" w:color="auto"/>
          </w:divBdr>
        </w:div>
        <w:div w:id="1407607507">
          <w:marLeft w:val="1080"/>
          <w:marRight w:val="0"/>
          <w:marTop w:val="100"/>
          <w:marBottom w:val="0"/>
          <w:divBdr>
            <w:top w:val="none" w:sz="0" w:space="0" w:color="auto"/>
            <w:left w:val="none" w:sz="0" w:space="0" w:color="auto"/>
            <w:bottom w:val="none" w:sz="0" w:space="0" w:color="auto"/>
            <w:right w:val="none" w:sz="0" w:space="0" w:color="auto"/>
          </w:divBdr>
        </w:div>
        <w:div w:id="1647127387">
          <w:marLeft w:val="1080"/>
          <w:marRight w:val="0"/>
          <w:marTop w:val="100"/>
          <w:marBottom w:val="0"/>
          <w:divBdr>
            <w:top w:val="none" w:sz="0" w:space="0" w:color="auto"/>
            <w:left w:val="none" w:sz="0" w:space="0" w:color="auto"/>
            <w:bottom w:val="none" w:sz="0" w:space="0" w:color="auto"/>
            <w:right w:val="none" w:sz="0" w:space="0" w:color="auto"/>
          </w:divBdr>
        </w:div>
        <w:div w:id="1872104364">
          <w:marLeft w:val="1080"/>
          <w:marRight w:val="0"/>
          <w:marTop w:val="100"/>
          <w:marBottom w:val="0"/>
          <w:divBdr>
            <w:top w:val="none" w:sz="0" w:space="0" w:color="auto"/>
            <w:left w:val="none" w:sz="0" w:space="0" w:color="auto"/>
            <w:bottom w:val="none" w:sz="0" w:space="0" w:color="auto"/>
            <w:right w:val="none" w:sz="0" w:space="0" w:color="auto"/>
          </w:divBdr>
        </w:div>
        <w:div w:id="1940288599">
          <w:marLeft w:val="360"/>
          <w:marRight w:val="0"/>
          <w:marTop w:val="200"/>
          <w:marBottom w:val="0"/>
          <w:divBdr>
            <w:top w:val="none" w:sz="0" w:space="0" w:color="auto"/>
            <w:left w:val="none" w:sz="0" w:space="0" w:color="auto"/>
            <w:bottom w:val="none" w:sz="0" w:space="0" w:color="auto"/>
            <w:right w:val="none" w:sz="0" w:space="0" w:color="auto"/>
          </w:divBdr>
        </w:div>
        <w:div w:id="2025521268">
          <w:marLeft w:val="1080"/>
          <w:marRight w:val="0"/>
          <w:marTop w:val="100"/>
          <w:marBottom w:val="0"/>
          <w:divBdr>
            <w:top w:val="none" w:sz="0" w:space="0" w:color="auto"/>
            <w:left w:val="none" w:sz="0" w:space="0" w:color="auto"/>
            <w:bottom w:val="none" w:sz="0" w:space="0" w:color="auto"/>
            <w:right w:val="none" w:sz="0" w:space="0" w:color="auto"/>
          </w:divBdr>
        </w:div>
      </w:divsChild>
    </w:div>
    <w:div w:id="1208882387">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30727341">
      <w:bodyDiv w:val="1"/>
      <w:marLeft w:val="0"/>
      <w:marRight w:val="0"/>
      <w:marTop w:val="0"/>
      <w:marBottom w:val="0"/>
      <w:divBdr>
        <w:top w:val="none" w:sz="0" w:space="0" w:color="auto"/>
        <w:left w:val="none" w:sz="0" w:space="0" w:color="auto"/>
        <w:bottom w:val="none" w:sz="0" w:space="0" w:color="auto"/>
        <w:right w:val="none" w:sz="0" w:space="0" w:color="auto"/>
      </w:divBdr>
    </w:div>
    <w:div w:id="124009113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7517934">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7352145">
      <w:bodyDiv w:val="1"/>
      <w:marLeft w:val="0"/>
      <w:marRight w:val="0"/>
      <w:marTop w:val="0"/>
      <w:marBottom w:val="0"/>
      <w:divBdr>
        <w:top w:val="none" w:sz="0" w:space="0" w:color="auto"/>
        <w:left w:val="none" w:sz="0" w:space="0" w:color="auto"/>
        <w:bottom w:val="none" w:sz="0" w:space="0" w:color="auto"/>
        <w:right w:val="none" w:sz="0" w:space="0" w:color="auto"/>
      </w:divBdr>
      <w:divsChild>
        <w:div w:id="253559387">
          <w:marLeft w:val="0"/>
          <w:marRight w:val="0"/>
          <w:marTop w:val="0"/>
          <w:marBottom w:val="0"/>
          <w:divBdr>
            <w:top w:val="none" w:sz="0" w:space="0" w:color="auto"/>
            <w:left w:val="none" w:sz="0" w:space="0" w:color="auto"/>
            <w:bottom w:val="none" w:sz="0" w:space="0" w:color="auto"/>
            <w:right w:val="none" w:sz="0" w:space="0" w:color="auto"/>
          </w:divBdr>
        </w:div>
        <w:div w:id="1769890271">
          <w:marLeft w:val="0"/>
          <w:marRight w:val="0"/>
          <w:marTop w:val="0"/>
          <w:marBottom w:val="0"/>
          <w:divBdr>
            <w:top w:val="none" w:sz="0" w:space="0" w:color="auto"/>
            <w:left w:val="none" w:sz="0" w:space="0" w:color="auto"/>
            <w:bottom w:val="none" w:sz="0" w:space="0" w:color="auto"/>
            <w:right w:val="none" w:sz="0" w:space="0" w:color="auto"/>
          </w:divBdr>
        </w:div>
        <w:div w:id="1947346628">
          <w:marLeft w:val="0"/>
          <w:marRight w:val="0"/>
          <w:marTop w:val="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23700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10">
          <w:marLeft w:val="360"/>
          <w:marRight w:val="0"/>
          <w:marTop w:val="120"/>
          <w:marBottom w:val="0"/>
          <w:divBdr>
            <w:top w:val="none" w:sz="0" w:space="0" w:color="auto"/>
            <w:left w:val="none" w:sz="0" w:space="0" w:color="auto"/>
            <w:bottom w:val="none" w:sz="0" w:space="0" w:color="auto"/>
            <w:right w:val="none" w:sz="0" w:space="0" w:color="auto"/>
          </w:divBdr>
        </w:div>
        <w:div w:id="328409784">
          <w:marLeft w:val="360"/>
          <w:marRight w:val="0"/>
          <w:marTop w:val="120"/>
          <w:marBottom w:val="0"/>
          <w:divBdr>
            <w:top w:val="none" w:sz="0" w:space="0" w:color="auto"/>
            <w:left w:val="none" w:sz="0" w:space="0" w:color="auto"/>
            <w:bottom w:val="none" w:sz="0" w:space="0" w:color="auto"/>
            <w:right w:val="none" w:sz="0" w:space="0" w:color="auto"/>
          </w:divBdr>
        </w:div>
        <w:div w:id="514661403">
          <w:marLeft w:val="1526"/>
          <w:marRight w:val="0"/>
          <w:marTop w:val="120"/>
          <w:marBottom w:val="0"/>
          <w:divBdr>
            <w:top w:val="none" w:sz="0" w:space="0" w:color="auto"/>
            <w:left w:val="none" w:sz="0" w:space="0" w:color="auto"/>
            <w:bottom w:val="none" w:sz="0" w:space="0" w:color="auto"/>
            <w:right w:val="none" w:sz="0" w:space="0" w:color="auto"/>
          </w:divBdr>
        </w:div>
        <w:div w:id="576745242">
          <w:marLeft w:val="1526"/>
          <w:marRight w:val="0"/>
          <w:marTop w:val="120"/>
          <w:marBottom w:val="0"/>
          <w:divBdr>
            <w:top w:val="none" w:sz="0" w:space="0" w:color="auto"/>
            <w:left w:val="none" w:sz="0" w:space="0" w:color="auto"/>
            <w:bottom w:val="none" w:sz="0" w:space="0" w:color="auto"/>
            <w:right w:val="none" w:sz="0" w:space="0" w:color="auto"/>
          </w:divBdr>
        </w:div>
        <w:div w:id="870997591">
          <w:marLeft w:val="907"/>
          <w:marRight w:val="0"/>
          <w:marTop w:val="120"/>
          <w:marBottom w:val="0"/>
          <w:divBdr>
            <w:top w:val="none" w:sz="0" w:space="0" w:color="auto"/>
            <w:left w:val="none" w:sz="0" w:space="0" w:color="auto"/>
            <w:bottom w:val="none" w:sz="0" w:space="0" w:color="auto"/>
            <w:right w:val="none" w:sz="0" w:space="0" w:color="auto"/>
          </w:divBdr>
        </w:div>
        <w:div w:id="990519849">
          <w:marLeft w:val="907"/>
          <w:marRight w:val="0"/>
          <w:marTop w:val="120"/>
          <w:marBottom w:val="0"/>
          <w:divBdr>
            <w:top w:val="none" w:sz="0" w:space="0" w:color="auto"/>
            <w:left w:val="none" w:sz="0" w:space="0" w:color="auto"/>
            <w:bottom w:val="none" w:sz="0" w:space="0" w:color="auto"/>
            <w:right w:val="none" w:sz="0" w:space="0" w:color="auto"/>
          </w:divBdr>
        </w:div>
        <w:div w:id="1384253959">
          <w:marLeft w:val="907"/>
          <w:marRight w:val="0"/>
          <w:marTop w:val="120"/>
          <w:marBottom w:val="0"/>
          <w:divBdr>
            <w:top w:val="none" w:sz="0" w:space="0" w:color="auto"/>
            <w:left w:val="none" w:sz="0" w:space="0" w:color="auto"/>
            <w:bottom w:val="none" w:sz="0" w:space="0" w:color="auto"/>
            <w:right w:val="none" w:sz="0" w:space="0" w:color="auto"/>
          </w:divBdr>
        </w:div>
        <w:div w:id="1389569853">
          <w:marLeft w:val="1526"/>
          <w:marRight w:val="0"/>
          <w:marTop w:val="120"/>
          <w:marBottom w:val="0"/>
          <w:divBdr>
            <w:top w:val="none" w:sz="0" w:space="0" w:color="auto"/>
            <w:left w:val="none" w:sz="0" w:space="0" w:color="auto"/>
            <w:bottom w:val="none" w:sz="0" w:space="0" w:color="auto"/>
            <w:right w:val="none" w:sz="0" w:space="0" w:color="auto"/>
          </w:divBdr>
        </w:div>
        <w:div w:id="1475289449">
          <w:marLeft w:val="1526"/>
          <w:marRight w:val="0"/>
          <w:marTop w:val="120"/>
          <w:marBottom w:val="0"/>
          <w:divBdr>
            <w:top w:val="none" w:sz="0" w:space="0" w:color="auto"/>
            <w:left w:val="none" w:sz="0" w:space="0" w:color="auto"/>
            <w:bottom w:val="none" w:sz="0" w:space="0" w:color="auto"/>
            <w:right w:val="none" w:sz="0" w:space="0" w:color="auto"/>
          </w:divBdr>
        </w:div>
        <w:div w:id="1683241424">
          <w:marLeft w:val="907"/>
          <w:marRight w:val="0"/>
          <w:marTop w:val="120"/>
          <w:marBottom w:val="0"/>
          <w:divBdr>
            <w:top w:val="none" w:sz="0" w:space="0" w:color="auto"/>
            <w:left w:val="none" w:sz="0" w:space="0" w:color="auto"/>
            <w:bottom w:val="none" w:sz="0" w:space="0" w:color="auto"/>
            <w:right w:val="none" w:sz="0" w:space="0" w:color="auto"/>
          </w:divBdr>
        </w:div>
      </w:divsChild>
    </w:div>
    <w:div w:id="129652150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2249165">
      <w:bodyDiv w:val="1"/>
      <w:marLeft w:val="0"/>
      <w:marRight w:val="0"/>
      <w:marTop w:val="0"/>
      <w:marBottom w:val="0"/>
      <w:divBdr>
        <w:top w:val="none" w:sz="0" w:space="0" w:color="auto"/>
        <w:left w:val="none" w:sz="0" w:space="0" w:color="auto"/>
        <w:bottom w:val="none" w:sz="0" w:space="0" w:color="auto"/>
        <w:right w:val="none" w:sz="0" w:space="0" w:color="auto"/>
      </w:divBdr>
    </w:div>
    <w:div w:id="1315841687">
      <w:bodyDiv w:val="1"/>
      <w:marLeft w:val="0"/>
      <w:marRight w:val="0"/>
      <w:marTop w:val="0"/>
      <w:marBottom w:val="0"/>
      <w:divBdr>
        <w:top w:val="none" w:sz="0" w:space="0" w:color="auto"/>
        <w:left w:val="none" w:sz="0" w:space="0" w:color="auto"/>
        <w:bottom w:val="none" w:sz="0" w:space="0" w:color="auto"/>
        <w:right w:val="none" w:sz="0" w:space="0" w:color="auto"/>
      </w:divBdr>
      <w:divsChild>
        <w:div w:id="104619345">
          <w:marLeft w:val="547"/>
          <w:marRight w:val="0"/>
          <w:marTop w:val="115"/>
          <w:marBottom w:val="0"/>
          <w:divBdr>
            <w:top w:val="none" w:sz="0" w:space="0" w:color="auto"/>
            <w:left w:val="none" w:sz="0" w:space="0" w:color="auto"/>
            <w:bottom w:val="none" w:sz="0" w:space="0" w:color="auto"/>
            <w:right w:val="none" w:sz="0" w:space="0" w:color="auto"/>
          </w:divBdr>
        </w:div>
        <w:div w:id="520244514">
          <w:marLeft w:val="1166"/>
          <w:marRight w:val="0"/>
          <w:marTop w:val="96"/>
          <w:marBottom w:val="0"/>
          <w:divBdr>
            <w:top w:val="none" w:sz="0" w:space="0" w:color="auto"/>
            <w:left w:val="none" w:sz="0" w:space="0" w:color="auto"/>
            <w:bottom w:val="none" w:sz="0" w:space="0" w:color="auto"/>
            <w:right w:val="none" w:sz="0" w:space="0" w:color="auto"/>
          </w:divBdr>
        </w:div>
        <w:div w:id="532620126">
          <w:marLeft w:val="1800"/>
          <w:marRight w:val="0"/>
          <w:marTop w:val="77"/>
          <w:marBottom w:val="0"/>
          <w:divBdr>
            <w:top w:val="none" w:sz="0" w:space="0" w:color="auto"/>
            <w:left w:val="none" w:sz="0" w:space="0" w:color="auto"/>
            <w:bottom w:val="none" w:sz="0" w:space="0" w:color="auto"/>
            <w:right w:val="none" w:sz="0" w:space="0" w:color="auto"/>
          </w:divBdr>
        </w:div>
        <w:div w:id="1022586768">
          <w:marLeft w:val="1166"/>
          <w:marRight w:val="0"/>
          <w:marTop w:val="96"/>
          <w:marBottom w:val="0"/>
          <w:divBdr>
            <w:top w:val="none" w:sz="0" w:space="0" w:color="auto"/>
            <w:left w:val="none" w:sz="0" w:space="0" w:color="auto"/>
            <w:bottom w:val="none" w:sz="0" w:space="0" w:color="auto"/>
            <w:right w:val="none" w:sz="0" w:space="0" w:color="auto"/>
          </w:divBdr>
        </w:div>
        <w:div w:id="1174226026">
          <w:marLeft w:val="1800"/>
          <w:marRight w:val="0"/>
          <w:marTop w:val="77"/>
          <w:marBottom w:val="0"/>
          <w:divBdr>
            <w:top w:val="none" w:sz="0" w:space="0" w:color="auto"/>
            <w:left w:val="none" w:sz="0" w:space="0" w:color="auto"/>
            <w:bottom w:val="none" w:sz="0" w:space="0" w:color="auto"/>
            <w:right w:val="none" w:sz="0" w:space="0" w:color="auto"/>
          </w:divBdr>
        </w:div>
        <w:div w:id="1339116721">
          <w:marLeft w:val="1800"/>
          <w:marRight w:val="0"/>
          <w:marTop w:val="77"/>
          <w:marBottom w:val="0"/>
          <w:divBdr>
            <w:top w:val="none" w:sz="0" w:space="0" w:color="auto"/>
            <w:left w:val="none" w:sz="0" w:space="0" w:color="auto"/>
            <w:bottom w:val="none" w:sz="0" w:space="0" w:color="auto"/>
            <w:right w:val="none" w:sz="0" w:space="0" w:color="auto"/>
          </w:divBdr>
        </w:div>
        <w:div w:id="1506746978">
          <w:marLeft w:val="1800"/>
          <w:marRight w:val="0"/>
          <w:marTop w:val="77"/>
          <w:marBottom w:val="0"/>
          <w:divBdr>
            <w:top w:val="none" w:sz="0" w:space="0" w:color="auto"/>
            <w:left w:val="none" w:sz="0" w:space="0" w:color="auto"/>
            <w:bottom w:val="none" w:sz="0" w:space="0" w:color="auto"/>
            <w:right w:val="none" w:sz="0" w:space="0" w:color="auto"/>
          </w:divBdr>
        </w:div>
        <w:div w:id="2046982148">
          <w:marLeft w:val="547"/>
          <w:marRight w:val="0"/>
          <w:marTop w:val="115"/>
          <w:marBottom w:val="0"/>
          <w:divBdr>
            <w:top w:val="none" w:sz="0" w:space="0" w:color="auto"/>
            <w:left w:val="none" w:sz="0" w:space="0" w:color="auto"/>
            <w:bottom w:val="none" w:sz="0" w:space="0" w:color="auto"/>
            <w:right w:val="none" w:sz="0" w:space="0" w:color="auto"/>
          </w:divBdr>
        </w:div>
        <w:div w:id="2067416179">
          <w:marLeft w:val="1166"/>
          <w:marRight w:val="0"/>
          <w:marTop w:val="96"/>
          <w:marBottom w:val="0"/>
          <w:divBdr>
            <w:top w:val="none" w:sz="0" w:space="0" w:color="auto"/>
            <w:left w:val="none" w:sz="0" w:space="0" w:color="auto"/>
            <w:bottom w:val="none" w:sz="0" w:space="0" w:color="auto"/>
            <w:right w:val="none" w:sz="0" w:space="0" w:color="auto"/>
          </w:divBdr>
        </w:div>
      </w:divsChild>
    </w:div>
    <w:div w:id="1319842668">
      <w:bodyDiv w:val="1"/>
      <w:marLeft w:val="0"/>
      <w:marRight w:val="0"/>
      <w:marTop w:val="0"/>
      <w:marBottom w:val="0"/>
      <w:divBdr>
        <w:top w:val="none" w:sz="0" w:space="0" w:color="auto"/>
        <w:left w:val="none" w:sz="0" w:space="0" w:color="auto"/>
        <w:bottom w:val="none" w:sz="0" w:space="0" w:color="auto"/>
        <w:right w:val="none" w:sz="0" w:space="0" w:color="auto"/>
      </w:divBdr>
      <w:divsChild>
        <w:div w:id="485513491">
          <w:marLeft w:val="1080"/>
          <w:marRight w:val="0"/>
          <w:marTop w:val="100"/>
          <w:marBottom w:val="0"/>
          <w:divBdr>
            <w:top w:val="none" w:sz="0" w:space="0" w:color="auto"/>
            <w:left w:val="none" w:sz="0" w:space="0" w:color="auto"/>
            <w:bottom w:val="none" w:sz="0" w:space="0" w:color="auto"/>
            <w:right w:val="none" w:sz="0" w:space="0" w:color="auto"/>
          </w:divBdr>
        </w:div>
        <w:div w:id="811098819">
          <w:marLeft w:val="360"/>
          <w:marRight w:val="0"/>
          <w:marTop w:val="200"/>
          <w:marBottom w:val="0"/>
          <w:divBdr>
            <w:top w:val="none" w:sz="0" w:space="0" w:color="auto"/>
            <w:left w:val="none" w:sz="0" w:space="0" w:color="auto"/>
            <w:bottom w:val="none" w:sz="0" w:space="0" w:color="auto"/>
            <w:right w:val="none" w:sz="0" w:space="0" w:color="auto"/>
          </w:divBdr>
        </w:div>
        <w:div w:id="1027676720">
          <w:marLeft w:val="360"/>
          <w:marRight w:val="0"/>
          <w:marTop w:val="200"/>
          <w:marBottom w:val="0"/>
          <w:divBdr>
            <w:top w:val="none" w:sz="0" w:space="0" w:color="auto"/>
            <w:left w:val="none" w:sz="0" w:space="0" w:color="auto"/>
            <w:bottom w:val="none" w:sz="0" w:space="0" w:color="auto"/>
            <w:right w:val="none" w:sz="0" w:space="0" w:color="auto"/>
          </w:divBdr>
        </w:div>
        <w:div w:id="1464425551">
          <w:marLeft w:val="1080"/>
          <w:marRight w:val="0"/>
          <w:marTop w:val="100"/>
          <w:marBottom w:val="0"/>
          <w:divBdr>
            <w:top w:val="none" w:sz="0" w:space="0" w:color="auto"/>
            <w:left w:val="none" w:sz="0" w:space="0" w:color="auto"/>
            <w:bottom w:val="none" w:sz="0" w:space="0" w:color="auto"/>
            <w:right w:val="none" w:sz="0" w:space="0" w:color="auto"/>
          </w:divBdr>
        </w:div>
        <w:div w:id="1481000807">
          <w:marLeft w:val="1080"/>
          <w:marRight w:val="0"/>
          <w:marTop w:val="100"/>
          <w:marBottom w:val="0"/>
          <w:divBdr>
            <w:top w:val="none" w:sz="0" w:space="0" w:color="auto"/>
            <w:left w:val="none" w:sz="0" w:space="0" w:color="auto"/>
            <w:bottom w:val="none" w:sz="0" w:space="0" w:color="auto"/>
            <w:right w:val="none" w:sz="0" w:space="0" w:color="auto"/>
          </w:divBdr>
        </w:div>
        <w:div w:id="1944334861">
          <w:marLeft w:val="1080"/>
          <w:marRight w:val="0"/>
          <w:marTop w:val="100"/>
          <w:marBottom w:val="0"/>
          <w:divBdr>
            <w:top w:val="none" w:sz="0" w:space="0" w:color="auto"/>
            <w:left w:val="none" w:sz="0" w:space="0" w:color="auto"/>
            <w:bottom w:val="none" w:sz="0" w:space="0" w:color="auto"/>
            <w:right w:val="none" w:sz="0" w:space="0" w:color="auto"/>
          </w:divBdr>
        </w:div>
        <w:div w:id="1966085094">
          <w:marLeft w:val="1080"/>
          <w:marRight w:val="0"/>
          <w:marTop w:val="100"/>
          <w:marBottom w:val="0"/>
          <w:divBdr>
            <w:top w:val="none" w:sz="0" w:space="0" w:color="auto"/>
            <w:left w:val="none" w:sz="0" w:space="0" w:color="auto"/>
            <w:bottom w:val="none" w:sz="0" w:space="0" w:color="auto"/>
            <w:right w:val="none" w:sz="0" w:space="0" w:color="auto"/>
          </w:divBdr>
        </w:div>
        <w:div w:id="2111310017">
          <w:marLeft w:val="360"/>
          <w:marRight w:val="0"/>
          <w:marTop w:val="20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9819898">
      <w:bodyDiv w:val="1"/>
      <w:marLeft w:val="0"/>
      <w:marRight w:val="0"/>
      <w:marTop w:val="0"/>
      <w:marBottom w:val="0"/>
      <w:divBdr>
        <w:top w:val="none" w:sz="0" w:space="0" w:color="auto"/>
        <w:left w:val="none" w:sz="0" w:space="0" w:color="auto"/>
        <w:bottom w:val="none" w:sz="0" w:space="0" w:color="auto"/>
        <w:right w:val="none" w:sz="0" w:space="0" w:color="auto"/>
      </w:divBdr>
      <w:divsChild>
        <w:div w:id="920337380">
          <w:marLeft w:val="1166"/>
          <w:marRight w:val="0"/>
          <w:marTop w:val="96"/>
          <w:marBottom w:val="0"/>
          <w:divBdr>
            <w:top w:val="none" w:sz="0" w:space="0" w:color="auto"/>
            <w:left w:val="none" w:sz="0" w:space="0" w:color="auto"/>
            <w:bottom w:val="none" w:sz="0" w:space="0" w:color="auto"/>
            <w:right w:val="none" w:sz="0" w:space="0" w:color="auto"/>
          </w:divBdr>
        </w:div>
        <w:div w:id="1274169765">
          <w:marLeft w:val="1166"/>
          <w:marRight w:val="0"/>
          <w:marTop w:val="96"/>
          <w:marBottom w:val="0"/>
          <w:divBdr>
            <w:top w:val="none" w:sz="0" w:space="0" w:color="auto"/>
            <w:left w:val="none" w:sz="0" w:space="0" w:color="auto"/>
            <w:bottom w:val="none" w:sz="0" w:space="0" w:color="auto"/>
            <w:right w:val="none" w:sz="0" w:space="0" w:color="auto"/>
          </w:divBdr>
        </w:div>
        <w:div w:id="1758597519">
          <w:marLeft w:val="1166"/>
          <w:marRight w:val="0"/>
          <w:marTop w:val="96"/>
          <w:marBottom w:val="0"/>
          <w:divBdr>
            <w:top w:val="none" w:sz="0" w:space="0" w:color="auto"/>
            <w:left w:val="none" w:sz="0" w:space="0" w:color="auto"/>
            <w:bottom w:val="none" w:sz="0" w:space="0" w:color="auto"/>
            <w:right w:val="none" w:sz="0" w:space="0" w:color="auto"/>
          </w:divBdr>
        </w:div>
      </w:divsChild>
    </w:div>
    <w:div w:id="1333946784">
      <w:bodyDiv w:val="1"/>
      <w:marLeft w:val="0"/>
      <w:marRight w:val="0"/>
      <w:marTop w:val="0"/>
      <w:marBottom w:val="0"/>
      <w:divBdr>
        <w:top w:val="none" w:sz="0" w:space="0" w:color="auto"/>
        <w:left w:val="none" w:sz="0" w:space="0" w:color="auto"/>
        <w:bottom w:val="none" w:sz="0" w:space="0" w:color="auto"/>
        <w:right w:val="none" w:sz="0" w:space="0" w:color="auto"/>
      </w:divBdr>
      <w:divsChild>
        <w:div w:id="279649999">
          <w:marLeft w:val="1080"/>
          <w:marRight w:val="0"/>
          <w:marTop w:val="100"/>
          <w:marBottom w:val="0"/>
          <w:divBdr>
            <w:top w:val="none" w:sz="0" w:space="0" w:color="auto"/>
            <w:left w:val="none" w:sz="0" w:space="0" w:color="auto"/>
            <w:bottom w:val="none" w:sz="0" w:space="0" w:color="auto"/>
            <w:right w:val="none" w:sz="0" w:space="0" w:color="auto"/>
          </w:divBdr>
        </w:div>
        <w:div w:id="1144354341">
          <w:marLeft w:val="1800"/>
          <w:marRight w:val="0"/>
          <w:marTop w:val="100"/>
          <w:marBottom w:val="0"/>
          <w:divBdr>
            <w:top w:val="none" w:sz="0" w:space="0" w:color="auto"/>
            <w:left w:val="none" w:sz="0" w:space="0" w:color="auto"/>
            <w:bottom w:val="none" w:sz="0" w:space="0" w:color="auto"/>
            <w:right w:val="none" w:sz="0" w:space="0" w:color="auto"/>
          </w:divBdr>
        </w:div>
        <w:div w:id="1541745706">
          <w:marLeft w:val="1800"/>
          <w:marRight w:val="0"/>
          <w:marTop w:val="100"/>
          <w:marBottom w:val="0"/>
          <w:divBdr>
            <w:top w:val="none" w:sz="0" w:space="0" w:color="auto"/>
            <w:left w:val="none" w:sz="0" w:space="0" w:color="auto"/>
            <w:bottom w:val="none" w:sz="0" w:space="0" w:color="auto"/>
            <w:right w:val="none" w:sz="0" w:space="0" w:color="auto"/>
          </w:divBdr>
        </w:div>
      </w:divsChild>
    </w:div>
    <w:div w:id="1338654042">
      <w:bodyDiv w:val="1"/>
      <w:marLeft w:val="0"/>
      <w:marRight w:val="0"/>
      <w:marTop w:val="0"/>
      <w:marBottom w:val="0"/>
      <w:divBdr>
        <w:top w:val="none" w:sz="0" w:space="0" w:color="auto"/>
        <w:left w:val="none" w:sz="0" w:space="0" w:color="auto"/>
        <w:bottom w:val="none" w:sz="0" w:space="0" w:color="auto"/>
        <w:right w:val="none" w:sz="0" w:space="0" w:color="auto"/>
      </w:divBdr>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2927305">
      <w:bodyDiv w:val="1"/>
      <w:marLeft w:val="0"/>
      <w:marRight w:val="0"/>
      <w:marTop w:val="0"/>
      <w:marBottom w:val="0"/>
      <w:divBdr>
        <w:top w:val="none" w:sz="0" w:space="0" w:color="auto"/>
        <w:left w:val="none" w:sz="0" w:space="0" w:color="auto"/>
        <w:bottom w:val="none" w:sz="0" w:space="0" w:color="auto"/>
        <w:right w:val="none" w:sz="0" w:space="0" w:color="auto"/>
      </w:divBdr>
    </w:div>
    <w:div w:id="1356233514">
      <w:bodyDiv w:val="1"/>
      <w:marLeft w:val="0"/>
      <w:marRight w:val="0"/>
      <w:marTop w:val="0"/>
      <w:marBottom w:val="0"/>
      <w:divBdr>
        <w:top w:val="none" w:sz="0" w:space="0" w:color="auto"/>
        <w:left w:val="none" w:sz="0" w:space="0" w:color="auto"/>
        <w:bottom w:val="none" w:sz="0" w:space="0" w:color="auto"/>
        <w:right w:val="none" w:sz="0" w:space="0" w:color="auto"/>
      </w:divBdr>
      <w:divsChild>
        <w:div w:id="224336366">
          <w:marLeft w:val="1800"/>
          <w:marRight w:val="0"/>
          <w:marTop w:val="86"/>
          <w:marBottom w:val="0"/>
          <w:divBdr>
            <w:top w:val="none" w:sz="0" w:space="0" w:color="auto"/>
            <w:left w:val="none" w:sz="0" w:space="0" w:color="auto"/>
            <w:bottom w:val="none" w:sz="0" w:space="0" w:color="auto"/>
            <w:right w:val="none" w:sz="0" w:space="0" w:color="auto"/>
          </w:divBdr>
        </w:div>
        <w:div w:id="546144229">
          <w:marLeft w:val="1166"/>
          <w:marRight w:val="0"/>
          <w:marTop w:val="96"/>
          <w:marBottom w:val="0"/>
          <w:divBdr>
            <w:top w:val="none" w:sz="0" w:space="0" w:color="auto"/>
            <w:left w:val="none" w:sz="0" w:space="0" w:color="auto"/>
            <w:bottom w:val="none" w:sz="0" w:space="0" w:color="auto"/>
            <w:right w:val="none" w:sz="0" w:space="0" w:color="auto"/>
          </w:divBdr>
        </w:div>
        <w:div w:id="1703936042">
          <w:marLeft w:val="1800"/>
          <w:marRight w:val="0"/>
          <w:marTop w:val="86"/>
          <w:marBottom w:val="0"/>
          <w:divBdr>
            <w:top w:val="none" w:sz="0" w:space="0" w:color="auto"/>
            <w:left w:val="none" w:sz="0" w:space="0" w:color="auto"/>
            <w:bottom w:val="none" w:sz="0" w:space="0" w:color="auto"/>
            <w:right w:val="none" w:sz="0" w:space="0" w:color="auto"/>
          </w:divBdr>
        </w:div>
        <w:div w:id="1983803880">
          <w:marLeft w:val="1800"/>
          <w:marRight w:val="0"/>
          <w:marTop w:val="86"/>
          <w:marBottom w:val="0"/>
          <w:divBdr>
            <w:top w:val="none" w:sz="0" w:space="0" w:color="auto"/>
            <w:left w:val="none" w:sz="0" w:space="0" w:color="auto"/>
            <w:bottom w:val="none" w:sz="0" w:space="0" w:color="auto"/>
            <w:right w:val="none" w:sz="0" w:space="0" w:color="auto"/>
          </w:divBdr>
        </w:div>
        <w:div w:id="2129230194">
          <w:marLeft w:val="1166"/>
          <w:marRight w:val="0"/>
          <w:marTop w:val="96"/>
          <w:marBottom w:val="0"/>
          <w:divBdr>
            <w:top w:val="none" w:sz="0" w:space="0" w:color="auto"/>
            <w:left w:val="none" w:sz="0" w:space="0" w:color="auto"/>
            <w:bottom w:val="none" w:sz="0" w:space="0" w:color="auto"/>
            <w:right w:val="none" w:sz="0" w:space="0" w:color="auto"/>
          </w:divBdr>
        </w:div>
      </w:divsChild>
    </w:div>
    <w:div w:id="1362778340">
      <w:bodyDiv w:val="1"/>
      <w:marLeft w:val="0"/>
      <w:marRight w:val="0"/>
      <w:marTop w:val="0"/>
      <w:marBottom w:val="0"/>
      <w:divBdr>
        <w:top w:val="none" w:sz="0" w:space="0" w:color="auto"/>
        <w:left w:val="none" w:sz="0" w:space="0" w:color="auto"/>
        <w:bottom w:val="none" w:sz="0" w:space="0" w:color="auto"/>
        <w:right w:val="none" w:sz="0" w:space="0" w:color="auto"/>
      </w:divBdr>
    </w:div>
    <w:div w:id="1367291756">
      <w:bodyDiv w:val="1"/>
      <w:marLeft w:val="0"/>
      <w:marRight w:val="0"/>
      <w:marTop w:val="0"/>
      <w:marBottom w:val="0"/>
      <w:divBdr>
        <w:top w:val="none" w:sz="0" w:space="0" w:color="auto"/>
        <w:left w:val="none" w:sz="0" w:space="0" w:color="auto"/>
        <w:bottom w:val="none" w:sz="0" w:space="0" w:color="auto"/>
        <w:right w:val="none" w:sz="0" w:space="0" w:color="auto"/>
      </w:divBdr>
    </w:div>
    <w:div w:id="1377510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1785496">
      <w:bodyDiv w:val="1"/>
      <w:marLeft w:val="0"/>
      <w:marRight w:val="0"/>
      <w:marTop w:val="0"/>
      <w:marBottom w:val="0"/>
      <w:divBdr>
        <w:top w:val="none" w:sz="0" w:space="0" w:color="auto"/>
        <w:left w:val="none" w:sz="0" w:space="0" w:color="auto"/>
        <w:bottom w:val="none" w:sz="0" w:space="0" w:color="auto"/>
        <w:right w:val="none" w:sz="0" w:space="0" w:color="auto"/>
      </w:divBdr>
    </w:div>
    <w:div w:id="1400438847">
      <w:bodyDiv w:val="1"/>
      <w:marLeft w:val="0"/>
      <w:marRight w:val="0"/>
      <w:marTop w:val="0"/>
      <w:marBottom w:val="0"/>
      <w:divBdr>
        <w:top w:val="none" w:sz="0" w:space="0" w:color="auto"/>
        <w:left w:val="none" w:sz="0" w:space="0" w:color="auto"/>
        <w:bottom w:val="none" w:sz="0" w:space="0" w:color="auto"/>
        <w:right w:val="none" w:sz="0" w:space="0" w:color="auto"/>
      </w:divBdr>
      <w:divsChild>
        <w:div w:id="492836440">
          <w:marLeft w:val="446"/>
          <w:marRight w:val="0"/>
          <w:marTop w:val="0"/>
          <w:marBottom w:val="0"/>
          <w:divBdr>
            <w:top w:val="none" w:sz="0" w:space="0" w:color="auto"/>
            <w:left w:val="none" w:sz="0" w:space="0" w:color="auto"/>
            <w:bottom w:val="none" w:sz="0" w:space="0" w:color="auto"/>
            <w:right w:val="none" w:sz="0" w:space="0" w:color="auto"/>
          </w:divBdr>
        </w:div>
        <w:div w:id="599917108">
          <w:marLeft w:val="446"/>
          <w:marRight w:val="0"/>
          <w:marTop w:val="0"/>
          <w:marBottom w:val="0"/>
          <w:divBdr>
            <w:top w:val="none" w:sz="0" w:space="0" w:color="auto"/>
            <w:left w:val="none" w:sz="0" w:space="0" w:color="auto"/>
            <w:bottom w:val="none" w:sz="0" w:space="0" w:color="auto"/>
            <w:right w:val="none" w:sz="0" w:space="0" w:color="auto"/>
          </w:divBdr>
        </w:div>
        <w:div w:id="1019812112">
          <w:marLeft w:val="446"/>
          <w:marRight w:val="0"/>
          <w:marTop w:val="0"/>
          <w:marBottom w:val="0"/>
          <w:divBdr>
            <w:top w:val="none" w:sz="0" w:space="0" w:color="auto"/>
            <w:left w:val="none" w:sz="0" w:space="0" w:color="auto"/>
            <w:bottom w:val="none" w:sz="0" w:space="0" w:color="auto"/>
            <w:right w:val="none" w:sz="0" w:space="0" w:color="auto"/>
          </w:divBdr>
        </w:div>
        <w:div w:id="1101606207">
          <w:marLeft w:val="446"/>
          <w:marRight w:val="0"/>
          <w:marTop w:val="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5879167">
      <w:bodyDiv w:val="1"/>
      <w:marLeft w:val="0"/>
      <w:marRight w:val="0"/>
      <w:marTop w:val="0"/>
      <w:marBottom w:val="0"/>
      <w:divBdr>
        <w:top w:val="none" w:sz="0" w:space="0" w:color="auto"/>
        <w:left w:val="none" w:sz="0" w:space="0" w:color="auto"/>
        <w:bottom w:val="none" w:sz="0" w:space="0" w:color="auto"/>
        <w:right w:val="none" w:sz="0" w:space="0" w:color="auto"/>
      </w:divBdr>
    </w:div>
    <w:div w:id="1431853978">
      <w:bodyDiv w:val="1"/>
      <w:marLeft w:val="0"/>
      <w:marRight w:val="0"/>
      <w:marTop w:val="0"/>
      <w:marBottom w:val="0"/>
      <w:divBdr>
        <w:top w:val="none" w:sz="0" w:space="0" w:color="auto"/>
        <w:left w:val="none" w:sz="0" w:space="0" w:color="auto"/>
        <w:bottom w:val="none" w:sz="0" w:space="0" w:color="auto"/>
        <w:right w:val="none" w:sz="0" w:space="0" w:color="auto"/>
      </w:divBdr>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974526">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0857224">
      <w:bodyDiv w:val="1"/>
      <w:marLeft w:val="0"/>
      <w:marRight w:val="0"/>
      <w:marTop w:val="0"/>
      <w:marBottom w:val="0"/>
      <w:divBdr>
        <w:top w:val="none" w:sz="0" w:space="0" w:color="auto"/>
        <w:left w:val="none" w:sz="0" w:space="0" w:color="auto"/>
        <w:bottom w:val="none" w:sz="0" w:space="0" w:color="auto"/>
        <w:right w:val="none" w:sz="0" w:space="0" w:color="auto"/>
      </w:divBdr>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59836247">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72290081">
      <w:bodyDiv w:val="1"/>
      <w:marLeft w:val="0"/>
      <w:marRight w:val="0"/>
      <w:marTop w:val="0"/>
      <w:marBottom w:val="0"/>
      <w:divBdr>
        <w:top w:val="none" w:sz="0" w:space="0" w:color="auto"/>
        <w:left w:val="none" w:sz="0" w:space="0" w:color="auto"/>
        <w:bottom w:val="none" w:sz="0" w:space="0" w:color="auto"/>
        <w:right w:val="none" w:sz="0" w:space="0" w:color="auto"/>
      </w:divBdr>
    </w:div>
    <w:div w:id="148073205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589806">
      <w:bodyDiv w:val="1"/>
      <w:marLeft w:val="0"/>
      <w:marRight w:val="0"/>
      <w:marTop w:val="0"/>
      <w:marBottom w:val="0"/>
      <w:divBdr>
        <w:top w:val="none" w:sz="0" w:space="0" w:color="auto"/>
        <w:left w:val="none" w:sz="0" w:space="0" w:color="auto"/>
        <w:bottom w:val="none" w:sz="0" w:space="0" w:color="auto"/>
        <w:right w:val="none" w:sz="0" w:space="0" w:color="auto"/>
      </w:divBdr>
    </w:div>
    <w:div w:id="1486042980">
      <w:bodyDiv w:val="1"/>
      <w:marLeft w:val="0"/>
      <w:marRight w:val="0"/>
      <w:marTop w:val="0"/>
      <w:marBottom w:val="0"/>
      <w:divBdr>
        <w:top w:val="none" w:sz="0" w:space="0" w:color="auto"/>
        <w:left w:val="none" w:sz="0" w:space="0" w:color="auto"/>
        <w:bottom w:val="none" w:sz="0" w:space="0" w:color="auto"/>
        <w:right w:val="none" w:sz="0" w:space="0" w:color="auto"/>
      </w:divBdr>
      <w:divsChild>
        <w:div w:id="357197447">
          <w:marLeft w:val="0"/>
          <w:marRight w:val="0"/>
          <w:marTop w:val="0"/>
          <w:marBottom w:val="0"/>
          <w:divBdr>
            <w:top w:val="none" w:sz="0" w:space="0" w:color="auto"/>
            <w:left w:val="none" w:sz="0" w:space="0" w:color="auto"/>
            <w:bottom w:val="none" w:sz="0" w:space="0" w:color="auto"/>
            <w:right w:val="none" w:sz="0" w:space="0" w:color="auto"/>
          </w:divBdr>
        </w:div>
      </w:divsChild>
    </w:div>
    <w:div w:id="1490057082">
      <w:bodyDiv w:val="1"/>
      <w:marLeft w:val="0"/>
      <w:marRight w:val="0"/>
      <w:marTop w:val="0"/>
      <w:marBottom w:val="0"/>
      <w:divBdr>
        <w:top w:val="none" w:sz="0" w:space="0" w:color="auto"/>
        <w:left w:val="none" w:sz="0" w:space="0" w:color="auto"/>
        <w:bottom w:val="none" w:sz="0" w:space="0" w:color="auto"/>
        <w:right w:val="none" w:sz="0" w:space="0" w:color="auto"/>
      </w:divBdr>
    </w:div>
    <w:div w:id="1492409421">
      <w:bodyDiv w:val="1"/>
      <w:marLeft w:val="0"/>
      <w:marRight w:val="0"/>
      <w:marTop w:val="0"/>
      <w:marBottom w:val="0"/>
      <w:divBdr>
        <w:top w:val="none" w:sz="0" w:space="0" w:color="auto"/>
        <w:left w:val="none" w:sz="0" w:space="0" w:color="auto"/>
        <w:bottom w:val="none" w:sz="0" w:space="0" w:color="auto"/>
        <w:right w:val="none" w:sz="0" w:space="0" w:color="auto"/>
      </w:divBdr>
      <w:divsChild>
        <w:div w:id="2025132319">
          <w:marLeft w:val="547"/>
          <w:marRight w:val="0"/>
          <w:marTop w:val="115"/>
          <w:marBottom w:val="0"/>
          <w:divBdr>
            <w:top w:val="none" w:sz="0" w:space="0" w:color="auto"/>
            <w:left w:val="none" w:sz="0" w:space="0" w:color="auto"/>
            <w:bottom w:val="none" w:sz="0" w:space="0" w:color="auto"/>
            <w:right w:val="none" w:sz="0" w:space="0" w:color="auto"/>
          </w:divBdr>
        </w:div>
      </w:divsChild>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6845016">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499231371">
      <w:bodyDiv w:val="1"/>
      <w:marLeft w:val="0"/>
      <w:marRight w:val="0"/>
      <w:marTop w:val="0"/>
      <w:marBottom w:val="0"/>
      <w:divBdr>
        <w:top w:val="none" w:sz="0" w:space="0" w:color="auto"/>
        <w:left w:val="none" w:sz="0" w:space="0" w:color="auto"/>
        <w:bottom w:val="none" w:sz="0" w:space="0" w:color="auto"/>
        <w:right w:val="none" w:sz="0" w:space="0" w:color="auto"/>
      </w:divBdr>
    </w:div>
    <w:div w:id="1500148940">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7155678">
      <w:bodyDiv w:val="1"/>
      <w:marLeft w:val="0"/>
      <w:marRight w:val="0"/>
      <w:marTop w:val="0"/>
      <w:marBottom w:val="0"/>
      <w:divBdr>
        <w:top w:val="none" w:sz="0" w:space="0" w:color="auto"/>
        <w:left w:val="none" w:sz="0" w:space="0" w:color="auto"/>
        <w:bottom w:val="none" w:sz="0" w:space="0" w:color="auto"/>
        <w:right w:val="none" w:sz="0" w:space="0" w:color="auto"/>
      </w:divBdr>
    </w:div>
    <w:div w:id="1539902021">
      <w:bodyDiv w:val="1"/>
      <w:marLeft w:val="0"/>
      <w:marRight w:val="0"/>
      <w:marTop w:val="0"/>
      <w:marBottom w:val="0"/>
      <w:divBdr>
        <w:top w:val="none" w:sz="0" w:space="0" w:color="auto"/>
        <w:left w:val="none" w:sz="0" w:space="0" w:color="auto"/>
        <w:bottom w:val="none" w:sz="0" w:space="0" w:color="auto"/>
        <w:right w:val="none" w:sz="0" w:space="0" w:color="auto"/>
      </w:divBdr>
      <w:divsChild>
        <w:div w:id="867911744">
          <w:marLeft w:val="1800"/>
          <w:marRight w:val="0"/>
          <w:marTop w:val="100"/>
          <w:marBottom w:val="0"/>
          <w:divBdr>
            <w:top w:val="none" w:sz="0" w:space="0" w:color="auto"/>
            <w:left w:val="none" w:sz="0" w:space="0" w:color="auto"/>
            <w:bottom w:val="none" w:sz="0" w:space="0" w:color="auto"/>
            <w:right w:val="none" w:sz="0" w:space="0" w:color="auto"/>
          </w:divBdr>
        </w:div>
        <w:div w:id="1778526196">
          <w:marLeft w:val="180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68303472">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137815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2324244">
      <w:bodyDiv w:val="1"/>
      <w:marLeft w:val="0"/>
      <w:marRight w:val="0"/>
      <w:marTop w:val="0"/>
      <w:marBottom w:val="0"/>
      <w:divBdr>
        <w:top w:val="none" w:sz="0" w:space="0" w:color="auto"/>
        <w:left w:val="none" w:sz="0" w:space="0" w:color="auto"/>
        <w:bottom w:val="none" w:sz="0" w:space="0" w:color="auto"/>
        <w:right w:val="none" w:sz="0" w:space="0" w:color="auto"/>
      </w:divBdr>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8200963">
      <w:bodyDiv w:val="1"/>
      <w:marLeft w:val="0"/>
      <w:marRight w:val="0"/>
      <w:marTop w:val="0"/>
      <w:marBottom w:val="0"/>
      <w:divBdr>
        <w:top w:val="none" w:sz="0" w:space="0" w:color="auto"/>
        <w:left w:val="none" w:sz="0" w:space="0" w:color="auto"/>
        <w:bottom w:val="none" w:sz="0" w:space="0" w:color="auto"/>
        <w:right w:val="none" w:sz="0" w:space="0" w:color="auto"/>
      </w:divBdr>
    </w:div>
    <w:div w:id="1631745542">
      <w:bodyDiv w:val="1"/>
      <w:marLeft w:val="0"/>
      <w:marRight w:val="0"/>
      <w:marTop w:val="0"/>
      <w:marBottom w:val="0"/>
      <w:divBdr>
        <w:top w:val="none" w:sz="0" w:space="0" w:color="auto"/>
        <w:left w:val="none" w:sz="0" w:space="0" w:color="auto"/>
        <w:bottom w:val="none" w:sz="0" w:space="0" w:color="auto"/>
        <w:right w:val="none" w:sz="0" w:space="0" w:color="auto"/>
      </w:divBdr>
      <w:divsChild>
        <w:div w:id="143472640">
          <w:marLeft w:val="547"/>
          <w:marRight w:val="0"/>
          <w:marTop w:val="115"/>
          <w:marBottom w:val="0"/>
          <w:divBdr>
            <w:top w:val="none" w:sz="0" w:space="0" w:color="auto"/>
            <w:left w:val="none" w:sz="0" w:space="0" w:color="auto"/>
            <w:bottom w:val="none" w:sz="0" w:space="0" w:color="auto"/>
            <w:right w:val="none" w:sz="0" w:space="0" w:color="auto"/>
          </w:divBdr>
        </w:div>
      </w:divsChild>
    </w:div>
    <w:div w:id="1632596473">
      <w:bodyDiv w:val="1"/>
      <w:marLeft w:val="0"/>
      <w:marRight w:val="0"/>
      <w:marTop w:val="0"/>
      <w:marBottom w:val="0"/>
      <w:divBdr>
        <w:top w:val="none" w:sz="0" w:space="0" w:color="auto"/>
        <w:left w:val="none" w:sz="0" w:space="0" w:color="auto"/>
        <w:bottom w:val="none" w:sz="0" w:space="0" w:color="auto"/>
        <w:right w:val="none" w:sz="0" w:space="0" w:color="auto"/>
      </w:divBdr>
      <w:divsChild>
        <w:div w:id="190841458">
          <w:marLeft w:val="2074"/>
          <w:marRight w:val="0"/>
          <w:marTop w:val="0"/>
          <w:marBottom w:val="120"/>
          <w:divBdr>
            <w:top w:val="none" w:sz="0" w:space="0" w:color="auto"/>
            <w:left w:val="none" w:sz="0" w:space="0" w:color="auto"/>
            <w:bottom w:val="none" w:sz="0" w:space="0" w:color="auto"/>
            <w:right w:val="none" w:sz="0" w:space="0" w:color="auto"/>
          </w:divBdr>
        </w:div>
        <w:div w:id="397284562">
          <w:marLeft w:val="1526"/>
          <w:marRight w:val="0"/>
          <w:marTop w:val="0"/>
          <w:marBottom w:val="120"/>
          <w:divBdr>
            <w:top w:val="none" w:sz="0" w:space="0" w:color="auto"/>
            <w:left w:val="none" w:sz="0" w:space="0" w:color="auto"/>
            <w:bottom w:val="none" w:sz="0" w:space="0" w:color="auto"/>
            <w:right w:val="none" w:sz="0" w:space="0" w:color="auto"/>
          </w:divBdr>
        </w:div>
        <w:div w:id="508369535">
          <w:marLeft w:val="2074"/>
          <w:marRight w:val="0"/>
          <w:marTop w:val="0"/>
          <w:marBottom w:val="120"/>
          <w:divBdr>
            <w:top w:val="none" w:sz="0" w:space="0" w:color="auto"/>
            <w:left w:val="none" w:sz="0" w:space="0" w:color="auto"/>
            <w:bottom w:val="none" w:sz="0" w:space="0" w:color="auto"/>
            <w:right w:val="none" w:sz="0" w:space="0" w:color="auto"/>
          </w:divBdr>
        </w:div>
        <w:div w:id="628823639">
          <w:marLeft w:val="907"/>
          <w:marRight w:val="0"/>
          <w:marTop w:val="0"/>
          <w:marBottom w:val="120"/>
          <w:divBdr>
            <w:top w:val="none" w:sz="0" w:space="0" w:color="auto"/>
            <w:left w:val="none" w:sz="0" w:space="0" w:color="auto"/>
            <w:bottom w:val="none" w:sz="0" w:space="0" w:color="auto"/>
            <w:right w:val="none" w:sz="0" w:space="0" w:color="auto"/>
          </w:divBdr>
        </w:div>
        <w:div w:id="1269461015">
          <w:marLeft w:val="1526"/>
          <w:marRight w:val="0"/>
          <w:marTop w:val="0"/>
          <w:marBottom w:val="120"/>
          <w:divBdr>
            <w:top w:val="none" w:sz="0" w:space="0" w:color="auto"/>
            <w:left w:val="none" w:sz="0" w:space="0" w:color="auto"/>
            <w:bottom w:val="none" w:sz="0" w:space="0" w:color="auto"/>
            <w:right w:val="none" w:sz="0" w:space="0" w:color="auto"/>
          </w:divBdr>
        </w:div>
        <w:div w:id="1345282604">
          <w:marLeft w:val="2074"/>
          <w:marRight w:val="0"/>
          <w:marTop w:val="0"/>
          <w:marBottom w:val="120"/>
          <w:divBdr>
            <w:top w:val="none" w:sz="0" w:space="0" w:color="auto"/>
            <w:left w:val="none" w:sz="0" w:space="0" w:color="auto"/>
            <w:bottom w:val="none" w:sz="0" w:space="0" w:color="auto"/>
            <w:right w:val="none" w:sz="0" w:space="0" w:color="auto"/>
          </w:divBdr>
        </w:div>
      </w:divsChild>
    </w:div>
    <w:div w:id="1634797408">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65431721">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375915">
      <w:bodyDiv w:val="1"/>
      <w:marLeft w:val="0"/>
      <w:marRight w:val="0"/>
      <w:marTop w:val="0"/>
      <w:marBottom w:val="0"/>
      <w:divBdr>
        <w:top w:val="none" w:sz="0" w:space="0" w:color="auto"/>
        <w:left w:val="none" w:sz="0" w:space="0" w:color="auto"/>
        <w:bottom w:val="none" w:sz="0" w:space="0" w:color="auto"/>
        <w:right w:val="none" w:sz="0" w:space="0" w:color="auto"/>
      </w:divBdr>
      <w:divsChild>
        <w:div w:id="267197416">
          <w:marLeft w:val="360"/>
          <w:marRight w:val="0"/>
          <w:marTop w:val="200"/>
          <w:marBottom w:val="0"/>
          <w:divBdr>
            <w:top w:val="none" w:sz="0" w:space="0" w:color="auto"/>
            <w:left w:val="none" w:sz="0" w:space="0" w:color="auto"/>
            <w:bottom w:val="none" w:sz="0" w:space="0" w:color="auto"/>
            <w:right w:val="none" w:sz="0" w:space="0" w:color="auto"/>
          </w:divBdr>
        </w:div>
        <w:div w:id="488448093">
          <w:marLeft w:val="1800"/>
          <w:marRight w:val="0"/>
          <w:marTop w:val="100"/>
          <w:marBottom w:val="0"/>
          <w:divBdr>
            <w:top w:val="none" w:sz="0" w:space="0" w:color="auto"/>
            <w:left w:val="none" w:sz="0" w:space="0" w:color="auto"/>
            <w:bottom w:val="none" w:sz="0" w:space="0" w:color="auto"/>
            <w:right w:val="none" w:sz="0" w:space="0" w:color="auto"/>
          </w:divBdr>
        </w:div>
        <w:div w:id="548499346">
          <w:marLeft w:val="1800"/>
          <w:marRight w:val="0"/>
          <w:marTop w:val="100"/>
          <w:marBottom w:val="0"/>
          <w:divBdr>
            <w:top w:val="none" w:sz="0" w:space="0" w:color="auto"/>
            <w:left w:val="none" w:sz="0" w:space="0" w:color="auto"/>
            <w:bottom w:val="none" w:sz="0" w:space="0" w:color="auto"/>
            <w:right w:val="none" w:sz="0" w:space="0" w:color="auto"/>
          </w:divBdr>
        </w:div>
        <w:div w:id="662203156">
          <w:marLeft w:val="1080"/>
          <w:marRight w:val="0"/>
          <w:marTop w:val="100"/>
          <w:marBottom w:val="0"/>
          <w:divBdr>
            <w:top w:val="none" w:sz="0" w:space="0" w:color="auto"/>
            <w:left w:val="none" w:sz="0" w:space="0" w:color="auto"/>
            <w:bottom w:val="none" w:sz="0" w:space="0" w:color="auto"/>
            <w:right w:val="none" w:sz="0" w:space="0" w:color="auto"/>
          </w:divBdr>
        </w:div>
        <w:div w:id="2101170514">
          <w:marLeft w:val="1080"/>
          <w:marRight w:val="0"/>
          <w:marTop w:val="100"/>
          <w:marBottom w:val="0"/>
          <w:divBdr>
            <w:top w:val="none" w:sz="0" w:space="0" w:color="auto"/>
            <w:left w:val="none" w:sz="0" w:space="0" w:color="auto"/>
            <w:bottom w:val="none" w:sz="0" w:space="0" w:color="auto"/>
            <w:right w:val="none" w:sz="0" w:space="0" w:color="auto"/>
          </w:divBdr>
        </w:div>
      </w:divsChild>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86177872">
      <w:bodyDiv w:val="1"/>
      <w:marLeft w:val="0"/>
      <w:marRight w:val="0"/>
      <w:marTop w:val="0"/>
      <w:marBottom w:val="0"/>
      <w:divBdr>
        <w:top w:val="none" w:sz="0" w:space="0" w:color="auto"/>
        <w:left w:val="none" w:sz="0" w:space="0" w:color="auto"/>
        <w:bottom w:val="none" w:sz="0" w:space="0" w:color="auto"/>
        <w:right w:val="none" w:sz="0" w:space="0" w:color="auto"/>
      </w:divBdr>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7024">
      <w:bodyDiv w:val="1"/>
      <w:marLeft w:val="0"/>
      <w:marRight w:val="0"/>
      <w:marTop w:val="0"/>
      <w:marBottom w:val="0"/>
      <w:divBdr>
        <w:top w:val="none" w:sz="0" w:space="0" w:color="auto"/>
        <w:left w:val="none" w:sz="0" w:space="0" w:color="auto"/>
        <w:bottom w:val="none" w:sz="0" w:space="0" w:color="auto"/>
        <w:right w:val="none" w:sz="0" w:space="0" w:color="auto"/>
      </w:divBdr>
    </w:div>
    <w:div w:id="1751200232">
      <w:bodyDiv w:val="1"/>
      <w:marLeft w:val="0"/>
      <w:marRight w:val="0"/>
      <w:marTop w:val="0"/>
      <w:marBottom w:val="0"/>
      <w:divBdr>
        <w:top w:val="none" w:sz="0" w:space="0" w:color="auto"/>
        <w:left w:val="none" w:sz="0" w:space="0" w:color="auto"/>
        <w:bottom w:val="none" w:sz="0" w:space="0" w:color="auto"/>
        <w:right w:val="none" w:sz="0" w:space="0" w:color="auto"/>
      </w:divBdr>
      <w:divsChild>
        <w:div w:id="114760832">
          <w:marLeft w:val="1166"/>
          <w:marRight w:val="0"/>
          <w:marTop w:val="96"/>
          <w:marBottom w:val="0"/>
          <w:divBdr>
            <w:top w:val="none" w:sz="0" w:space="0" w:color="auto"/>
            <w:left w:val="none" w:sz="0" w:space="0" w:color="auto"/>
            <w:bottom w:val="none" w:sz="0" w:space="0" w:color="auto"/>
            <w:right w:val="none" w:sz="0" w:space="0" w:color="auto"/>
          </w:divBdr>
        </w:div>
        <w:div w:id="275333578">
          <w:marLeft w:val="547"/>
          <w:marRight w:val="0"/>
          <w:marTop w:val="115"/>
          <w:marBottom w:val="0"/>
          <w:divBdr>
            <w:top w:val="none" w:sz="0" w:space="0" w:color="auto"/>
            <w:left w:val="none" w:sz="0" w:space="0" w:color="auto"/>
            <w:bottom w:val="none" w:sz="0" w:space="0" w:color="auto"/>
            <w:right w:val="none" w:sz="0" w:space="0" w:color="auto"/>
          </w:divBdr>
        </w:div>
        <w:div w:id="588004979">
          <w:marLeft w:val="1166"/>
          <w:marRight w:val="0"/>
          <w:marTop w:val="96"/>
          <w:marBottom w:val="0"/>
          <w:divBdr>
            <w:top w:val="none" w:sz="0" w:space="0" w:color="auto"/>
            <w:left w:val="none" w:sz="0" w:space="0" w:color="auto"/>
            <w:bottom w:val="none" w:sz="0" w:space="0" w:color="auto"/>
            <w:right w:val="none" w:sz="0" w:space="0" w:color="auto"/>
          </w:divBdr>
        </w:div>
        <w:div w:id="619068496">
          <w:marLeft w:val="1166"/>
          <w:marRight w:val="0"/>
          <w:marTop w:val="96"/>
          <w:marBottom w:val="0"/>
          <w:divBdr>
            <w:top w:val="none" w:sz="0" w:space="0" w:color="auto"/>
            <w:left w:val="none" w:sz="0" w:space="0" w:color="auto"/>
            <w:bottom w:val="none" w:sz="0" w:space="0" w:color="auto"/>
            <w:right w:val="none" w:sz="0" w:space="0" w:color="auto"/>
          </w:divBdr>
        </w:div>
        <w:div w:id="1496916677">
          <w:marLeft w:val="1886"/>
          <w:marRight w:val="0"/>
          <w:marTop w:val="77"/>
          <w:marBottom w:val="0"/>
          <w:divBdr>
            <w:top w:val="none" w:sz="0" w:space="0" w:color="auto"/>
            <w:left w:val="none" w:sz="0" w:space="0" w:color="auto"/>
            <w:bottom w:val="none" w:sz="0" w:space="0" w:color="auto"/>
            <w:right w:val="none" w:sz="0" w:space="0" w:color="auto"/>
          </w:divBdr>
        </w:div>
        <w:div w:id="1534803018">
          <w:marLeft w:val="1886"/>
          <w:marRight w:val="0"/>
          <w:marTop w:val="77"/>
          <w:marBottom w:val="0"/>
          <w:divBdr>
            <w:top w:val="none" w:sz="0" w:space="0" w:color="auto"/>
            <w:left w:val="none" w:sz="0" w:space="0" w:color="auto"/>
            <w:bottom w:val="none" w:sz="0" w:space="0" w:color="auto"/>
            <w:right w:val="none" w:sz="0" w:space="0" w:color="auto"/>
          </w:divBdr>
        </w:div>
        <w:div w:id="1916278997">
          <w:marLeft w:val="547"/>
          <w:marRight w:val="0"/>
          <w:marTop w:val="115"/>
          <w:marBottom w:val="0"/>
          <w:divBdr>
            <w:top w:val="none" w:sz="0" w:space="0" w:color="auto"/>
            <w:left w:val="none" w:sz="0" w:space="0" w:color="auto"/>
            <w:bottom w:val="none" w:sz="0" w:space="0" w:color="auto"/>
            <w:right w:val="none" w:sz="0" w:space="0" w:color="auto"/>
          </w:divBdr>
        </w:div>
        <w:div w:id="2131121187">
          <w:marLeft w:val="547"/>
          <w:marRight w:val="0"/>
          <w:marTop w:val="115"/>
          <w:marBottom w:val="0"/>
          <w:divBdr>
            <w:top w:val="none" w:sz="0" w:space="0" w:color="auto"/>
            <w:left w:val="none" w:sz="0" w:space="0" w:color="auto"/>
            <w:bottom w:val="none" w:sz="0" w:space="0" w:color="auto"/>
            <w:right w:val="none" w:sz="0" w:space="0" w:color="auto"/>
          </w:divBdr>
        </w:div>
      </w:divsChild>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3911390">
      <w:bodyDiv w:val="1"/>
      <w:marLeft w:val="0"/>
      <w:marRight w:val="0"/>
      <w:marTop w:val="0"/>
      <w:marBottom w:val="0"/>
      <w:divBdr>
        <w:top w:val="none" w:sz="0" w:space="0" w:color="auto"/>
        <w:left w:val="none" w:sz="0" w:space="0" w:color="auto"/>
        <w:bottom w:val="none" w:sz="0" w:space="0" w:color="auto"/>
        <w:right w:val="none" w:sz="0" w:space="0" w:color="auto"/>
      </w:divBdr>
      <w:divsChild>
        <w:div w:id="703210064">
          <w:marLeft w:val="547"/>
          <w:marRight w:val="0"/>
          <w:marTop w:val="96"/>
          <w:marBottom w:val="0"/>
          <w:divBdr>
            <w:top w:val="none" w:sz="0" w:space="0" w:color="auto"/>
            <w:left w:val="none" w:sz="0" w:space="0" w:color="auto"/>
            <w:bottom w:val="none" w:sz="0" w:space="0" w:color="auto"/>
            <w:right w:val="none" w:sz="0" w:space="0" w:color="auto"/>
          </w:divBdr>
        </w:div>
      </w:divsChild>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78984229">
      <w:bodyDiv w:val="1"/>
      <w:marLeft w:val="0"/>
      <w:marRight w:val="0"/>
      <w:marTop w:val="0"/>
      <w:marBottom w:val="0"/>
      <w:divBdr>
        <w:top w:val="none" w:sz="0" w:space="0" w:color="auto"/>
        <w:left w:val="none" w:sz="0" w:space="0" w:color="auto"/>
        <w:bottom w:val="none" w:sz="0" w:space="0" w:color="auto"/>
        <w:right w:val="none" w:sz="0" w:space="0" w:color="auto"/>
      </w:divBdr>
      <w:divsChild>
        <w:div w:id="971402170">
          <w:marLeft w:val="907"/>
          <w:marRight w:val="0"/>
          <w:marTop w:val="0"/>
          <w:marBottom w:val="120"/>
          <w:divBdr>
            <w:top w:val="none" w:sz="0" w:space="0" w:color="auto"/>
            <w:left w:val="none" w:sz="0" w:space="0" w:color="auto"/>
            <w:bottom w:val="none" w:sz="0" w:space="0" w:color="auto"/>
            <w:right w:val="none" w:sz="0" w:space="0" w:color="auto"/>
          </w:divBdr>
        </w:div>
      </w:divsChild>
    </w:div>
    <w:div w:id="1779644391">
      <w:bodyDiv w:val="1"/>
      <w:marLeft w:val="0"/>
      <w:marRight w:val="0"/>
      <w:marTop w:val="0"/>
      <w:marBottom w:val="0"/>
      <w:divBdr>
        <w:top w:val="none" w:sz="0" w:space="0" w:color="auto"/>
        <w:left w:val="none" w:sz="0" w:space="0" w:color="auto"/>
        <w:bottom w:val="none" w:sz="0" w:space="0" w:color="auto"/>
        <w:right w:val="none" w:sz="0" w:space="0" w:color="auto"/>
      </w:divBdr>
    </w:div>
    <w:div w:id="1779906701">
      <w:bodyDiv w:val="1"/>
      <w:marLeft w:val="0"/>
      <w:marRight w:val="0"/>
      <w:marTop w:val="0"/>
      <w:marBottom w:val="0"/>
      <w:divBdr>
        <w:top w:val="none" w:sz="0" w:space="0" w:color="auto"/>
        <w:left w:val="none" w:sz="0" w:space="0" w:color="auto"/>
        <w:bottom w:val="none" w:sz="0" w:space="0" w:color="auto"/>
        <w:right w:val="none" w:sz="0" w:space="0" w:color="auto"/>
      </w:divBdr>
      <w:divsChild>
        <w:div w:id="117989192">
          <w:marLeft w:val="1080"/>
          <w:marRight w:val="0"/>
          <w:marTop w:val="100"/>
          <w:marBottom w:val="0"/>
          <w:divBdr>
            <w:top w:val="none" w:sz="0" w:space="0" w:color="auto"/>
            <w:left w:val="none" w:sz="0" w:space="0" w:color="auto"/>
            <w:bottom w:val="none" w:sz="0" w:space="0" w:color="auto"/>
            <w:right w:val="none" w:sz="0" w:space="0" w:color="auto"/>
          </w:divBdr>
        </w:div>
        <w:div w:id="1122311294">
          <w:marLeft w:val="1080"/>
          <w:marRight w:val="0"/>
          <w:marTop w:val="100"/>
          <w:marBottom w:val="0"/>
          <w:divBdr>
            <w:top w:val="none" w:sz="0" w:space="0" w:color="auto"/>
            <w:left w:val="none" w:sz="0" w:space="0" w:color="auto"/>
            <w:bottom w:val="none" w:sz="0" w:space="0" w:color="auto"/>
            <w:right w:val="none" w:sz="0" w:space="0" w:color="auto"/>
          </w:divBdr>
        </w:div>
        <w:div w:id="1318529698">
          <w:marLeft w:val="1080"/>
          <w:marRight w:val="0"/>
          <w:marTop w:val="100"/>
          <w:marBottom w:val="0"/>
          <w:divBdr>
            <w:top w:val="none" w:sz="0" w:space="0" w:color="auto"/>
            <w:left w:val="none" w:sz="0" w:space="0" w:color="auto"/>
            <w:bottom w:val="none" w:sz="0" w:space="0" w:color="auto"/>
            <w:right w:val="none" w:sz="0" w:space="0" w:color="auto"/>
          </w:divBdr>
        </w:div>
        <w:div w:id="1326200142">
          <w:marLeft w:val="360"/>
          <w:marRight w:val="0"/>
          <w:marTop w:val="200"/>
          <w:marBottom w:val="0"/>
          <w:divBdr>
            <w:top w:val="none" w:sz="0" w:space="0" w:color="auto"/>
            <w:left w:val="none" w:sz="0" w:space="0" w:color="auto"/>
            <w:bottom w:val="none" w:sz="0" w:space="0" w:color="auto"/>
            <w:right w:val="none" w:sz="0" w:space="0" w:color="auto"/>
          </w:divBdr>
        </w:div>
        <w:div w:id="1375957838">
          <w:marLeft w:val="360"/>
          <w:marRight w:val="0"/>
          <w:marTop w:val="200"/>
          <w:marBottom w:val="0"/>
          <w:divBdr>
            <w:top w:val="none" w:sz="0" w:space="0" w:color="auto"/>
            <w:left w:val="none" w:sz="0" w:space="0" w:color="auto"/>
            <w:bottom w:val="none" w:sz="0" w:space="0" w:color="auto"/>
            <w:right w:val="none" w:sz="0" w:space="0" w:color="auto"/>
          </w:divBdr>
        </w:div>
        <w:div w:id="1531724424">
          <w:marLeft w:val="360"/>
          <w:marRight w:val="0"/>
          <w:marTop w:val="200"/>
          <w:marBottom w:val="0"/>
          <w:divBdr>
            <w:top w:val="none" w:sz="0" w:space="0" w:color="auto"/>
            <w:left w:val="none" w:sz="0" w:space="0" w:color="auto"/>
            <w:bottom w:val="none" w:sz="0" w:space="0" w:color="auto"/>
            <w:right w:val="none" w:sz="0" w:space="0" w:color="auto"/>
          </w:divBdr>
        </w:div>
        <w:div w:id="1703557919">
          <w:marLeft w:val="1080"/>
          <w:marRight w:val="0"/>
          <w:marTop w:val="100"/>
          <w:marBottom w:val="0"/>
          <w:divBdr>
            <w:top w:val="none" w:sz="0" w:space="0" w:color="auto"/>
            <w:left w:val="none" w:sz="0" w:space="0" w:color="auto"/>
            <w:bottom w:val="none" w:sz="0" w:space="0" w:color="auto"/>
            <w:right w:val="none" w:sz="0" w:space="0" w:color="auto"/>
          </w:divBdr>
        </w:div>
      </w:divsChild>
    </w:div>
    <w:div w:id="1789351941">
      <w:bodyDiv w:val="1"/>
      <w:marLeft w:val="0"/>
      <w:marRight w:val="0"/>
      <w:marTop w:val="0"/>
      <w:marBottom w:val="0"/>
      <w:divBdr>
        <w:top w:val="none" w:sz="0" w:space="0" w:color="auto"/>
        <w:left w:val="none" w:sz="0" w:space="0" w:color="auto"/>
        <w:bottom w:val="none" w:sz="0" w:space="0" w:color="auto"/>
        <w:right w:val="none" w:sz="0" w:space="0" w:color="auto"/>
      </w:divBdr>
      <w:divsChild>
        <w:div w:id="788547228">
          <w:marLeft w:val="547"/>
          <w:marRight w:val="0"/>
          <w:marTop w:val="115"/>
          <w:marBottom w:val="0"/>
          <w:divBdr>
            <w:top w:val="none" w:sz="0" w:space="0" w:color="auto"/>
            <w:left w:val="none" w:sz="0" w:space="0" w:color="auto"/>
            <w:bottom w:val="none" w:sz="0" w:space="0" w:color="auto"/>
            <w:right w:val="none" w:sz="0" w:space="0" w:color="auto"/>
          </w:divBdr>
        </w:div>
      </w:divsChild>
    </w:div>
    <w:div w:id="1790587112">
      <w:bodyDiv w:val="1"/>
      <w:marLeft w:val="0"/>
      <w:marRight w:val="0"/>
      <w:marTop w:val="0"/>
      <w:marBottom w:val="0"/>
      <w:divBdr>
        <w:top w:val="none" w:sz="0" w:space="0" w:color="auto"/>
        <w:left w:val="none" w:sz="0" w:space="0" w:color="auto"/>
        <w:bottom w:val="none" w:sz="0" w:space="0" w:color="auto"/>
        <w:right w:val="none" w:sz="0" w:space="0" w:color="auto"/>
      </w:divBdr>
    </w:div>
    <w:div w:id="1797139137">
      <w:bodyDiv w:val="1"/>
      <w:marLeft w:val="0"/>
      <w:marRight w:val="0"/>
      <w:marTop w:val="0"/>
      <w:marBottom w:val="0"/>
      <w:divBdr>
        <w:top w:val="none" w:sz="0" w:space="0" w:color="auto"/>
        <w:left w:val="none" w:sz="0" w:space="0" w:color="auto"/>
        <w:bottom w:val="none" w:sz="0" w:space="0" w:color="auto"/>
        <w:right w:val="none" w:sz="0" w:space="0" w:color="auto"/>
      </w:divBdr>
    </w:div>
    <w:div w:id="1803886391">
      <w:bodyDiv w:val="1"/>
      <w:marLeft w:val="0"/>
      <w:marRight w:val="0"/>
      <w:marTop w:val="0"/>
      <w:marBottom w:val="0"/>
      <w:divBdr>
        <w:top w:val="none" w:sz="0" w:space="0" w:color="auto"/>
        <w:left w:val="none" w:sz="0" w:space="0" w:color="auto"/>
        <w:bottom w:val="none" w:sz="0" w:space="0" w:color="auto"/>
        <w:right w:val="none" w:sz="0" w:space="0" w:color="auto"/>
      </w:divBdr>
    </w:div>
    <w:div w:id="1804738250">
      <w:bodyDiv w:val="1"/>
      <w:marLeft w:val="0"/>
      <w:marRight w:val="0"/>
      <w:marTop w:val="0"/>
      <w:marBottom w:val="0"/>
      <w:divBdr>
        <w:top w:val="none" w:sz="0" w:space="0" w:color="auto"/>
        <w:left w:val="none" w:sz="0" w:space="0" w:color="auto"/>
        <w:bottom w:val="none" w:sz="0" w:space="0" w:color="auto"/>
        <w:right w:val="none" w:sz="0" w:space="0" w:color="auto"/>
      </w:divBdr>
      <w:divsChild>
        <w:div w:id="643631524">
          <w:marLeft w:val="547"/>
          <w:marRight w:val="0"/>
          <w:marTop w:val="96"/>
          <w:marBottom w:val="0"/>
          <w:divBdr>
            <w:top w:val="none" w:sz="0" w:space="0" w:color="auto"/>
            <w:left w:val="none" w:sz="0" w:space="0" w:color="auto"/>
            <w:bottom w:val="none" w:sz="0" w:space="0" w:color="auto"/>
            <w:right w:val="none" w:sz="0" w:space="0" w:color="auto"/>
          </w:divBdr>
        </w:div>
      </w:divsChild>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14834221">
      <w:bodyDiv w:val="1"/>
      <w:marLeft w:val="0"/>
      <w:marRight w:val="0"/>
      <w:marTop w:val="0"/>
      <w:marBottom w:val="0"/>
      <w:divBdr>
        <w:top w:val="none" w:sz="0" w:space="0" w:color="auto"/>
        <w:left w:val="none" w:sz="0" w:space="0" w:color="auto"/>
        <w:bottom w:val="none" w:sz="0" w:space="0" w:color="auto"/>
        <w:right w:val="none" w:sz="0" w:space="0" w:color="auto"/>
      </w:divBdr>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2114911">
      <w:bodyDiv w:val="1"/>
      <w:marLeft w:val="0"/>
      <w:marRight w:val="0"/>
      <w:marTop w:val="0"/>
      <w:marBottom w:val="0"/>
      <w:divBdr>
        <w:top w:val="none" w:sz="0" w:space="0" w:color="auto"/>
        <w:left w:val="none" w:sz="0" w:space="0" w:color="auto"/>
        <w:bottom w:val="none" w:sz="0" w:space="0" w:color="auto"/>
        <w:right w:val="none" w:sz="0" w:space="0" w:color="auto"/>
      </w:divBdr>
    </w:div>
    <w:div w:id="1825126483">
      <w:bodyDiv w:val="1"/>
      <w:marLeft w:val="0"/>
      <w:marRight w:val="0"/>
      <w:marTop w:val="0"/>
      <w:marBottom w:val="0"/>
      <w:divBdr>
        <w:top w:val="none" w:sz="0" w:space="0" w:color="auto"/>
        <w:left w:val="none" w:sz="0" w:space="0" w:color="auto"/>
        <w:bottom w:val="none" w:sz="0" w:space="0" w:color="auto"/>
        <w:right w:val="none" w:sz="0" w:space="0" w:color="auto"/>
      </w:divBdr>
    </w:div>
    <w:div w:id="1825974567">
      <w:bodyDiv w:val="1"/>
      <w:marLeft w:val="0"/>
      <w:marRight w:val="0"/>
      <w:marTop w:val="0"/>
      <w:marBottom w:val="0"/>
      <w:divBdr>
        <w:top w:val="none" w:sz="0" w:space="0" w:color="auto"/>
        <w:left w:val="none" w:sz="0" w:space="0" w:color="auto"/>
        <w:bottom w:val="none" w:sz="0" w:space="0" w:color="auto"/>
        <w:right w:val="none" w:sz="0" w:space="0" w:color="auto"/>
      </w:divBdr>
    </w:div>
    <w:div w:id="1829324454">
      <w:bodyDiv w:val="1"/>
      <w:marLeft w:val="0"/>
      <w:marRight w:val="0"/>
      <w:marTop w:val="0"/>
      <w:marBottom w:val="0"/>
      <w:divBdr>
        <w:top w:val="none" w:sz="0" w:space="0" w:color="auto"/>
        <w:left w:val="none" w:sz="0" w:space="0" w:color="auto"/>
        <w:bottom w:val="none" w:sz="0" w:space="0" w:color="auto"/>
        <w:right w:val="none" w:sz="0" w:space="0" w:color="auto"/>
      </w:divBdr>
    </w:div>
    <w:div w:id="1833371513">
      <w:bodyDiv w:val="1"/>
      <w:marLeft w:val="0"/>
      <w:marRight w:val="0"/>
      <w:marTop w:val="0"/>
      <w:marBottom w:val="0"/>
      <w:divBdr>
        <w:top w:val="none" w:sz="0" w:space="0" w:color="auto"/>
        <w:left w:val="none" w:sz="0" w:space="0" w:color="auto"/>
        <w:bottom w:val="none" w:sz="0" w:space="0" w:color="auto"/>
        <w:right w:val="none" w:sz="0" w:space="0" w:color="auto"/>
      </w:divBdr>
      <w:divsChild>
        <w:div w:id="182137158">
          <w:marLeft w:val="360"/>
          <w:marRight w:val="0"/>
          <w:marTop w:val="200"/>
          <w:marBottom w:val="0"/>
          <w:divBdr>
            <w:top w:val="none" w:sz="0" w:space="0" w:color="auto"/>
            <w:left w:val="none" w:sz="0" w:space="0" w:color="auto"/>
            <w:bottom w:val="none" w:sz="0" w:space="0" w:color="auto"/>
            <w:right w:val="none" w:sz="0" w:space="0" w:color="auto"/>
          </w:divBdr>
        </w:div>
        <w:div w:id="450251120">
          <w:marLeft w:val="360"/>
          <w:marRight w:val="0"/>
          <w:marTop w:val="200"/>
          <w:marBottom w:val="0"/>
          <w:divBdr>
            <w:top w:val="none" w:sz="0" w:space="0" w:color="auto"/>
            <w:left w:val="none" w:sz="0" w:space="0" w:color="auto"/>
            <w:bottom w:val="none" w:sz="0" w:space="0" w:color="auto"/>
            <w:right w:val="none" w:sz="0" w:space="0" w:color="auto"/>
          </w:divBdr>
        </w:div>
        <w:div w:id="1822961310">
          <w:marLeft w:val="1080"/>
          <w:marRight w:val="0"/>
          <w:marTop w:val="100"/>
          <w:marBottom w:val="0"/>
          <w:divBdr>
            <w:top w:val="none" w:sz="0" w:space="0" w:color="auto"/>
            <w:left w:val="none" w:sz="0" w:space="0" w:color="auto"/>
            <w:bottom w:val="none" w:sz="0" w:space="0" w:color="auto"/>
            <w:right w:val="none" w:sz="0" w:space="0" w:color="auto"/>
          </w:divBdr>
        </w:div>
        <w:div w:id="1660689109">
          <w:marLeft w:val="1080"/>
          <w:marRight w:val="0"/>
          <w:marTop w:val="100"/>
          <w:marBottom w:val="0"/>
          <w:divBdr>
            <w:top w:val="none" w:sz="0" w:space="0" w:color="auto"/>
            <w:left w:val="none" w:sz="0" w:space="0" w:color="auto"/>
            <w:bottom w:val="none" w:sz="0" w:space="0" w:color="auto"/>
            <w:right w:val="none" w:sz="0" w:space="0" w:color="auto"/>
          </w:divBdr>
        </w:div>
      </w:divsChild>
    </w:div>
    <w:div w:id="1835339048">
      <w:bodyDiv w:val="1"/>
      <w:marLeft w:val="0"/>
      <w:marRight w:val="0"/>
      <w:marTop w:val="0"/>
      <w:marBottom w:val="0"/>
      <w:divBdr>
        <w:top w:val="none" w:sz="0" w:space="0" w:color="auto"/>
        <w:left w:val="none" w:sz="0" w:space="0" w:color="auto"/>
        <w:bottom w:val="none" w:sz="0" w:space="0" w:color="auto"/>
        <w:right w:val="none" w:sz="0" w:space="0" w:color="auto"/>
      </w:divBdr>
    </w:div>
    <w:div w:id="1845700759">
      <w:bodyDiv w:val="1"/>
      <w:marLeft w:val="0"/>
      <w:marRight w:val="0"/>
      <w:marTop w:val="0"/>
      <w:marBottom w:val="0"/>
      <w:divBdr>
        <w:top w:val="none" w:sz="0" w:space="0" w:color="auto"/>
        <w:left w:val="none" w:sz="0" w:space="0" w:color="auto"/>
        <w:bottom w:val="none" w:sz="0" w:space="0" w:color="auto"/>
        <w:right w:val="none" w:sz="0" w:space="0" w:color="auto"/>
      </w:divBdr>
    </w:div>
    <w:div w:id="185167755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78">
          <w:marLeft w:val="1080"/>
          <w:marRight w:val="0"/>
          <w:marTop w:val="100"/>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730772">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1624635">
      <w:bodyDiv w:val="1"/>
      <w:marLeft w:val="0"/>
      <w:marRight w:val="0"/>
      <w:marTop w:val="0"/>
      <w:marBottom w:val="0"/>
      <w:divBdr>
        <w:top w:val="none" w:sz="0" w:space="0" w:color="auto"/>
        <w:left w:val="none" w:sz="0" w:space="0" w:color="auto"/>
        <w:bottom w:val="none" w:sz="0" w:space="0" w:color="auto"/>
        <w:right w:val="none" w:sz="0" w:space="0" w:color="auto"/>
      </w:divBdr>
    </w:div>
    <w:div w:id="1864635259">
      <w:bodyDiv w:val="1"/>
      <w:marLeft w:val="0"/>
      <w:marRight w:val="0"/>
      <w:marTop w:val="0"/>
      <w:marBottom w:val="0"/>
      <w:divBdr>
        <w:top w:val="none" w:sz="0" w:space="0" w:color="auto"/>
        <w:left w:val="none" w:sz="0" w:space="0" w:color="auto"/>
        <w:bottom w:val="none" w:sz="0" w:space="0" w:color="auto"/>
        <w:right w:val="none" w:sz="0" w:space="0" w:color="auto"/>
      </w:divBdr>
    </w:div>
    <w:div w:id="187056109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022473">
      <w:bodyDiv w:val="1"/>
      <w:marLeft w:val="0"/>
      <w:marRight w:val="0"/>
      <w:marTop w:val="0"/>
      <w:marBottom w:val="0"/>
      <w:divBdr>
        <w:top w:val="none" w:sz="0" w:space="0" w:color="auto"/>
        <w:left w:val="none" w:sz="0" w:space="0" w:color="auto"/>
        <w:bottom w:val="none" w:sz="0" w:space="0" w:color="auto"/>
        <w:right w:val="none" w:sz="0" w:space="0" w:color="auto"/>
      </w:divBdr>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267202">
      <w:bodyDiv w:val="1"/>
      <w:marLeft w:val="0"/>
      <w:marRight w:val="0"/>
      <w:marTop w:val="0"/>
      <w:marBottom w:val="0"/>
      <w:divBdr>
        <w:top w:val="none" w:sz="0" w:space="0" w:color="auto"/>
        <w:left w:val="none" w:sz="0" w:space="0" w:color="auto"/>
        <w:bottom w:val="none" w:sz="0" w:space="0" w:color="auto"/>
        <w:right w:val="none" w:sz="0" w:space="0" w:color="auto"/>
      </w:divBdr>
    </w:div>
    <w:div w:id="1901551092">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03327208">
      <w:bodyDiv w:val="1"/>
      <w:marLeft w:val="0"/>
      <w:marRight w:val="0"/>
      <w:marTop w:val="0"/>
      <w:marBottom w:val="0"/>
      <w:divBdr>
        <w:top w:val="none" w:sz="0" w:space="0" w:color="auto"/>
        <w:left w:val="none" w:sz="0" w:space="0" w:color="auto"/>
        <w:bottom w:val="none" w:sz="0" w:space="0" w:color="auto"/>
        <w:right w:val="none" w:sz="0" w:space="0" w:color="auto"/>
      </w:divBdr>
    </w:div>
    <w:div w:id="1914587866">
      <w:bodyDiv w:val="1"/>
      <w:marLeft w:val="0"/>
      <w:marRight w:val="0"/>
      <w:marTop w:val="0"/>
      <w:marBottom w:val="0"/>
      <w:divBdr>
        <w:top w:val="none" w:sz="0" w:space="0" w:color="auto"/>
        <w:left w:val="none" w:sz="0" w:space="0" w:color="auto"/>
        <w:bottom w:val="none" w:sz="0" w:space="0" w:color="auto"/>
        <w:right w:val="none" w:sz="0" w:space="0" w:color="auto"/>
      </w:divBdr>
    </w:div>
    <w:div w:id="1915237885">
      <w:bodyDiv w:val="1"/>
      <w:marLeft w:val="0"/>
      <w:marRight w:val="0"/>
      <w:marTop w:val="0"/>
      <w:marBottom w:val="0"/>
      <w:divBdr>
        <w:top w:val="none" w:sz="0" w:space="0" w:color="auto"/>
        <w:left w:val="none" w:sz="0" w:space="0" w:color="auto"/>
        <w:bottom w:val="none" w:sz="0" w:space="0" w:color="auto"/>
        <w:right w:val="none" w:sz="0" w:space="0" w:color="auto"/>
      </w:divBdr>
      <w:divsChild>
        <w:div w:id="986279535">
          <w:marLeft w:val="446"/>
          <w:marRight w:val="0"/>
          <w:marTop w:val="0"/>
          <w:marBottom w:val="0"/>
          <w:divBdr>
            <w:top w:val="none" w:sz="0" w:space="0" w:color="auto"/>
            <w:left w:val="none" w:sz="0" w:space="0" w:color="auto"/>
            <w:bottom w:val="none" w:sz="0" w:space="0" w:color="auto"/>
            <w:right w:val="none" w:sz="0" w:space="0" w:color="auto"/>
          </w:divBdr>
        </w:div>
        <w:div w:id="1809206587">
          <w:marLeft w:val="446"/>
          <w:marRight w:val="0"/>
          <w:marTop w:val="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567970">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4104035">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34898996">
      <w:bodyDiv w:val="1"/>
      <w:marLeft w:val="0"/>
      <w:marRight w:val="0"/>
      <w:marTop w:val="0"/>
      <w:marBottom w:val="0"/>
      <w:divBdr>
        <w:top w:val="none" w:sz="0" w:space="0" w:color="auto"/>
        <w:left w:val="none" w:sz="0" w:space="0" w:color="auto"/>
        <w:bottom w:val="none" w:sz="0" w:space="0" w:color="auto"/>
        <w:right w:val="none" w:sz="0" w:space="0" w:color="auto"/>
      </w:divBdr>
      <w:divsChild>
        <w:div w:id="125776225">
          <w:marLeft w:val="1166"/>
          <w:marRight w:val="0"/>
          <w:marTop w:val="96"/>
          <w:marBottom w:val="0"/>
          <w:divBdr>
            <w:top w:val="none" w:sz="0" w:space="0" w:color="auto"/>
            <w:left w:val="none" w:sz="0" w:space="0" w:color="auto"/>
            <w:bottom w:val="none" w:sz="0" w:space="0" w:color="auto"/>
            <w:right w:val="none" w:sz="0" w:space="0" w:color="auto"/>
          </w:divBdr>
        </w:div>
        <w:div w:id="311377324">
          <w:marLeft w:val="547"/>
          <w:marRight w:val="0"/>
          <w:marTop w:val="115"/>
          <w:marBottom w:val="0"/>
          <w:divBdr>
            <w:top w:val="none" w:sz="0" w:space="0" w:color="auto"/>
            <w:left w:val="none" w:sz="0" w:space="0" w:color="auto"/>
            <w:bottom w:val="none" w:sz="0" w:space="0" w:color="auto"/>
            <w:right w:val="none" w:sz="0" w:space="0" w:color="auto"/>
          </w:divBdr>
        </w:div>
        <w:div w:id="838736291">
          <w:marLeft w:val="1166"/>
          <w:marRight w:val="0"/>
          <w:marTop w:val="96"/>
          <w:marBottom w:val="0"/>
          <w:divBdr>
            <w:top w:val="none" w:sz="0" w:space="0" w:color="auto"/>
            <w:left w:val="none" w:sz="0" w:space="0" w:color="auto"/>
            <w:bottom w:val="none" w:sz="0" w:space="0" w:color="auto"/>
            <w:right w:val="none" w:sz="0" w:space="0" w:color="auto"/>
          </w:divBdr>
        </w:div>
        <w:div w:id="855535385">
          <w:marLeft w:val="1166"/>
          <w:marRight w:val="0"/>
          <w:marTop w:val="96"/>
          <w:marBottom w:val="0"/>
          <w:divBdr>
            <w:top w:val="none" w:sz="0" w:space="0" w:color="auto"/>
            <w:left w:val="none" w:sz="0" w:space="0" w:color="auto"/>
            <w:bottom w:val="none" w:sz="0" w:space="0" w:color="auto"/>
            <w:right w:val="none" w:sz="0" w:space="0" w:color="auto"/>
          </w:divBdr>
        </w:div>
      </w:divsChild>
    </w:div>
    <w:div w:id="1936673544">
      <w:bodyDiv w:val="1"/>
      <w:marLeft w:val="0"/>
      <w:marRight w:val="0"/>
      <w:marTop w:val="0"/>
      <w:marBottom w:val="0"/>
      <w:divBdr>
        <w:top w:val="none" w:sz="0" w:space="0" w:color="auto"/>
        <w:left w:val="none" w:sz="0" w:space="0" w:color="auto"/>
        <w:bottom w:val="none" w:sz="0" w:space="0" w:color="auto"/>
        <w:right w:val="none" w:sz="0" w:space="0" w:color="auto"/>
      </w:divBdr>
    </w:div>
    <w:div w:id="1941065706">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7134049">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sChild>
        <w:div w:id="2120449436">
          <w:marLeft w:val="0"/>
          <w:marRight w:val="0"/>
          <w:marTop w:val="0"/>
          <w:marBottom w:val="0"/>
          <w:divBdr>
            <w:top w:val="none" w:sz="0" w:space="0" w:color="auto"/>
            <w:left w:val="none" w:sz="0" w:space="0" w:color="auto"/>
            <w:bottom w:val="none" w:sz="0" w:space="0" w:color="auto"/>
            <w:right w:val="none" w:sz="0" w:space="0" w:color="auto"/>
          </w:divBdr>
          <w:divsChild>
            <w:div w:id="1787236857">
              <w:marLeft w:val="0"/>
              <w:marRight w:val="0"/>
              <w:marTop w:val="0"/>
              <w:marBottom w:val="0"/>
              <w:divBdr>
                <w:top w:val="none" w:sz="0" w:space="0" w:color="auto"/>
                <w:left w:val="none" w:sz="0" w:space="0" w:color="auto"/>
                <w:bottom w:val="none" w:sz="0" w:space="0" w:color="auto"/>
                <w:right w:val="none" w:sz="0" w:space="0" w:color="auto"/>
              </w:divBdr>
              <w:divsChild>
                <w:div w:id="172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368">
      <w:bodyDiv w:val="1"/>
      <w:marLeft w:val="0"/>
      <w:marRight w:val="0"/>
      <w:marTop w:val="0"/>
      <w:marBottom w:val="0"/>
      <w:divBdr>
        <w:top w:val="none" w:sz="0" w:space="0" w:color="auto"/>
        <w:left w:val="none" w:sz="0" w:space="0" w:color="auto"/>
        <w:bottom w:val="none" w:sz="0" w:space="0" w:color="auto"/>
        <w:right w:val="none" w:sz="0" w:space="0" w:color="auto"/>
      </w:divBdr>
    </w:div>
    <w:div w:id="1970351865">
      <w:bodyDiv w:val="1"/>
      <w:marLeft w:val="0"/>
      <w:marRight w:val="0"/>
      <w:marTop w:val="0"/>
      <w:marBottom w:val="0"/>
      <w:divBdr>
        <w:top w:val="none" w:sz="0" w:space="0" w:color="auto"/>
        <w:left w:val="none" w:sz="0" w:space="0" w:color="auto"/>
        <w:bottom w:val="none" w:sz="0" w:space="0" w:color="auto"/>
        <w:right w:val="none" w:sz="0" w:space="0" w:color="auto"/>
      </w:divBdr>
      <w:divsChild>
        <w:div w:id="38361311">
          <w:marLeft w:val="1080"/>
          <w:marRight w:val="0"/>
          <w:marTop w:val="200"/>
          <w:marBottom w:val="0"/>
          <w:divBdr>
            <w:top w:val="none" w:sz="0" w:space="0" w:color="auto"/>
            <w:left w:val="none" w:sz="0" w:space="0" w:color="auto"/>
            <w:bottom w:val="none" w:sz="0" w:space="0" w:color="auto"/>
            <w:right w:val="none" w:sz="0" w:space="0" w:color="auto"/>
          </w:divBdr>
        </w:div>
        <w:div w:id="40786449">
          <w:marLeft w:val="2520"/>
          <w:marRight w:val="0"/>
          <w:marTop w:val="200"/>
          <w:marBottom w:val="0"/>
          <w:divBdr>
            <w:top w:val="none" w:sz="0" w:space="0" w:color="auto"/>
            <w:left w:val="none" w:sz="0" w:space="0" w:color="auto"/>
            <w:bottom w:val="none" w:sz="0" w:space="0" w:color="auto"/>
            <w:right w:val="none" w:sz="0" w:space="0" w:color="auto"/>
          </w:divBdr>
        </w:div>
        <w:div w:id="801969842">
          <w:marLeft w:val="1080"/>
          <w:marRight w:val="0"/>
          <w:marTop w:val="200"/>
          <w:marBottom w:val="0"/>
          <w:divBdr>
            <w:top w:val="none" w:sz="0" w:space="0" w:color="auto"/>
            <w:left w:val="none" w:sz="0" w:space="0" w:color="auto"/>
            <w:bottom w:val="none" w:sz="0" w:space="0" w:color="auto"/>
            <w:right w:val="none" w:sz="0" w:space="0" w:color="auto"/>
          </w:divBdr>
        </w:div>
        <w:div w:id="924803789">
          <w:marLeft w:val="1080"/>
          <w:marRight w:val="0"/>
          <w:marTop w:val="200"/>
          <w:marBottom w:val="0"/>
          <w:divBdr>
            <w:top w:val="none" w:sz="0" w:space="0" w:color="auto"/>
            <w:left w:val="none" w:sz="0" w:space="0" w:color="auto"/>
            <w:bottom w:val="none" w:sz="0" w:space="0" w:color="auto"/>
            <w:right w:val="none" w:sz="0" w:space="0" w:color="auto"/>
          </w:divBdr>
        </w:div>
        <w:div w:id="935482170">
          <w:marLeft w:val="360"/>
          <w:marRight w:val="0"/>
          <w:marTop w:val="200"/>
          <w:marBottom w:val="0"/>
          <w:divBdr>
            <w:top w:val="none" w:sz="0" w:space="0" w:color="auto"/>
            <w:left w:val="none" w:sz="0" w:space="0" w:color="auto"/>
            <w:bottom w:val="none" w:sz="0" w:space="0" w:color="auto"/>
            <w:right w:val="none" w:sz="0" w:space="0" w:color="auto"/>
          </w:divBdr>
        </w:div>
        <w:div w:id="1285116643">
          <w:marLeft w:val="360"/>
          <w:marRight w:val="0"/>
          <w:marTop w:val="200"/>
          <w:marBottom w:val="0"/>
          <w:divBdr>
            <w:top w:val="none" w:sz="0" w:space="0" w:color="auto"/>
            <w:left w:val="none" w:sz="0" w:space="0" w:color="auto"/>
            <w:bottom w:val="none" w:sz="0" w:space="0" w:color="auto"/>
            <w:right w:val="none" w:sz="0" w:space="0" w:color="auto"/>
          </w:divBdr>
        </w:div>
        <w:div w:id="1301809215">
          <w:marLeft w:val="2520"/>
          <w:marRight w:val="0"/>
          <w:marTop w:val="200"/>
          <w:marBottom w:val="0"/>
          <w:divBdr>
            <w:top w:val="none" w:sz="0" w:space="0" w:color="auto"/>
            <w:left w:val="none" w:sz="0" w:space="0" w:color="auto"/>
            <w:bottom w:val="none" w:sz="0" w:space="0" w:color="auto"/>
            <w:right w:val="none" w:sz="0" w:space="0" w:color="auto"/>
          </w:divBdr>
        </w:div>
        <w:div w:id="1327320749">
          <w:marLeft w:val="360"/>
          <w:marRight w:val="0"/>
          <w:marTop w:val="200"/>
          <w:marBottom w:val="0"/>
          <w:divBdr>
            <w:top w:val="none" w:sz="0" w:space="0" w:color="auto"/>
            <w:left w:val="none" w:sz="0" w:space="0" w:color="auto"/>
            <w:bottom w:val="none" w:sz="0" w:space="0" w:color="auto"/>
            <w:right w:val="none" w:sz="0" w:space="0" w:color="auto"/>
          </w:divBdr>
        </w:div>
        <w:div w:id="1347905860">
          <w:marLeft w:val="1080"/>
          <w:marRight w:val="0"/>
          <w:marTop w:val="200"/>
          <w:marBottom w:val="0"/>
          <w:divBdr>
            <w:top w:val="none" w:sz="0" w:space="0" w:color="auto"/>
            <w:left w:val="none" w:sz="0" w:space="0" w:color="auto"/>
            <w:bottom w:val="none" w:sz="0" w:space="0" w:color="auto"/>
            <w:right w:val="none" w:sz="0" w:space="0" w:color="auto"/>
          </w:divBdr>
        </w:div>
        <w:div w:id="1506675019">
          <w:marLeft w:val="2520"/>
          <w:marRight w:val="0"/>
          <w:marTop w:val="200"/>
          <w:marBottom w:val="0"/>
          <w:divBdr>
            <w:top w:val="none" w:sz="0" w:space="0" w:color="auto"/>
            <w:left w:val="none" w:sz="0" w:space="0" w:color="auto"/>
            <w:bottom w:val="none" w:sz="0" w:space="0" w:color="auto"/>
            <w:right w:val="none" w:sz="0" w:space="0" w:color="auto"/>
          </w:divBdr>
        </w:div>
        <w:div w:id="1725178183">
          <w:marLeft w:val="360"/>
          <w:marRight w:val="0"/>
          <w:marTop w:val="200"/>
          <w:marBottom w:val="0"/>
          <w:divBdr>
            <w:top w:val="none" w:sz="0" w:space="0" w:color="auto"/>
            <w:left w:val="none" w:sz="0" w:space="0" w:color="auto"/>
            <w:bottom w:val="none" w:sz="0" w:space="0" w:color="auto"/>
            <w:right w:val="none" w:sz="0" w:space="0" w:color="auto"/>
          </w:divBdr>
        </w:div>
        <w:div w:id="1793094561">
          <w:marLeft w:val="1800"/>
          <w:marRight w:val="0"/>
          <w:marTop w:val="200"/>
          <w:marBottom w:val="0"/>
          <w:divBdr>
            <w:top w:val="none" w:sz="0" w:space="0" w:color="auto"/>
            <w:left w:val="none" w:sz="0" w:space="0" w:color="auto"/>
            <w:bottom w:val="none" w:sz="0" w:space="0" w:color="auto"/>
            <w:right w:val="none" w:sz="0" w:space="0" w:color="auto"/>
          </w:divBdr>
        </w:div>
        <w:div w:id="1859157547">
          <w:marLeft w:val="2520"/>
          <w:marRight w:val="0"/>
          <w:marTop w:val="200"/>
          <w:marBottom w:val="0"/>
          <w:divBdr>
            <w:top w:val="none" w:sz="0" w:space="0" w:color="auto"/>
            <w:left w:val="none" w:sz="0" w:space="0" w:color="auto"/>
            <w:bottom w:val="none" w:sz="0" w:space="0" w:color="auto"/>
            <w:right w:val="none" w:sz="0" w:space="0" w:color="auto"/>
          </w:divBdr>
        </w:div>
        <w:div w:id="1883979105">
          <w:marLeft w:val="1080"/>
          <w:marRight w:val="0"/>
          <w:marTop w:val="200"/>
          <w:marBottom w:val="0"/>
          <w:divBdr>
            <w:top w:val="none" w:sz="0" w:space="0" w:color="auto"/>
            <w:left w:val="none" w:sz="0" w:space="0" w:color="auto"/>
            <w:bottom w:val="none" w:sz="0" w:space="0" w:color="auto"/>
            <w:right w:val="none" w:sz="0" w:space="0" w:color="auto"/>
          </w:divBdr>
        </w:div>
        <w:div w:id="1903171360">
          <w:marLeft w:val="360"/>
          <w:marRight w:val="0"/>
          <w:marTop w:val="200"/>
          <w:marBottom w:val="0"/>
          <w:divBdr>
            <w:top w:val="none" w:sz="0" w:space="0" w:color="auto"/>
            <w:left w:val="none" w:sz="0" w:space="0" w:color="auto"/>
            <w:bottom w:val="none" w:sz="0" w:space="0" w:color="auto"/>
            <w:right w:val="none" w:sz="0" w:space="0" w:color="auto"/>
          </w:divBdr>
        </w:div>
      </w:divsChild>
    </w:div>
    <w:div w:id="1970354951">
      <w:bodyDiv w:val="1"/>
      <w:marLeft w:val="0"/>
      <w:marRight w:val="0"/>
      <w:marTop w:val="0"/>
      <w:marBottom w:val="0"/>
      <w:divBdr>
        <w:top w:val="none" w:sz="0" w:space="0" w:color="auto"/>
        <w:left w:val="none" w:sz="0" w:space="0" w:color="auto"/>
        <w:bottom w:val="none" w:sz="0" w:space="0" w:color="auto"/>
        <w:right w:val="none" w:sz="0" w:space="0" w:color="auto"/>
      </w:divBdr>
      <w:divsChild>
        <w:div w:id="419723092">
          <w:marLeft w:val="1080"/>
          <w:marRight w:val="0"/>
          <w:marTop w:val="100"/>
          <w:marBottom w:val="0"/>
          <w:divBdr>
            <w:top w:val="none" w:sz="0" w:space="0" w:color="auto"/>
            <w:left w:val="none" w:sz="0" w:space="0" w:color="auto"/>
            <w:bottom w:val="none" w:sz="0" w:space="0" w:color="auto"/>
            <w:right w:val="none" w:sz="0" w:space="0" w:color="auto"/>
          </w:divBdr>
        </w:div>
        <w:div w:id="1023747701">
          <w:marLeft w:val="1080"/>
          <w:marRight w:val="0"/>
          <w:marTop w:val="100"/>
          <w:marBottom w:val="0"/>
          <w:divBdr>
            <w:top w:val="none" w:sz="0" w:space="0" w:color="auto"/>
            <w:left w:val="none" w:sz="0" w:space="0" w:color="auto"/>
            <w:bottom w:val="none" w:sz="0" w:space="0" w:color="auto"/>
            <w:right w:val="none" w:sz="0" w:space="0" w:color="auto"/>
          </w:divBdr>
        </w:div>
        <w:div w:id="1212696003">
          <w:marLeft w:val="1080"/>
          <w:marRight w:val="0"/>
          <w:marTop w:val="100"/>
          <w:marBottom w:val="0"/>
          <w:divBdr>
            <w:top w:val="none" w:sz="0" w:space="0" w:color="auto"/>
            <w:left w:val="none" w:sz="0" w:space="0" w:color="auto"/>
            <w:bottom w:val="none" w:sz="0" w:space="0" w:color="auto"/>
            <w:right w:val="none" w:sz="0" w:space="0" w:color="auto"/>
          </w:divBdr>
        </w:div>
        <w:div w:id="2109426405">
          <w:marLeft w:val="360"/>
          <w:marRight w:val="0"/>
          <w:marTop w:val="200"/>
          <w:marBottom w:val="0"/>
          <w:divBdr>
            <w:top w:val="none" w:sz="0" w:space="0" w:color="auto"/>
            <w:left w:val="none" w:sz="0" w:space="0" w:color="auto"/>
            <w:bottom w:val="none" w:sz="0" w:space="0" w:color="auto"/>
            <w:right w:val="none" w:sz="0" w:space="0" w:color="auto"/>
          </w:divBdr>
        </w:div>
      </w:divsChild>
    </w:div>
    <w:div w:id="1974017964">
      <w:bodyDiv w:val="1"/>
      <w:marLeft w:val="0"/>
      <w:marRight w:val="0"/>
      <w:marTop w:val="0"/>
      <w:marBottom w:val="0"/>
      <w:divBdr>
        <w:top w:val="none" w:sz="0" w:space="0" w:color="auto"/>
        <w:left w:val="none" w:sz="0" w:space="0" w:color="auto"/>
        <w:bottom w:val="none" w:sz="0" w:space="0" w:color="auto"/>
        <w:right w:val="none" w:sz="0" w:space="0" w:color="auto"/>
      </w:divBdr>
    </w:div>
    <w:div w:id="1976791784">
      <w:bodyDiv w:val="1"/>
      <w:marLeft w:val="0"/>
      <w:marRight w:val="0"/>
      <w:marTop w:val="0"/>
      <w:marBottom w:val="0"/>
      <w:divBdr>
        <w:top w:val="none" w:sz="0" w:space="0" w:color="auto"/>
        <w:left w:val="none" w:sz="0" w:space="0" w:color="auto"/>
        <w:bottom w:val="none" w:sz="0" w:space="0" w:color="auto"/>
        <w:right w:val="none" w:sz="0" w:space="0" w:color="auto"/>
      </w:divBdr>
    </w:div>
    <w:div w:id="1986399059">
      <w:bodyDiv w:val="1"/>
      <w:marLeft w:val="0"/>
      <w:marRight w:val="0"/>
      <w:marTop w:val="0"/>
      <w:marBottom w:val="0"/>
      <w:divBdr>
        <w:top w:val="none" w:sz="0" w:space="0" w:color="auto"/>
        <w:left w:val="none" w:sz="0" w:space="0" w:color="auto"/>
        <w:bottom w:val="none" w:sz="0" w:space="0" w:color="auto"/>
        <w:right w:val="none" w:sz="0" w:space="0" w:color="auto"/>
      </w:divBdr>
      <w:divsChild>
        <w:div w:id="1121411719">
          <w:marLeft w:val="547"/>
          <w:marRight w:val="0"/>
          <w:marTop w:val="96"/>
          <w:marBottom w:val="0"/>
          <w:divBdr>
            <w:top w:val="none" w:sz="0" w:space="0" w:color="auto"/>
            <w:left w:val="none" w:sz="0" w:space="0" w:color="auto"/>
            <w:bottom w:val="none" w:sz="0" w:space="0" w:color="auto"/>
            <w:right w:val="none" w:sz="0" w:space="0" w:color="auto"/>
          </w:divBdr>
        </w:div>
      </w:divsChild>
    </w:div>
    <w:div w:id="1987395100">
      <w:bodyDiv w:val="1"/>
      <w:marLeft w:val="0"/>
      <w:marRight w:val="0"/>
      <w:marTop w:val="0"/>
      <w:marBottom w:val="0"/>
      <w:divBdr>
        <w:top w:val="none" w:sz="0" w:space="0" w:color="auto"/>
        <w:left w:val="none" w:sz="0" w:space="0" w:color="auto"/>
        <w:bottom w:val="none" w:sz="0" w:space="0" w:color="auto"/>
        <w:right w:val="none" w:sz="0" w:space="0" w:color="auto"/>
      </w:divBdr>
    </w:div>
    <w:div w:id="1997031606">
      <w:bodyDiv w:val="1"/>
      <w:marLeft w:val="0"/>
      <w:marRight w:val="0"/>
      <w:marTop w:val="0"/>
      <w:marBottom w:val="0"/>
      <w:divBdr>
        <w:top w:val="none" w:sz="0" w:space="0" w:color="auto"/>
        <w:left w:val="none" w:sz="0" w:space="0" w:color="auto"/>
        <w:bottom w:val="none" w:sz="0" w:space="0" w:color="auto"/>
        <w:right w:val="none" w:sz="0" w:space="0" w:color="auto"/>
      </w:divBdr>
      <w:divsChild>
        <w:div w:id="1829327480">
          <w:marLeft w:val="0"/>
          <w:marRight w:val="0"/>
          <w:marTop w:val="0"/>
          <w:marBottom w:val="0"/>
          <w:divBdr>
            <w:top w:val="none" w:sz="0" w:space="0" w:color="auto"/>
            <w:left w:val="none" w:sz="0" w:space="0" w:color="auto"/>
            <w:bottom w:val="none" w:sz="0" w:space="0" w:color="auto"/>
            <w:right w:val="none" w:sz="0" w:space="0" w:color="auto"/>
          </w:divBdr>
          <w:divsChild>
            <w:div w:id="2090468260">
              <w:marLeft w:val="0"/>
              <w:marRight w:val="0"/>
              <w:marTop w:val="0"/>
              <w:marBottom w:val="0"/>
              <w:divBdr>
                <w:top w:val="none" w:sz="0" w:space="0" w:color="auto"/>
                <w:left w:val="none" w:sz="0" w:space="0" w:color="auto"/>
                <w:bottom w:val="none" w:sz="0" w:space="0" w:color="auto"/>
                <w:right w:val="none" w:sz="0" w:space="0" w:color="auto"/>
              </w:divBdr>
              <w:divsChild>
                <w:div w:id="813525720">
                  <w:marLeft w:val="0"/>
                  <w:marRight w:val="0"/>
                  <w:marTop w:val="0"/>
                  <w:marBottom w:val="0"/>
                  <w:divBdr>
                    <w:top w:val="none" w:sz="0" w:space="0" w:color="auto"/>
                    <w:left w:val="none" w:sz="0" w:space="0" w:color="auto"/>
                    <w:bottom w:val="none" w:sz="0" w:space="0" w:color="auto"/>
                    <w:right w:val="none" w:sz="0" w:space="0" w:color="auto"/>
                  </w:divBdr>
                </w:div>
              </w:divsChild>
            </w:div>
            <w:div w:id="1069767736">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840735">
      <w:bodyDiv w:val="1"/>
      <w:marLeft w:val="0"/>
      <w:marRight w:val="0"/>
      <w:marTop w:val="0"/>
      <w:marBottom w:val="0"/>
      <w:divBdr>
        <w:top w:val="none" w:sz="0" w:space="0" w:color="auto"/>
        <w:left w:val="none" w:sz="0" w:space="0" w:color="auto"/>
        <w:bottom w:val="none" w:sz="0" w:space="0" w:color="auto"/>
        <w:right w:val="none" w:sz="0" w:space="0" w:color="auto"/>
      </w:divBdr>
      <w:divsChild>
        <w:div w:id="249318606">
          <w:marLeft w:val="1800"/>
          <w:marRight w:val="0"/>
          <w:marTop w:val="86"/>
          <w:marBottom w:val="0"/>
          <w:divBdr>
            <w:top w:val="none" w:sz="0" w:space="0" w:color="auto"/>
            <w:left w:val="none" w:sz="0" w:space="0" w:color="auto"/>
            <w:bottom w:val="none" w:sz="0" w:space="0" w:color="auto"/>
            <w:right w:val="none" w:sz="0" w:space="0" w:color="auto"/>
          </w:divBdr>
        </w:div>
        <w:div w:id="321199178">
          <w:marLeft w:val="2520"/>
          <w:marRight w:val="0"/>
          <w:marTop w:val="67"/>
          <w:marBottom w:val="0"/>
          <w:divBdr>
            <w:top w:val="none" w:sz="0" w:space="0" w:color="auto"/>
            <w:left w:val="none" w:sz="0" w:space="0" w:color="auto"/>
            <w:bottom w:val="none" w:sz="0" w:space="0" w:color="auto"/>
            <w:right w:val="none" w:sz="0" w:space="0" w:color="auto"/>
          </w:divBdr>
        </w:div>
        <w:div w:id="456146863">
          <w:marLeft w:val="1166"/>
          <w:marRight w:val="0"/>
          <w:marTop w:val="96"/>
          <w:marBottom w:val="0"/>
          <w:divBdr>
            <w:top w:val="none" w:sz="0" w:space="0" w:color="auto"/>
            <w:left w:val="none" w:sz="0" w:space="0" w:color="auto"/>
            <w:bottom w:val="none" w:sz="0" w:space="0" w:color="auto"/>
            <w:right w:val="none" w:sz="0" w:space="0" w:color="auto"/>
          </w:divBdr>
        </w:div>
        <w:div w:id="522524537">
          <w:marLeft w:val="2520"/>
          <w:marRight w:val="0"/>
          <w:marTop w:val="67"/>
          <w:marBottom w:val="0"/>
          <w:divBdr>
            <w:top w:val="none" w:sz="0" w:space="0" w:color="auto"/>
            <w:left w:val="none" w:sz="0" w:space="0" w:color="auto"/>
            <w:bottom w:val="none" w:sz="0" w:space="0" w:color="auto"/>
            <w:right w:val="none" w:sz="0" w:space="0" w:color="auto"/>
          </w:divBdr>
        </w:div>
        <w:div w:id="799228702">
          <w:marLeft w:val="1800"/>
          <w:marRight w:val="0"/>
          <w:marTop w:val="86"/>
          <w:marBottom w:val="0"/>
          <w:divBdr>
            <w:top w:val="none" w:sz="0" w:space="0" w:color="auto"/>
            <w:left w:val="none" w:sz="0" w:space="0" w:color="auto"/>
            <w:bottom w:val="none" w:sz="0" w:space="0" w:color="auto"/>
            <w:right w:val="none" w:sz="0" w:space="0" w:color="auto"/>
          </w:divBdr>
        </w:div>
        <w:div w:id="844976718">
          <w:marLeft w:val="547"/>
          <w:marRight w:val="0"/>
          <w:marTop w:val="115"/>
          <w:marBottom w:val="0"/>
          <w:divBdr>
            <w:top w:val="none" w:sz="0" w:space="0" w:color="auto"/>
            <w:left w:val="none" w:sz="0" w:space="0" w:color="auto"/>
            <w:bottom w:val="none" w:sz="0" w:space="0" w:color="auto"/>
            <w:right w:val="none" w:sz="0" w:space="0" w:color="auto"/>
          </w:divBdr>
        </w:div>
        <w:div w:id="914171590">
          <w:marLeft w:val="2520"/>
          <w:marRight w:val="0"/>
          <w:marTop w:val="67"/>
          <w:marBottom w:val="0"/>
          <w:divBdr>
            <w:top w:val="none" w:sz="0" w:space="0" w:color="auto"/>
            <w:left w:val="none" w:sz="0" w:space="0" w:color="auto"/>
            <w:bottom w:val="none" w:sz="0" w:space="0" w:color="auto"/>
            <w:right w:val="none" w:sz="0" w:space="0" w:color="auto"/>
          </w:divBdr>
        </w:div>
        <w:div w:id="977690691">
          <w:marLeft w:val="1800"/>
          <w:marRight w:val="0"/>
          <w:marTop w:val="86"/>
          <w:marBottom w:val="0"/>
          <w:divBdr>
            <w:top w:val="none" w:sz="0" w:space="0" w:color="auto"/>
            <w:left w:val="none" w:sz="0" w:space="0" w:color="auto"/>
            <w:bottom w:val="none" w:sz="0" w:space="0" w:color="auto"/>
            <w:right w:val="none" w:sz="0" w:space="0" w:color="auto"/>
          </w:divBdr>
        </w:div>
        <w:div w:id="1245340260">
          <w:marLeft w:val="1166"/>
          <w:marRight w:val="0"/>
          <w:marTop w:val="96"/>
          <w:marBottom w:val="0"/>
          <w:divBdr>
            <w:top w:val="none" w:sz="0" w:space="0" w:color="auto"/>
            <w:left w:val="none" w:sz="0" w:space="0" w:color="auto"/>
            <w:bottom w:val="none" w:sz="0" w:space="0" w:color="auto"/>
            <w:right w:val="none" w:sz="0" w:space="0" w:color="auto"/>
          </w:divBdr>
        </w:div>
        <w:div w:id="1411390010">
          <w:marLeft w:val="1800"/>
          <w:marRight w:val="0"/>
          <w:marTop w:val="86"/>
          <w:marBottom w:val="0"/>
          <w:divBdr>
            <w:top w:val="none" w:sz="0" w:space="0" w:color="auto"/>
            <w:left w:val="none" w:sz="0" w:space="0" w:color="auto"/>
            <w:bottom w:val="none" w:sz="0" w:space="0" w:color="auto"/>
            <w:right w:val="none" w:sz="0" w:space="0" w:color="auto"/>
          </w:divBdr>
        </w:div>
        <w:div w:id="1565335685">
          <w:marLeft w:val="1800"/>
          <w:marRight w:val="0"/>
          <w:marTop w:val="86"/>
          <w:marBottom w:val="0"/>
          <w:divBdr>
            <w:top w:val="none" w:sz="0" w:space="0" w:color="auto"/>
            <w:left w:val="none" w:sz="0" w:space="0" w:color="auto"/>
            <w:bottom w:val="none" w:sz="0" w:space="0" w:color="auto"/>
            <w:right w:val="none" w:sz="0" w:space="0" w:color="auto"/>
          </w:divBdr>
        </w:div>
        <w:div w:id="1617559889">
          <w:marLeft w:val="1166"/>
          <w:marRight w:val="0"/>
          <w:marTop w:val="96"/>
          <w:marBottom w:val="0"/>
          <w:divBdr>
            <w:top w:val="none" w:sz="0" w:space="0" w:color="auto"/>
            <w:left w:val="none" w:sz="0" w:space="0" w:color="auto"/>
            <w:bottom w:val="none" w:sz="0" w:space="0" w:color="auto"/>
            <w:right w:val="none" w:sz="0" w:space="0" w:color="auto"/>
          </w:divBdr>
        </w:div>
        <w:div w:id="2059476740">
          <w:marLeft w:val="1800"/>
          <w:marRight w:val="0"/>
          <w:marTop w:val="86"/>
          <w:marBottom w:val="0"/>
          <w:divBdr>
            <w:top w:val="none" w:sz="0" w:space="0" w:color="auto"/>
            <w:left w:val="none" w:sz="0" w:space="0" w:color="auto"/>
            <w:bottom w:val="none" w:sz="0" w:space="0" w:color="auto"/>
            <w:right w:val="none" w:sz="0" w:space="0" w:color="auto"/>
          </w:divBdr>
        </w:div>
      </w:divsChild>
    </w:div>
    <w:div w:id="2003967412">
      <w:bodyDiv w:val="1"/>
      <w:marLeft w:val="0"/>
      <w:marRight w:val="0"/>
      <w:marTop w:val="0"/>
      <w:marBottom w:val="0"/>
      <w:divBdr>
        <w:top w:val="none" w:sz="0" w:space="0" w:color="auto"/>
        <w:left w:val="none" w:sz="0" w:space="0" w:color="auto"/>
        <w:bottom w:val="none" w:sz="0" w:space="0" w:color="auto"/>
        <w:right w:val="none" w:sz="0" w:space="0" w:color="auto"/>
      </w:divBdr>
    </w:div>
    <w:div w:id="2007005959">
      <w:bodyDiv w:val="1"/>
      <w:marLeft w:val="0"/>
      <w:marRight w:val="0"/>
      <w:marTop w:val="0"/>
      <w:marBottom w:val="0"/>
      <w:divBdr>
        <w:top w:val="none" w:sz="0" w:space="0" w:color="auto"/>
        <w:left w:val="none" w:sz="0" w:space="0" w:color="auto"/>
        <w:bottom w:val="none" w:sz="0" w:space="0" w:color="auto"/>
        <w:right w:val="none" w:sz="0" w:space="0" w:color="auto"/>
      </w:divBdr>
    </w:div>
    <w:div w:id="2018850992">
      <w:bodyDiv w:val="1"/>
      <w:marLeft w:val="0"/>
      <w:marRight w:val="0"/>
      <w:marTop w:val="0"/>
      <w:marBottom w:val="0"/>
      <w:divBdr>
        <w:top w:val="none" w:sz="0" w:space="0" w:color="auto"/>
        <w:left w:val="none" w:sz="0" w:space="0" w:color="auto"/>
        <w:bottom w:val="none" w:sz="0" w:space="0" w:color="auto"/>
        <w:right w:val="none" w:sz="0" w:space="0" w:color="auto"/>
      </w:divBdr>
      <w:divsChild>
        <w:div w:id="662662207">
          <w:marLeft w:val="547"/>
          <w:marRight w:val="0"/>
          <w:marTop w:val="86"/>
          <w:marBottom w:val="0"/>
          <w:divBdr>
            <w:top w:val="none" w:sz="0" w:space="0" w:color="auto"/>
            <w:left w:val="none" w:sz="0" w:space="0" w:color="auto"/>
            <w:bottom w:val="none" w:sz="0" w:space="0" w:color="auto"/>
            <w:right w:val="none" w:sz="0" w:space="0" w:color="auto"/>
          </w:divBdr>
        </w:div>
        <w:div w:id="1077287555">
          <w:marLeft w:val="1166"/>
          <w:marRight w:val="0"/>
          <w:marTop w:val="77"/>
          <w:marBottom w:val="0"/>
          <w:divBdr>
            <w:top w:val="none" w:sz="0" w:space="0" w:color="auto"/>
            <w:left w:val="none" w:sz="0" w:space="0" w:color="auto"/>
            <w:bottom w:val="none" w:sz="0" w:space="0" w:color="auto"/>
            <w:right w:val="none" w:sz="0" w:space="0" w:color="auto"/>
          </w:divBdr>
        </w:div>
        <w:div w:id="1348749396">
          <w:marLeft w:val="547"/>
          <w:marRight w:val="0"/>
          <w:marTop w:val="86"/>
          <w:marBottom w:val="0"/>
          <w:divBdr>
            <w:top w:val="none" w:sz="0" w:space="0" w:color="auto"/>
            <w:left w:val="none" w:sz="0" w:space="0" w:color="auto"/>
            <w:bottom w:val="none" w:sz="0" w:space="0" w:color="auto"/>
            <w:right w:val="none" w:sz="0" w:space="0" w:color="auto"/>
          </w:divBdr>
        </w:div>
        <w:div w:id="1449353778">
          <w:marLeft w:val="1166"/>
          <w:marRight w:val="0"/>
          <w:marTop w:val="77"/>
          <w:marBottom w:val="0"/>
          <w:divBdr>
            <w:top w:val="none" w:sz="0" w:space="0" w:color="auto"/>
            <w:left w:val="none" w:sz="0" w:space="0" w:color="auto"/>
            <w:bottom w:val="none" w:sz="0" w:space="0" w:color="auto"/>
            <w:right w:val="none" w:sz="0" w:space="0" w:color="auto"/>
          </w:divBdr>
        </w:div>
        <w:div w:id="1505975376">
          <w:marLeft w:val="1166"/>
          <w:marRight w:val="0"/>
          <w:marTop w:val="77"/>
          <w:marBottom w:val="0"/>
          <w:divBdr>
            <w:top w:val="none" w:sz="0" w:space="0" w:color="auto"/>
            <w:left w:val="none" w:sz="0" w:space="0" w:color="auto"/>
            <w:bottom w:val="none" w:sz="0" w:space="0" w:color="auto"/>
            <w:right w:val="none" w:sz="0" w:space="0" w:color="auto"/>
          </w:divBdr>
        </w:div>
        <w:div w:id="1545753946">
          <w:marLeft w:val="1166"/>
          <w:marRight w:val="0"/>
          <w:marTop w:val="77"/>
          <w:marBottom w:val="0"/>
          <w:divBdr>
            <w:top w:val="none" w:sz="0" w:space="0" w:color="auto"/>
            <w:left w:val="none" w:sz="0" w:space="0" w:color="auto"/>
            <w:bottom w:val="none" w:sz="0" w:space="0" w:color="auto"/>
            <w:right w:val="none" w:sz="0" w:space="0" w:color="auto"/>
          </w:divBdr>
        </w:div>
        <w:div w:id="1653219970">
          <w:marLeft w:val="1166"/>
          <w:marRight w:val="0"/>
          <w:marTop w:val="77"/>
          <w:marBottom w:val="0"/>
          <w:divBdr>
            <w:top w:val="none" w:sz="0" w:space="0" w:color="auto"/>
            <w:left w:val="none" w:sz="0" w:space="0" w:color="auto"/>
            <w:bottom w:val="none" w:sz="0" w:space="0" w:color="auto"/>
            <w:right w:val="none" w:sz="0" w:space="0" w:color="auto"/>
          </w:divBdr>
        </w:div>
        <w:div w:id="1703090774">
          <w:marLeft w:val="547"/>
          <w:marRight w:val="0"/>
          <w:marTop w:val="86"/>
          <w:marBottom w:val="0"/>
          <w:divBdr>
            <w:top w:val="none" w:sz="0" w:space="0" w:color="auto"/>
            <w:left w:val="none" w:sz="0" w:space="0" w:color="auto"/>
            <w:bottom w:val="none" w:sz="0" w:space="0" w:color="auto"/>
            <w:right w:val="none" w:sz="0" w:space="0" w:color="auto"/>
          </w:divBdr>
        </w:div>
        <w:div w:id="1919747343">
          <w:marLeft w:val="1800"/>
          <w:marRight w:val="0"/>
          <w:marTop w:val="67"/>
          <w:marBottom w:val="0"/>
          <w:divBdr>
            <w:top w:val="none" w:sz="0" w:space="0" w:color="auto"/>
            <w:left w:val="none" w:sz="0" w:space="0" w:color="auto"/>
            <w:bottom w:val="none" w:sz="0" w:space="0" w:color="auto"/>
            <w:right w:val="none" w:sz="0" w:space="0" w:color="auto"/>
          </w:divBdr>
        </w:div>
        <w:div w:id="2143575609">
          <w:marLeft w:val="1166"/>
          <w:marRight w:val="0"/>
          <w:marTop w:val="77"/>
          <w:marBottom w:val="0"/>
          <w:divBdr>
            <w:top w:val="none" w:sz="0" w:space="0" w:color="auto"/>
            <w:left w:val="none" w:sz="0" w:space="0" w:color="auto"/>
            <w:bottom w:val="none" w:sz="0" w:space="0" w:color="auto"/>
            <w:right w:val="none" w:sz="0" w:space="0" w:color="auto"/>
          </w:divBdr>
        </w:div>
        <w:div w:id="2145150149">
          <w:marLeft w:val="1800"/>
          <w:marRight w:val="0"/>
          <w:marTop w:val="67"/>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32223421">
      <w:bodyDiv w:val="1"/>
      <w:marLeft w:val="0"/>
      <w:marRight w:val="0"/>
      <w:marTop w:val="0"/>
      <w:marBottom w:val="0"/>
      <w:divBdr>
        <w:top w:val="none" w:sz="0" w:space="0" w:color="auto"/>
        <w:left w:val="none" w:sz="0" w:space="0" w:color="auto"/>
        <w:bottom w:val="none" w:sz="0" w:space="0" w:color="auto"/>
        <w:right w:val="none" w:sz="0" w:space="0" w:color="auto"/>
      </w:divBdr>
    </w:div>
    <w:div w:id="2037274016">
      <w:bodyDiv w:val="1"/>
      <w:marLeft w:val="0"/>
      <w:marRight w:val="0"/>
      <w:marTop w:val="0"/>
      <w:marBottom w:val="0"/>
      <w:divBdr>
        <w:top w:val="none" w:sz="0" w:space="0" w:color="auto"/>
        <w:left w:val="none" w:sz="0" w:space="0" w:color="auto"/>
        <w:bottom w:val="none" w:sz="0" w:space="0" w:color="auto"/>
        <w:right w:val="none" w:sz="0" w:space="0" w:color="auto"/>
      </w:divBdr>
    </w:div>
    <w:div w:id="2042507083">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52802083">
      <w:bodyDiv w:val="1"/>
      <w:marLeft w:val="0"/>
      <w:marRight w:val="0"/>
      <w:marTop w:val="0"/>
      <w:marBottom w:val="0"/>
      <w:divBdr>
        <w:top w:val="none" w:sz="0" w:space="0" w:color="auto"/>
        <w:left w:val="none" w:sz="0" w:space="0" w:color="auto"/>
        <w:bottom w:val="none" w:sz="0" w:space="0" w:color="auto"/>
        <w:right w:val="none" w:sz="0" w:space="0" w:color="auto"/>
      </w:divBdr>
    </w:div>
    <w:div w:id="2055227749">
      <w:bodyDiv w:val="1"/>
      <w:marLeft w:val="0"/>
      <w:marRight w:val="0"/>
      <w:marTop w:val="0"/>
      <w:marBottom w:val="0"/>
      <w:divBdr>
        <w:top w:val="none" w:sz="0" w:space="0" w:color="auto"/>
        <w:left w:val="none" w:sz="0" w:space="0" w:color="auto"/>
        <w:bottom w:val="none" w:sz="0" w:space="0" w:color="auto"/>
        <w:right w:val="none" w:sz="0" w:space="0" w:color="auto"/>
      </w:divBdr>
    </w:div>
    <w:div w:id="2071683448">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6121898">
      <w:bodyDiv w:val="1"/>
      <w:marLeft w:val="0"/>
      <w:marRight w:val="0"/>
      <w:marTop w:val="0"/>
      <w:marBottom w:val="0"/>
      <w:divBdr>
        <w:top w:val="none" w:sz="0" w:space="0" w:color="auto"/>
        <w:left w:val="none" w:sz="0" w:space="0" w:color="auto"/>
        <w:bottom w:val="none" w:sz="0" w:space="0" w:color="auto"/>
        <w:right w:val="none" w:sz="0" w:space="0" w:color="auto"/>
      </w:divBdr>
    </w:div>
    <w:div w:id="2126922940">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520-%2520Qualcomm/Documents/Standards/3GPP%2520Standards/Meeting%2520Documents/TSGR1_100b/Docs/R1-2002348.zip" TargetMode="Externa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image" Target="media/image21.wmf"/><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anshic/OneDrive%2520-%2520Qualcomm/Documents/Standards/3GPP%2520Standards/Meeting%2520Documents/TSGR1_100b/Docs/R1-2002348.zip" TargetMode="Externa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8.wmf"/><Relationship Id="rId38" Type="http://schemas.openxmlformats.org/officeDocument/2006/relationships/oleObject" Target="embeddings/oleObject4.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5.wmf"/><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wmf"/><Relationship Id="rId32" Type="http://schemas.openxmlformats.org/officeDocument/2006/relationships/oleObject" Target="embeddings/oleObject1.bin"/><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520-%2520Qualcomm/Documents/Standards/3GPP%2520Standards/Meeting%2520Documents/TSGR1_100b/Docs/R1-2002348.zip"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BEC7-28DE-41D1-971D-B27A0AAA8A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5215A-324B-4719-B6D3-39BE59E6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C7EA8301-2872-474F-AC61-9057CA8D078E}">
  <ds:schemaRefs>
    <ds:schemaRef ds:uri="http://schemas.openxmlformats.org/officeDocument/2006/bibliography"/>
  </ds:schemaRefs>
</ds:datastoreItem>
</file>

<file path=customXml/itemProps5.xml><?xml version="1.0" encoding="utf-8"?>
<ds:datastoreItem xmlns:ds="http://schemas.openxmlformats.org/officeDocument/2006/customXml" ds:itemID="{CDF03CD1-21D2-4057-BEFA-D46E95F1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13</Pages>
  <Words>5566</Words>
  <Characters>31727</Characters>
  <Application>Microsoft Office Word</Application>
  <DocSecurity>0</DocSecurity>
  <Lines>264</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Extending FR2 power class requirements to multi-band UEs</vt:lpstr>
      <vt:lpstr>Extending FR2 power class requirements to multi-band UEs</vt:lpstr>
    </vt:vector>
  </TitlesOfParts>
  <Manager/>
  <Company>Apple Inc.</Company>
  <LinksUpToDate>false</LinksUpToDate>
  <CharactersWithSpaces>37219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FR2 power class requirements to multi-band UEs</dc:title>
  <dc:subject/>
  <dc:creator>Apple Inc.</dc:creator>
  <cp:keywords/>
  <dc:description/>
  <cp:lastModifiedBy>최승훈/표준연구팀(SR)/Principal Engineer/삼성전자</cp:lastModifiedBy>
  <cp:revision>12</cp:revision>
  <cp:lastPrinted>2019-10-09T22:14:00Z</cp:lastPrinted>
  <dcterms:created xsi:type="dcterms:W3CDTF">2020-04-22T08:02:00Z</dcterms:created>
  <dcterms:modified xsi:type="dcterms:W3CDTF">2020-04-22T10:31:00Z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1587434947</vt:lpwstr>
  </property>
  <property fmtid="{D5CDD505-2E9C-101B-9397-08002B2CF9AE}" pid="6" name="ContentTypeId">
    <vt:lpwstr>0x010100B22C4744E2C3194A99119A9C6B17BC0A</vt:lpwstr>
  </property>
  <property fmtid="{D5CDD505-2E9C-101B-9397-08002B2CF9AE}" pid="7" name="NSCPROP_SA">
    <vt:lpwstr>D:\회사\업무\3GPP\3GPP meeting\202004_RAN1#100b-e_Busan_Cancel\feature lead drafts\7.2.10.2 Single TX\R1-200xxxx Summary of Single Tx v5_QC_Ericsson.docx</vt:lpwstr>
  </property>
</Properties>
</file>