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BF4910"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BF4910"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BF4910" w:rsidP="00CC5EEE">
            <w:pPr>
              <w:pStyle w:val="TAL"/>
              <w:rPr>
                <w:lang w:eastAsia="zh-CN"/>
              </w:rPr>
            </w:pPr>
            <w:hyperlink r:id="rId12" w:history="1">
              <w:r w:rsidR="00101827" w:rsidRPr="0053302A">
                <w:rPr>
                  <w:rStyle w:val="Hyperli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SimSun"/>
                <w:lang w:eastAsia="zh-CN"/>
              </w:rPr>
            </w:pPr>
            <w:r>
              <w:rPr>
                <w:rFonts w:eastAsia="SimSun" w:hint="eastAsia"/>
                <w:lang w:eastAsia="zh-CN"/>
              </w:rPr>
              <w:t>CATT</w:t>
            </w:r>
          </w:p>
        </w:tc>
        <w:tc>
          <w:tcPr>
            <w:tcW w:w="7415" w:type="dxa"/>
          </w:tcPr>
          <w:p w14:paraId="04E0A976" w14:textId="666E191E" w:rsidR="00CC5EEE" w:rsidRPr="009B35DC" w:rsidRDefault="009B35DC" w:rsidP="00CC5EEE">
            <w:pPr>
              <w:pStyle w:val="TAL"/>
              <w:rPr>
                <w:rFonts w:eastAsia="SimSun"/>
                <w:lang w:eastAsia="zh-CN"/>
              </w:rPr>
            </w:pPr>
            <w:r>
              <w:rPr>
                <w:rFonts w:eastAsia="SimSun"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SimSun"/>
                <w:lang w:eastAsia="zh-CN"/>
              </w:rPr>
            </w:pPr>
            <w:r>
              <w:rPr>
                <w:rFonts w:eastAsia="SimSun" w:hint="eastAsia"/>
                <w:lang w:eastAsia="zh-CN"/>
              </w:rPr>
              <w:t>C</w:t>
            </w:r>
            <w:r>
              <w:rPr>
                <w:rFonts w:eastAsia="SimSun"/>
                <w:lang w:eastAsia="zh-CN"/>
              </w:rPr>
              <w:t>MCC</w:t>
            </w:r>
          </w:p>
        </w:tc>
        <w:tc>
          <w:tcPr>
            <w:tcW w:w="7415" w:type="dxa"/>
          </w:tcPr>
          <w:p w14:paraId="07E99537" w14:textId="66FBE32F" w:rsidR="00EA61C0" w:rsidRDefault="00EA61C0" w:rsidP="00CC5EEE">
            <w:pPr>
              <w:pStyle w:val="TAL"/>
              <w:rPr>
                <w:rFonts w:eastAsia="SimSun"/>
                <w:lang w:eastAsia="zh-CN"/>
              </w:rPr>
            </w:pPr>
            <w:r>
              <w:rPr>
                <w:rFonts w:eastAsia="SimSun" w:hint="eastAsia"/>
                <w:lang w:eastAsia="zh-CN"/>
              </w:rPr>
              <w:t>c</w:t>
            </w:r>
            <w:r>
              <w:rPr>
                <w:rFonts w:eastAsia="SimSun"/>
                <w:lang w:eastAsia="zh-CN"/>
              </w:rPr>
              <w:t>henningyu@chinamobile.com</w:t>
            </w: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w:t>
      </w:r>
      <w:proofErr w:type="gramStart"/>
      <w:r w:rsidRPr="00F26694">
        <w:rPr>
          <w:i/>
        </w:rPr>
        <w:t>e.g.</w:t>
      </w:r>
      <w:proofErr w:type="gramEnd"/>
      <w:r w:rsidRPr="00F26694">
        <w:rPr>
          <w:i/>
        </w:rPr>
        <w:t xml:space="preserve">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w:t>
      </w:r>
      <w:proofErr w:type="gramStart"/>
      <w:r w:rsidRPr="00F26694">
        <w:rPr>
          <w:i/>
        </w:rPr>
        <w:t>seems</w:t>
      </w:r>
      <w:proofErr w:type="gramEnd"/>
      <w:r w:rsidRPr="00F26694">
        <w:rPr>
          <w:i/>
        </w:rPr>
        <w:t xml:space="preserve"> to be in agreement that the purpose of defining URLLC profiles / UE categories is to bring clarity to the market as to which features are relevant for URLLC, and to avoid market fragmentation. </w:t>
      </w:r>
      <w:proofErr w:type="gramStart"/>
      <w:r w:rsidRPr="00F26694">
        <w:rPr>
          <w:i/>
        </w:rPr>
        <w:t>Also</w:t>
      </w:r>
      <w:proofErr w:type="gramEnd"/>
      <w:r w:rsidRPr="00F26694">
        <w:rPr>
          <w:i/>
        </w:rPr>
        <w:t xml:space="preserve">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w:t>
      </w:r>
      <w:proofErr w:type="gramStart"/>
      <w:r w:rsidRPr="00F26694">
        <w:rPr>
          <w:i/>
        </w:rPr>
        <w:t>A majority of</w:t>
      </w:r>
      <w:proofErr w:type="gramEnd"/>
      <w:r w:rsidRPr="00F26694">
        <w:rPr>
          <w:i/>
        </w:rPr>
        <w:t xml:space="preserve">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w:t>
      </w:r>
      <w:proofErr w:type="gramStart"/>
      <w:r w:rsidRPr="00F26694">
        <w:rPr>
          <w:i/>
        </w:rPr>
        <w:t>e.g.</w:t>
      </w:r>
      <w:proofErr w:type="gramEnd"/>
      <w:r w:rsidRPr="00F26694">
        <w:rPr>
          <w:i/>
        </w:rPr>
        <w:t xml:space="preserve">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w:t>
      </w:r>
      <w:proofErr w:type="gramStart"/>
      <w:r>
        <w:rPr>
          <w:color w:val="000000"/>
        </w:rPr>
        <w:t>more exactly decide</w:t>
      </w:r>
      <w:proofErr w:type="gramEnd"/>
      <w:r>
        <w:rPr>
          <w:color w:val="000000"/>
        </w:rPr>
        <w:t xml:space="preserv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w:t>
      </w:r>
      <w:proofErr w:type="gramStart"/>
      <w:r>
        <w:t>e.g.</w:t>
      </w:r>
      <w:proofErr w:type="gramEnd"/>
      <w:r>
        <w:t xml:space="preserve">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w:t>
      </w:r>
      <w:proofErr w:type="gramStart"/>
      <w:r>
        <w:t>kind</w:t>
      </w:r>
      <w:proofErr w:type="gramEnd"/>
      <w:r>
        <w:t xml:space="preserve">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w:t>
      </w:r>
      <w:proofErr w:type="gramStart"/>
      <w:r>
        <w:t>profiles, but</w:t>
      </w:r>
      <w:proofErr w:type="gramEnd"/>
      <w:r>
        <w:t xml:space="preserve">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proofErr w:type="spellStart"/>
      <w:r>
        <w:t>Xxx</w:t>
      </w:r>
      <w:proofErr w:type="spellEnd"/>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w:t>
      </w:r>
      <w:proofErr w:type="gramStart"/>
      <w:r>
        <w:t>i.e.</w:t>
      </w:r>
      <w:proofErr w:type="gramEnd"/>
      <w:r>
        <w:t xml:space="preserv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ink"/>
          </w:rPr>
          <w:t>TR38.822</w:t>
        </w:r>
      </w:hyperlink>
      <w:r>
        <w:t xml:space="preserve"> and suggest to capture the Rel-15 UE capabilities relevant for URLLC operation as an informative annex in TS38.306 (e.g. as illustrated in </w:t>
      </w:r>
      <w:hyperlink r:id="rId14"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w:t>
      </w:r>
      <w:proofErr w:type="gramStart"/>
      <w:r w:rsidR="00503FD1">
        <w:rPr>
          <w:color w:val="000000"/>
        </w:rPr>
        <w:t>e.g.</w:t>
      </w:r>
      <w:proofErr w:type="gramEnd"/>
      <w:r w:rsidR="00503FD1">
        <w:rPr>
          <w:color w:val="000000"/>
        </w:rPr>
        <w:t xml:space="preserve">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w:t>
            </w:r>
            <w:proofErr w:type="gramStart"/>
            <w:r>
              <w:rPr>
                <w:rFonts w:eastAsia="MS Mincho"/>
              </w:rPr>
              <w:t>in order to</w:t>
            </w:r>
            <w:proofErr w:type="gramEnd"/>
            <w:r>
              <w:rPr>
                <w:rFonts w:eastAsia="MS Mincho"/>
              </w:rPr>
              <w:t xml:space="preserve">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 xml:space="preserve">f this type of exercise is handled outside of 3GPP and it is already ongoing in some industry fora, </w:t>
            </w:r>
            <w:proofErr w:type="gramStart"/>
            <w:r>
              <w:t>e.g.</w:t>
            </w:r>
            <w:proofErr w:type="gramEnd"/>
            <w:r>
              <w:t xml:space="preserve">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 xml:space="preserve">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w:t>
            </w:r>
            <w:proofErr w:type="gramStart"/>
            <w:r>
              <w:rPr>
                <w:lang w:eastAsia="zh-CN"/>
              </w:rPr>
              <w:t>Thus</w:t>
            </w:r>
            <w:proofErr w:type="gramEnd"/>
            <w:r>
              <w:rPr>
                <w:lang w:eastAsia="zh-CN"/>
              </w:rPr>
              <w:t xml:space="preserve">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 xml:space="preserve">grouped into low-latency specific and reliability specific. This may help future discussion once the latency and reliability requirements classification </w:t>
            </w:r>
            <w:proofErr w:type="gramStart"/>
            <w:r>
              <w:rPr>
                <w:lang w:eastAsia="zh-CN"/>
              </w:rPr>
              <w:t>becomes</w:t>
            </w:r>
            <w:proofErr w:type="gramEnd"/>
            <w:r>
              <w:rPr>
                <w:lang w:eastAsia="zh-CN"/>
              </w:rPr>
              <w:t xml:space="preserve">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w:t>
            </w:r>
            <w:proofErr w:type="gramStart"/>
            <w:r w:rsidR="0061049C">
              <w:t>mini-slot</w:t>
            </w:r>
            <w:proofErr w:type="gramEnd"/>
            <w:r w:rsidR="0061049C">
              <w:t xml:space="preserve">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w:t>
            </w:r>
            <w:proofErr w:type="gramStart"/>
            <w:r>
              <w:rPr>
                <w:lang w:eastAsia="zh-CN"/>
              </w:rPr>
              <w:t>similar to</w:t>
            </w:r>
            <w:proofErr w:type="gramEnd"/>
            <w:r>
              <w:rPr>
                <w:lang w:eastAsia="zh-CN"/>
              </w:rPr>
              <w:t xml:space="preserve">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 xml:space="preserve">Regarding Alt.2, we think the basic idea of it is </w:t>
            </w:r>
            <w:proofErr w:type="gramStart"/>
            <w:r>
              <w:rPr>
                <w:lang w:eastAsia="zh-CN"/>
              </w:rPr>
              <w:t>similar to</w:t>
            </w:r>
            <w:proofErr w:type="gramEnd"/>
            <w:r>
              <w:rPr>
                <w:lang w:eastAsia="zh-CN"/>
              </w:rPr>
              <w:t xml:space="preserve">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w:t>
            </w:r>
            <w:proofErr w:type="gramStart"/>
            <w:r>
              <w:rPr>
                <w:lang w:eastAsia="zh-CN"/>
              </w:rPr>
              <w:t>general</w:t>
            </w:r>
            <w:proofErr w:type="gramEnd"/>
            <w:r>
              <w:rPr>
                <w:lang w:eastAsia="zh-CN"/>
              </w:rPr>
              <w:t xml:space="preserve">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proofErr w:type="gramStart"/>
            <w:r>
              <w:rPr>
                <w:lang w:eastAsia="zh-CN"/>
              </w:rPr>
              <w:t>Indeed</w:t>
            </w:r>
            <w:proofErr w:type="gramEnd"/>
            <w:r>
              <w:rPr>
                <w:lang w:eastAsia="zh-CN"/>
              </w:rPr>
              <w:t xml:space="preserve">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w:t>
            </w:r>
            <w:proofErr w:type="gramStart"/>
            <w:r>
              <w:rPr>
                <w:lang w:eastAsia="zh-CN"/>
              </w:rPr>
              <w:t>are in agreement</w:t>
            </w:r>
            <w:proofErr w:type="gramEnd"/>
            <w:r>
              <w:rPr>
                <w:lang w:eastAsia="zh-CN"/>
              </w:rPr>
              <w:t xml:space="preserve">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w:t>
      </w:r>
      <w:proofErr w:type="gramStart"/>
      <w:r>
        <w:t>A number of</w:t>
      </w:r>
      <w:proofErr w:type="gramEnd"/>
      <w:r>
        <w:t xml:space="preserve"> companies oppose the introduction of specific use cases or specific profiles, and a number of companies state that such work is done and/or should be done outside 3GPP. </w:t>
      </w:r>
      <w:proofErr w:type="gramStart"/>
      <w:r>
        <w:t>A number of</w:t>
      </w:r>
      <w:proofErr w:type="gramEnd"/>
      <w:r>
        <w:t xml:space="preserve">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 xml:space="preserve">The input in the initial phase seems to be more pointing in the direction of not continuing this exercise, </w:t>
            </w:r>
            <w:proofErr w:type="gramStart"/>
            <w:r w:rsidRPr="00E250B8">
              <w:rPr>
                <w:rFonts w:eastAsia="Times New Roman"/>
              </w:rPr>
              <w:t>i.e.</w:t>
            </w:r>
            <w:proofErr w:type="gramEnd"/>
            <w:r w:rsidRPr="00E250B8">
              <w:rPr>
                <w:rFonts w:eastAsia="Times New Roman"/>
              </w:rPr>
              <w:t xml:space="preserv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w:t>
            </w:r>
            <w:proofErr w:type="gramStart"/>
            <w:r w:rsidRPr="00E250B8">
              <w:rPr>
                <w:rFonts w:eastAsia="Times New Roman"/>
              </w:rPr>
              <w:t>also still hold</w:t>
            </w:r>
            <w:proofErr w:type="gramEnd"/>
            <w:r w:rsidRPr="00E250B8">
              <w:rPr>
                <w:rFonts w:eastAsia="Times New Roman"/>
              </w:rPr>
              <w:t>,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 xml:space="preserve">We don’t have a strong view, </w:t>
            </w:r>
            <w:proofErr w:type="gramStart"/>
            <w:r>
              <w:rPr>
                <w:rFonts w:eastAsia="Times New Roman"/>
              </w:rPr>
              <w:t>as long as</w:t>
            </w:r>
            <w:proofErr w:type="gramEnd"/>
            <w:r>
              <w:rPr>
                <w:rFonts w:eastAsia="Times New Roman"/>
              </w:rPr>
              <w:t xml:space="preserve">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Paragraph"/>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Paragraph"/>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Paragraph"/>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Paragraph"/>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Paragraph"/>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Paragraph"/>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Paragraph"/>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Paragraph"/>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Paragraph"/>
              <w:numPr>
                <w:ilvl w:val="0"/>
                <w:numId w:val="20"/>
              </w:numPr>
              <w:rPr>
                <w:lang w:eastAsia="zh-CN"/>
              </w:rPr>
            </w:pPr>
            <w:r>
              <w:rPr>
                <w:lang w:eastAsia="zh-CN"/>
              </w:rPr>
              <w:t xml:space="preserve">Approval and discussion in RAN level </w:t>
            </w:r>
            <w:proofErr w:type="gramStart"/>
            <w:r>
              <w:rPr>
                <w:lang w:eastAsia="zh-CN"/>
              </w:rPr>
              <w:t>is</w:t>
            </w:r>
            <w:proofErr w:type="gramEnd"/>
            <w:r>
              <w:rPr>
                <w:lang w:eastAsia="zh-CN"/>
              </w:rPr>
              <w:t xml:space="preserve">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Paragraph"/>
              <w:numPr>
                <w:ilvl w:val="0"/>
                <w:numId w:val="21"/>
              </w:numPr>
              <w:rPr>
                <w:lang w:eastAsia="zh-CN"/>
              </w:rPr>
            </w:pPr>
            <w:r>
              <w:rPr>
                <w:lang w:eastAsia="zh-CN"/>
              </w:rPr>
              <w:t>We prefer 38.306.</w:t>
            </w:r>
          </w:p>
          <w:p w14:paraId="676F6581" w14:textId="77777777" w:rsidR="007A7527" w:rsidRDefault="007A7527" w:rsidP="007A7527">
            <w:pPr>
              <w:pStyle w:val="ListParagraph"/>
              <w:numPr>
                <w:ilvl w:val="0"/>
                <w:numId w:val="21"/>
              </w:numPr>
              <w:rPr>
                <w:lang w:eastAsia="zh-CN"/>
              </w:rPr>
            </w:pPr>
            <w:r>
              <w:rPr>
                <w:lang w:eastAsia="zh-CN"/>
              </w:rPr>
              <w:t xml:space="preserve">We think it is useful to be specific on which capabilities are for latency and which are for reliability, but we can also go step by step </w:t>
            </w:r>
            <w:proofErr w:type="gramStart"/>
            <w:r>
              <w:rPr>
                <w:lang w:eastAsia="zh-CN"/>
              </w:rPr>
              <w:t>as long as</w:t>
            </w:r>
            <w:proofErr w:type="gramEnd"/>
            <w:r>
              <w:rPr>
                <w:lang w:eastAsia="zh-CN"/>
              </w:rPr>
              <w:t xml:space="preserve"> this can be discussed in future meetings.</w:t>
            </w:r>
          </w:p>
          <w:p w14:paraId="5815D17F" w14:textId="3795FC2D" w:rsidR="007A7527" w:rsidRDefault="007A7527" w:rsidP="007A7527">
            <w:pPr>
              <w:pStyle w:val="ListParagraph"/>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 xml:space="preserve">We can accept the way forward only if </w:t>
            </w:r>
            <w:proofErr w:type="gramStart"/>
            <w:r>
              <w:rPr>
                <w:rFonts w:eastAsia="MS Mincho"/>
              </w:rPr>
              <w:t>all of</w:t>
            </w:r>
            <w:proofErr w:type="gramEnd"/>
            <w:r>
              <w:rPr>
                <w:rFonts w:eastAsia="MS Mincho"/>
              </w:rPr>
              <w:t xml:space="preserve"> the work is finished in this meeting. We don’t see any value to continue this discussion in 3GPP for multiple meetings.</w:t>
            </w:r>
          </w:p>
          <w:p w14:paraId="477AD5E1" w14:textId="77777777" w:rsidR="00A10027" w:rsidRDefault="00A10027" w:rsidP="00A10027">
            <w:pPr>
              <w:pStyle w:val="ListParagraph"/>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Paragraph"/>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Paragraph"/>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Paragraph"/>
              <w:numPr>
                <w:ilvl w:val="0"/>
                <w:numId w:val="23"/>
              </w:numPr>
              <w:rPr>
                <w:lang w:eastAsia="zh-CN"/>
              </w:rPr>
            </w:pPr>
            <w:r>
              <w:rPr>
                <w:rFonts w:hint="eastAsia"/>
                <w:lang w:eastAsia="zh-CN"/>
              </w:rPr>
              <w:t>We prefer TS38.822</w:t>
            </w:r>
          </w:p>
          <w:p w14:paraId="1BF088C9" w14:textId="77777777" w:rsidR="003645F7" w:rsidRDefault="003645F7" w:rsidP="003645F7">
            <w:pPr>
              <w:pStyle w:val="ListParagraph"/>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Paragraph"/>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proofErr w:type="gramStart"/>
            <w:r w:rsidR="00CF3245">
              <w:rPr>
                <w:lang w:eastAsia="zh-CN"/>
              </w:rPr>
              <w:t>views</w:t>
            </w:r>
            <w:r w:rsidR="00CF3245" w:rsidRPr="00CF3245">
              <w:rPr>
                <w:lang w:eastAsia="zh-CN"/>
              </w:rPr>
              <w:t xml:space="preserve">, </w:t>
            </w:r>
            <w:r w:rsidR="00CF3245">
              <w:rPr>
                <w:lang w:eastAsia="zh-CN"/>
              </w:rPr>
              <w:t>but</w:t>
            </w:r>
            <w:proofErr w:type="gramEnd"/>
            <w:r w:rsidR="00CF3245">
              <w:rPr>
                <w:lang w:eastAsia="zh-CN"/>
              </w:rPr>
              <w:t xml:space="preserve">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Heading2"/>
      </w:pPr>
      <w:r>
        <w:t>Final Round</w:t>
      </w:r>
    </w:p>
    <w:p w14:paraId="17549561" w14:textId="3D4DEBD5" w:rsidR="008757EA" w:rsidRDefault="00C7667A" w:rsidP="008757EA">
      <w:pPr>
        <w:pStyle w:val="Heading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Paragraph"/>
        <w:numPr>
          <w:ilvl w:val="0"/>
          <w:numId w:val="10"/>
        </w:numPr>
      </w:pPr>
      <w:r>
        <w:t>Capture the Rel-15 UE capabilities relevant for URLLC operation</w:t>
      </w:r>
    </w:p>
    <w:p w14:paraId="1FB0B636" w14:textId="15476DDD" w:rsidR="000E771E" w:rsidRDefault="00747B5F" w:rsidP="000E771E">
      <w:pPr>
        <w:pStyle w:val="ListParagraph"/>
        <w:numPr>
          <w:ilvl w:val="0"/>
          <w:numId w:val="10"/>
        </w:numPr>
      </w:pPr>
      <w:r>
        <w:lastRenderedPageBreak/>
        <w:t>CR is to be approved at current TSG RAN</w:t>
      </w:r>
    </w:p>
    <w:p w14:paraId="704E76AC" w14:textId="50BF4072" w:rsidR="00681325" w:rsidRDefault="00681325" w:rsidP="000E771E">
      <w:pPr>
        <w:pStyle w:val="ListParagraph"/>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Paragraph"/>
      </w:pPr>
      <w:r>
        <w:t xml:space="preserve">Whether we need to capture limitations or conditions in order to make this way forward fully acceptable, </w:t>
      </w:r>
      <w:proofErr w:type="gramStart"/>
      <w:r>
        <w:t>e.g.</w:t>
      </w:r>
      <w:proofErr w:type="gramEnd"/>
      <w:r>
        <w:t xml:space="preserve"> whether we expect no further modifications, for URLLC or for other use cases. </w:t>
      </w:r>
      <w:r w:rsidR="003E6F29">
        <w:t xml:space="preserve"> </w:t>
      </w:r>
    </w:p>
    <w:p w14:paraId="71003EA0" w14:textId="77777777" w:rsidR="003F7DA2" w:rsidRDefault="003F7DA2" w:rsidP="003F7DA2">
      <w:pPr>
        <w:pStyle w:val="ListParagraph"/>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w:t>
      </w:r>
      <w:proofErr w:type="gramStart"/>
      <w:r w:rsidR="000A3675">
        <w:t>e.g.</w:t>
      </w:r>
      <w:proofErr w:type="gramEnd"/>
      <w:r w:rsidR="000A3675">
        <w:t xml:space="preserve">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 xml:space="preserve">We think in RAN#92e there is no consensus on whether to introduce UE profiles or categories, and we understand from RAN#93e discussion this is </w:t>
            </w:r>
            <w:proofErr w:type="gramStart"/>
            <w:r>
              <w:rPr>
                <w:lang w:eastAsia="zh-CN"/>
              </w:rPr>
              <w:t>still kept</w:t>
            </w:r>
            <w:proofErr w:type="gramEnd"/>
            <w:r>
              <w:rPr>
                <w:lang w:eastAsia="zh-CN"/>
              </w:rPr>
              <w:t xml:space="preserve">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ListParagraph"/>
              <w:numPr>
                <w:ilvl w:val="0"/>
                <w:numId w:val="10"/>
              </w:numPr>
            </w:pPr>
            <w:r>
              <w:t>Capture the Rel-15 UE capabilities relevant for URLLC operation</w:t>
            </w:r>
          </w:p>
          <w:p w14:paraId="78512BEF" w14:textId="77777777" w:rsidR="00367411" w:rsidRDefault="00367411" w:rsidP="00367411">
            <w:pPr>
              <w:pStyle w:val="ListParagraph"/>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 xml:space="preserve">Having said above, we disagree that this is a one-shot exercise without any potential updates allowed in the future, and we thus request the CR be postponed </w:t>
            </w:r>
            <w:proofErr w:type="gramStart"/>
            <w:r>
              <w:rPr>
                <w:lang w:eastAsia="zh-CN"/>
              </w:rPr>
              <w:t>to allow</w:t>
            </w:r>
            <w:proofErr w:type="gramEnd"/>
            <w:r>
              <w:rPr>
                <w:lang w:eastAsia="zh-CN"/>
              </w:rPr>
              <w:t xml:space="preserve">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w:t>
            </w:r>
            <w:proofErr w:type="gramStart"/>
            <w:r w:rsidR="008626A1">
              <w:t>e.g.</w:t>
            </w:r>
            <w:proofErr w:type="gramEnd"/>
            <w:r w:rsidR="008626A1">
              <w:t xml:space="preserve">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ListParagraph"/>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ListParagraph"/>
              <w:numPr>
                <w:ilvl w:val="0"/>
                <w:numId w:val="10"/>
              </w:numPr>
            </w:pPr>
            <w:r>
              <w:lastRenderedPageBreak/>
              <w:t>CR is to be approved at current TSG RAN</w:t>
            </w:r>
          </w:p>
          <w:p w14:paraId="18818812" w14:textId="77777777" w:rsidR="00296F06" w:rsidRDefault="00100EDD" w:rsidP="005709B1">
            <w:pPr>
              <w:pStyle w:val="ListParagraph"/>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w:t>
            </w:r>
            <w:proofErr w:type="gramStart"/>
            <w:r w:rsidR="002066AC">
              <w:rPr>
                <w:rFonts w:eastAsia="MS Mincho"/>
              </w:rPr>
              <w:t>current status</w:t>
            </w:r>
            <w:proofErr w:type="gramEnd"/>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w:t>
            </w:r>
            <w:proofErr w:type="gramStart"/>
            <w:r>
              <w:rPr>
                <w:lang w:eastAsia="zh-CN"/>
              </w:rPr>
              <w:t>addition</w:t>
            </w:r>
            <w:proofErr w:type="gramEnd"/>
            <w:r>
              <w:rPr>
                <w:lang w:eastAsia="zh-CN"/>
              </w:rPr>
              <w:t xml:space="preserve">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EA1079" w14:paraId="4934F9AD" w14:textId="77777777" w:rsidTr="005709B1">
        <w:tc>
          <w:tcPr>
            <w:tcW w:w="1364" w:type="dxa"/>
          </w:tcPr>
          <w:p w14:paraId="5B8B5F76" w14:textId="6F6DC2B0" w:rsidR="00EA1079" w:rsidRDefault="00EA1079" w:rsidP="00EA1079">
            <w:r>
              <w:rPr>
                <w:rFonts w:hint="eastAsia"/>
                <w:lang w:eastAsia="zh-CN"/>
              </w:rPr>
              <w:t>v</w:t>
            </w:r>
            <w:r>
              <w:rPr>
                <w:lang w:eastAsia="zh-CN"/>
              </w:rPr>
              <w:t>ivo</w:t>
            </w:r>
          </w:p>
        </w:tc>
        <w:tc>
          <w:tcPr>
            <w:tcW w:w="1421" w:type="dxa"/>
          </w:tcPr>
          <w:p w14:paraId="0CDA0A10" w14:textId="60D2CC34" w:rsidR="00EA1079" w:rsidRDefault="00EA1079" w:rsidP="00EA1079">
            <w:r>
              <w:rPr>
                <w:lang w:eastAsia="zh-CN"/>
              </w:rPr>
              <w:t>No</w:t>
            </w:r>
          </w:p>
        </w:tc>
        <w:tc>
          <w:tcPr>
            <w:tcW w:w="6277" w:type="dxa"/>
          </w:tcPr>
          <w:p w14:paraId="11F0C0E2" w14:textId="77777777" w:rsidR="00EA1079" w:rsidRDefault="00EA1079" w:rsidP="00EA1079">
            <w:pPr>
              <w:rPr>
                <w:lang w:eastAsia="zh-CN"/>
              </w:rPr>
            </w:pPr>
            <w:r>
              <w:rPr>
                <w:rFonts w:hint="eastAsia"/>
                <w:lang w:eastAsia="zh-CN"/>
              </w:rPr>
              <w:t>W</w:t>
            </w:r>
            <w:r>
              <w:rPr>
                <w:lang w:eastAsia="zh-CN"/>
              </w:rPr>
              <w:t>e tend to agree with Huawei that this is the first time to list the URLLC specific features, so we should not preclude some further critical modification (if any, but not some kind of minor change.)</w:t>
            </w:r>
          </w:p>
          <w:p w14:paraId="32AA4565" w14:textId="5C245758" w:rsidR="00EA1079" w:rsidRDefault="00EA1079" w:rsidP="00EA1079">
            <w:r>
              <w:rPr>
                <w:lang w:eastAsia="zh-CN"/>
              </w:rPr>
              <w:t xml:space="preserve">Qualcomm’s WF is also acceptable for us if majority companies agree it. </w:t>
            </w:r>
          </w:p>
        </w:tc>
      </w:tr>
      <w:tr w:rsidR="0062431C" w14:paraId="159721F3" w14:textId="77777777" w:rsidTr="005709B1">
        <w:tc>
          <w:tcPr>
            <w:tcW w:w="1364" w:type="dxa"/>
          </w:tcPr>
          <w:p w14:paraId="105B2E5A" w14:textId="22ED67A8" w:rsidR="0062431C" w:rsidRDefault="0062431C" w:rsidP="0062431C">
            <w:pPr>
              <w:rPr>
                <w:rFonts w:eastAsia="MS Mincho"/>
              </w:rPr>
            </w:pPr>
            <w:r w:rsidRPr="00B82494">
              <w:t>Ericsson</w:t>
            </w:r>
          </w:p>
        </w:tc>
        <w:tc>
          <w:tcPr>
            <w:tcW w:w="1421" w:type="dxa"/>
          </w:tcPr>
          <w:p w14:paraId="150DF7A2" w14:textId="08AE4E5C" w:rsidR="0062431C" w:rsidRDefault="0062431C" w:rsidP="0062431C">
            <w:pPr>
              <w:rPr>
                <w:rFonts w:eastAsia="MS Mincho"/>
              </w:rPr>
            </w:pPr>
            <w:r w:rsidRPr="00B82494">
              <w:t>Yes</w:t>
            </w:r>
          </w:p>
        </w:tc>
        <w:tc>
          <w:tcPr>
            <w:tcW w:w="6277" w:type="dxa"/>
          </w:tcPr>
          <w:p w14:paraId="68B59BD2" w14:textId="15745C0E" w:rsidR="0062431C" w:rsidRDefault="0062431C" w:rsidP="0062431C">
            <w:r w:rsidRPr="00B82494">
              <w:t>We hope that this does not turn in to a</w:t>
            </w:r>
            <w:r>
              <w:t>n</w:t>
            </w:r>
            <w:r w:rsidRPr="00B82494">
              <w:t xml:space="preserve"> exercise RAN plenary/WGs need to repeat in the future for other use cases (</w:t>
            </w:r>
            <w:r w:rsidR="005C1C6A" w:rsidRPr="00B82494">
              <w:t>i.e.,</w:t>
            </w:r>
            <w:r w:rsidRPr="00B82494">
              <w:t xml:space="preserve"> other than URLLC). This is a one-time-thing we do for URLLC only.</w:t>
            </w:r>
          </w:p>
          <w:p w14:paraId="53E1B986" w14:textId="75914C91" w:rsidR="0062431C" w:rsidRDefault="0062431C" w:rsidP="0062431C">
            <w:pPr>
              <w:rPr>
                <w:rFonts w:eastAsia="MS Mincho"/>
              </w:rPr>
            </w:pPr>
            <w:r>
              <w:t>We have detailed comments on the CR. It is questionable if we will be able to finalize the CR in this meeting though.</w:t>
            </w:r>
          </w:p>
        </w:tc>
      </w:tr>
      <w:tr w:rsidR="00EA1079" w14:paraId="2FF1269B" w14:textId="77777777" w:rsidTr="005709B1">
        <w:tc>
          <w:tcPr>
            <w:tcW w:w="1364" w:type="dxa"/>
          </w:tcPr>
          <w:p w14:paraId="61FE19B4" w14:textId="1C23181B" w:rsidR="00EA1079" w:rsidRDefault="00EA1079" w:rsidP="00EA1079">
            <w:pPr>
              <w:rPr>
                <w:lang w:eastAsia="zh-CN"/>
              </w:rPr>
            </w:pPr>
          </w:p>
        </w:tc>
        <w:tc>
          <w:tcPr>
            <w:tcW w:w="1421" w:type="dxa"/>
          </w:tcPr>
          <w:p w14:paraId="6C2CF198" w14:textId="77777777" w:rsidR="00EA1079" w:rsidRDefault="00EA1079" w:rsidP="00EA1079">
            <w:pPr>
              <w:rPr>
                <w:lang w:eastAsia="zh-CN"/>
              </w:rPr>
            </w:pPr>
          </w:p>
        </w:tc>
        <w:tc>
          <w:tcPr>
            <w:tcW w:w="6277" w:type="dxa"/>
          </w:tcPr>
          <w:p w14:paraId="133D40F1" w14:textId="66CB30FC" w:rsidR="00EA1079" w:rsidRDefault="00EA1079" w:rsidP="00EA1079">
            <w:pPr>
              <w:rPr>
                <w:lang w:eastAsia="zh-CN"/>
              </w:rPr>
            </w:pPr>
          </w:p>
        </w:tc>
      </w:tr>
      <w:tr w:rsidR="00EA1079" w14:paraId="034F50B0" w14:textId="77777777" w:rsidTr="005709B1">
        <w:tc>
          <w:tcPr>
            <w:tcW w:w="1364" w:type="dxa"/>
          </w:tcPr>
          <w:p w14:paraId="5162E5F8" w14:textId="07FC9FF7" w:rsidR="00EA1079" w:rsidRDefault="00EA1079" w:rsidP="00EA1079">
            <w:pPr>
              <w:rPr>
                <w:lang w:eastAsia="zh-CN"/>
              </w:rPr>
            </w:pPr>
          </w:p>
        </w:tc>
        <w:tc>
          <w:tcPr>
            <w:tcW w:w="1421" w:type="dxa"/>
          </w:tcPr>
          <w:p w14:paraId="5A1D36E1" w14:textId="56E0C544" w:rsidR="00EA1079" w:rsidRDefault="00EA1079" w:rsidP="00EA1079">
            <w:pPr>
              <w:rPr>
                <w:lang w:eastAsia="zh-CN"/>
              </w:rPr>
            </w:pPr>
          </w:p>
        </w:tc>
        <w:tc>
          <w:tcPr>
            <w:tcW w:w="6277" w:type="dxa"/>
          </w:tcPr>
          <w:p w14:paraId="2DCF4323" w14:textId="09608526" w:rsidR="00EA1079" w:rsidRDefault="00EA1079" w:rsidP="00EA1079">
            <w:pPr>
              <w:rPr>
                <w:lang w:eastAsia="zh-CN"/>
              </w:rPr>
            </w:pPr>
          </w:p>
        </w:tc>
      </w:tr>
      <w:tr w:rsidR="00EA1079" w14:paraId="2B685FE6" w14:textId="77777777" w:rsidTr="005709B1">
        <w:tc>
          <w:tcPr>
            <w:tcW w:w="1364" w:type="dxa"/>
          </w:tcPr>
          <w:p w14:paraId="14D7218B" w14:textId="77777777" w:rsidR="00EA1079" w:rsidRDefault="00EA1079" w:rsidP="00EA1079"/>
        </w:tc>
        <w:tc>
          <w:tcPr>
            <w:tcW w:w="1421" w:type="dxa"/>
          </w:tcPr>
          <w:p w14:paraId="1C2E8E6B" w14:textId="77777777" w:rsidR="00EA1079" w:rsidRDefault="00EA1079" w:rsidP="00EA1079"/>
        </w:tc>
        <w:tc>
          <w:tcPr>
            <w:tcW w:w="6277" w:type="dxa"/>
          </w:tcPr>
          <w:p w14:paraId="411A5CD6" w14:textId="77777777" w:rsidR="00EA1079" w:rsidRDefault="00EA1079" w:rsidP="00EA1079"/>
        </w:tc>
      </w:tr>
      <w:tr w:rsidR="00EA1079" w14:paraId="209E244E" w14:textId="77777777" w:rsidTr="005709B1">
        <w:tc>
          <w:tcPr>
            <w:tcW w:w="1364" w:type="dxa"/>
          </w:tcPr>
          <w:p w14:paraId="5E33D272" w14:textId="77777777" w:rsidR="00EA1079" w:rsidRPr="00CD4571" w:rsidRDefault="00EA1079" w:rsidP="00EA1079"/>
        </w:tc>
        <w:tc>
          <w:tcPr>
            <w:tcW w:w="1421" w:type="dxa"/>
          </w:tcPr>
          <w:p w14:paraId="051D3BBB" w14:textId="77777777" w:rsidR="00EA1079" w:rsidRPr="00CD4571" w:rsidRDefault="00EA1079" w:rsidP="00EA1079"/>
        </w:tc>
        <w:tc>
          <w:tcPr>
            <w:tcW w:w="6277" w:type="dxa"/>
          </w:tcPr>
          <w:p w14:paraId="4D892004" w14:textId="77777777" w:rsidR="00EA1079" w:rsidRDefault="00EA1079" w:rsidP="00EA1079"/>
        </w:tc>
      </w:tr>
      <w:tr w:rsidR="00EA1079"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EA1079" w:rsidRDefault="00EA1079" w:rsidP="00EA1079">
            <w:pPr>
              <w:rPr>
                <w:lang w:eastAsia="zh-CN"/>
              </w:rPr>
            </w:pPr>
          </w:p>
        </w:tc>
      </w:tr>
      <w:tr w:rsidR="00EA1079"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EA1079" w:rsidRDefault="00EA1079" w:rsidP="00EA1079">
            <w:pPr>
              <w:rPr>
                <w:lang w:eastAsia="zh-CN"/>
              </w:rPr>
            </w:pPr>
          </w:p>
        </w:tc>
      </w:tr>
      <w:tr w:rsidR="00EA1079"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EA1079" w:rsidRDefault="00EA1079" w:rsidP="00EA1079">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Heading1"/>
      </w:pPr>
      <w:r w:rsidRPr="00CA1809">
        <w:lastRenderedPageBreak/>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w:t>
      </w:r>
      <w:proofErr w:type="gramStart"/>
      <w:r>
        <w:rPr>
          <w:color w:val="000000"/>
        </w:rPr>
        <w:t>i.e.</w:t>
      </w:r>
      <w:proofErr w:type="gramEnd"/>
      <w:r>
        <w:rPr>
          <w:color w:val="000000"/>
        </w:rPr>
        <w:t xml:space="preserv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w:t>
            </w:r>
            <w:proofErr w:type="gramStart"/>
            <w:r>
              <w:rPr>
                <w:lang w:eastAsia="zh-CN"/>
              </w:rPr>
              <w:t>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lastRenderedPageBreak/>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 xml:space="preserve">suggest </w:t>
            </w:r>
            <w:proofErr w:type="gramStart"/>
            <w:r w:rsidRPr="003567F8">
              <w:rPr>
                <w:lang w:eastAsia="zh-CN"/>
              </w:rPr>
              <w:t>to leave</w:t>
            </w:r>
            <w:proofErr w:type="gramEnd"/>
            <w:r w:rsidRPr="003567F8">
              <w:rPr>
                <w:lang w:eastAsia="zh-CN"/>
              </w:rPr>
              <w:t xml:space="preser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lastRenderedPageBreak/>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19283" w14:textId="77777777" w:rsidR="00BF4910" w:rsidRDefault="00BF4910" w:rsidP="000274E9">
      <w:pPr>
        <w:spacing w:after="0"/>
      </w:pPr>
      <w:r>
        <w:separator/>
      </w:r>
    </w:p>
  </w:endnote>
  <w:endnote w:type="continuationSeparator" w:id="0">
    <w:p w14:paraId="10B3860C" w14:textId="77777777" w:rsidR="00BF4910" w:rsidRDefault="00BF4910"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6E001" w14:textId="77777777" w:rsidR="00BF4910" w:rsidRDefault="00BF4910" w:rsidP="000274E9">
      <w:pPr>
        <w:spacing w:after="0"/>
      </w:pPr>
      <w:r>
        <w:separator/>
      </w:r>
    </w:p>
  </w:footnote>
  <w:footnote w:type="continuationSeparator" w:id="0">
    <w:p w14:paraId="69C9EE98" w14:textId="77777777" w:rsidR="00BF4910" w:rsidRDefault="00BF4910"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1B6D"/>
    <w:rsid w:val="00100216"/>
    <w:rsid w:val="00100EDD"/>
    <w:rsid w:val="00101827"/>
    <w:rsid w:val="00103FD0"/>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4709B"/>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1C6A"/>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431C"/>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2F6C"/>
    <w:rsid w:val="00AD4A71"/>
    <w:rsid w:val="00AD4DB4"/>
    <w:rsid w:val="00AE7400"/>
    <w:rsid w:val="00AE7B7A"/>
    <w:rsid w:val="00AF024E"/>
    <w:rsid w:val="00AF15F4"/>
    <w:rsid w:val="00AF206A"/>
    <w:rsid w:val="00B06A81"/>
    <w:rsid w:val="00B15E36"/>
    <w:rsid w:val="00B166A3"/>
    <w:rsid w:val="00B16B1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4910"/>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1E07"/>
    <w:rsid w:val="00CD26F7"/>
    <w:rsid w:val="00CD4571"/>
    <w:rsid w:val="00CD5245"/>
    <w:rsid w:val="00CD79A7"/>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1079"/>
    <w:rsid w:val="00EA3ACC"/>
    <w:rsid w:val="00EA61C0"/>
    <w:rsid w:val="00EA6892"/>
    <w:rsid w:val="00EA690F"/>
    <w:rsid w:val="00EB33E3"/>
    <w:rsid w:val="00EB5529"/>
    <w:rsid w:val="00EC1807"/>
    <w:rsid w:val="00EC7B1F"/>
    <w:rsid w:val="00ED2C1E"/>
    <w:rsid w:val="00ED31AB"/>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customStyle="1" w:styleId="1">
    <w:name w:val="未解決のメンション1"/>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5018</Words>
  <Characters>25392</Characters>
  <Application>Microsoft Office Word</Application>
  <DocSecurity>0</DocSecurity>
  <Lines>819</Lines>
  <Paragraphs>416</Paragraphs>
  <ScaleCrop>false</ScaleCrop>
  <HeadingPairs>
    <vt:vector size="10" baseType="variant">
      <vt:variant>
        <vt:lpstr>タイトル</vt:lpstr>
      </vt:variant>
      <vt:variant>
        <vt:i4>1</vt:i4>
      </vt:variant>
      <vt:variant>
        <vt:lpstr>Rubrik</vt:lpstr>
      </vt:variant>
      <vt:variant>
        <vt:i4>1</vt:i4>
      </vt:variant>
      <vt:variant>
        <vt:lpstr>제목</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29994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Ericsson</cp:lastModifiedBy>
  <cp:revision>11</cp:revision>
  <dcterms:created xsi:type="dcterms:W3CDTF">2021-09-16T07:05:00Z</dcterms:created>
  <dcterms:modified xsi:type="dcterms:W3CDTF">2021-09-16T08:08:00Z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