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CD79A7" w:rsidP="00BF428D">
            <w:pPr>
              <w:pStyle w:val="TAL"/>
              <w:rPr>
                <w:rFonts w:eastAsia="宋体"/>
                <w:lang w:eastAsia="zh-CN"/>
              </w:rPr>
            </w:pPr>
            <w:hyperlink r:id="rId10" w:history="1">
              <w:r w:rsidR="00617CA5"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CD79A7"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CD79A7"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宋体"/>
                <w:lang w:eastAsia="zh-CN"/>
              </w:rPr>
            </w:pPr>
            <w:r>
              <w:rPr>
                <w:rFonts w:eastAsia="宋体" w:hint="eastAsia"/>
                <w:lang w:eastAsia="zh-CN"/>
              </w:rPr>
              <w:t>CATT</w:t>
            </w:r>
          </w:p>
        </w:tc>
        <w:tc>
          <w:tcPr>
            <w:tcW w:w="7415" w:type="dxa"/>
          </w:tcPr>
          <w:p w14:paraId="04E0A976" w14:textId="666E191E" w:rsidR="00CC5EEE" w:rsidRPr="009B35DC" w:rsidRDefault="009B35DC" w:rsidP="00CC5EEE">
            <w:pPr>
              <w:pStyle w:val="TAL"/>
              <w:rPr>
                <w:rFonts w:eastAsia="宋体"/>
                <w:lang w:eastAsia="zh-CN"/>
              </w:rPr>
            </w:pPr>
            <w:r>
              <w:rPr>
                <w:rFonts w:eastAsia="宋体"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宋体"/>
                <w:lang w:eastAsia="zh-CN"/>
              </w:rPr>
            </w:pPr>
            <w:r>
              <w:rPr>
                <w:rFonts w:eastAsia="宋体" w:hint="eastAsia"/>
                <w:lang w:eastAsia="zh-CN"/>
              </w:rPr>
              <w:t>C</w:t>
            </w:r>
            <w:r>
              <w:rPr>
                <w:rFonts w:eastAsia="宋体"/>
                <w:lang w:eastAsia="zh-CN"/>
              </w:rPr>
              <w:t>MCC</w:t>
            </w:r>
          </w:p>
        </w:tc>
        <w:tc>
          <w:tcPr>
            <w:tcW w:w="7415" w:type="dxa"/>
          </w:tcPr>
          <w:p w14:paraId="07E99537" w14:textId="66FBE32F" w:rsidR="00EA61C0" w:rsidRDefault="00EA61C0" w:rsidP="00CC5EEE">
            <w:pPr>
              <w:pStyle w:val="TAL"/>
              <w:rPr>
                <w:rFonts w:eastAsia="宋体"/>
                <w:lang w:eastAsia="zh-CN"/>
              </w:rPr>
            </w:pPr>
            <w:r>
              <w:rPr>
                <w:rFonts w:eastAsia="宋体" w:hint="eastAsia"/>
                <w:lang w:eastAsia="zh-CN"/>
              </w:rPr>
              <w:t>c</w:t>
            </w:r>
            <w:r>
              <w:rPr>
                <w:rFonts w:eastAsia="宋体"/>
                <w:lang w:eastAsia="zh-CN"/>
              </w:rPr>
              <w:t>henningyu@chinamobile.com</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lastRenderedPageBreak/>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EA1079" w14:paraId="159721F3" w14:textId="77777777" w:rsidTr="005709B1">
        <w:tc>
          <w:tcPr>
            <w:tcW w:w="1364" w:type="dxa"/>
          </w:tcPr>
          <w:p w14:paraId="105B2E5A" w14:textId="023282A9" w:rsidR="00EA1079" w:rsidRDefault="00EA1079" w:rsidP="00EA1079">
            <w:pPr>
              <w:rPr>
                <w:rFonts w:eastAsia="MS Mincho"/>
              </w:rPr>
            </w:pPr>
          </w:p>
        </w:tc>
        <w:tc>
          <w:tcPr>
            <w:tcW w:w="1421" w:type="dxa"/>
          </w:tcPr>
          <w:p w14:paraId="150DF7A2" w14:textId="70442B00" w:rsidR="00EA1079" w:rsidRDefault="00EA1079" w:rsidP="00EA1079">
            <w:pPr>
              <w:rPr>
                <w:rFonts w:eastAsia="MS Mincho"/>
              </w:rPr>
            </w:pPr>
          </w:p>
        </w:tc>
        <w:tc>
          <w:tcPr>
            <w:tcW w:w="6277" w:type="dxa"/>
          </w:tcPr>
          <w:p w14:paraId="53E1B986" w14:textId="665BF147" w:rsidR="00EA1079" w:rsidRDefault="00EA1079" w:rsidP="00EA1079">
            <w:pPr>
              <w:rPr>
                <w:rFonts w:eastAsia="MS Mincho"/>
              </w:rPr>
            </w:pPr>
          </w:p>
        </w:tc>
      </w:tr>
      <w:tr w:rsidR="00EA1079" w14:paraId="2FF1269B" w14:textId="77777777" w:rsidTr="005709B1">
        <w:tc>
          <w:tcPr>
            <w:tcW w:w="1364" w:type="dxa"/>
          </w:tcPr>
          <w:p w14:paraId="61FE19B4" w14:textId="1C23181B" w:rsidR="00EA1079" w:rsidRDefault="00EA1079" w:rsidP="00EA1079">
            <w:pPr>
              <w:rPr>
                <w:lang w:eastAsia="zh-CN"/>
              </w:rPr>
            </w:pPr>
          </w:p>
        </w:tc>
        <w:tc>
          <w:tcPr>
            <w:tcW w:w="1421" w:type="dxa"/>
          </w:tcPr>
          <w:p w14:paraId="6C2CF198" w14:textId="77777777" w:rsidR="00EA1079" w:rsidRDefault="00EA1079" w:rsidP="00EA1079">
            <w:pPr>
              <w:rPr>
                <w:lang w:eastAsia="zh-CN"/>
              </w:rPr>
            </w:pPr>
          </w:p>
        </w:tc>
        <w:tc>
          <w:tcPr>
            <w:tcW w:w="6277" w:type="dxa"/>
          </w:tcPr>
          <w:p w14:paraId="133D40F1" w14:textId="66CB30FC" w:rsidR="00EA1079" w:rsidRDefault="00EA1079" w:rsidP="00EA1079">
            <w:pPr>
              <w:rPr>
                <w:lang w:eastAsia="zh-CN"/>
              </w:rPr>
            </w:pPr>
          </w:p>
        </w:tc>
      </w:tr>
      <w:tr w:rsidR="00EA1079" w14:paraId="034F50B0" w14:textId="77777777" w:rsidTr="005709B1">
        <w:tc>
          <w:tcPr>
            <w:tcW w:w="1364" w:type="dxa"/>
          </w:tcPr>
          <w:p w14:paraId="5162E5F8" w14:textId="07FC9FF7" w:rsidR="00EA1079" w:rsidRDefault="00EA1079" w:rsidP="00EA1079">
            <w:pPr>
              <w:rPr>
                <w:lang w:eastAsia="zh-CN"/>
              </w:rPr>
            </w:pPr>
          </w:p>
        </w:tc>
        <w:tc>
          <w:tcPr>
            <w:tcW w:w="1421" w:type="dxa"/>
          </w:tcPr>
          <w:p w14:paraId="5A1D36E1" w14:textId="56E0C544" w:rsidR="00EA1079" w:rsidRDefault="00EA1079" w:rsidP="00EA1079">
            <w:pPr>
              <w:rPr>
                <w:lang w:eastAsia="zh-CN"/>
              </w:rPr>
            </w:pPr>
          </w:p>
        </w:tc>
        <w:tc>
          <w:tcPr>
            <w:tcW w:w="6277" w:type="dxa"/>
          </w:tcPr>
          <w:p w14:paraId="2DCF4323" w14:textId="09608526" w:rsidR="00EA1079" w:rsidRDefault="00EA1079" w:rsidP="00EA1079">
            <w:pPr>
              <w:rPr>
                <w:lang w:eastAsia="zh-CN"/>
              </w:rPr>
            </w:pPr>
          </w:p>
        </w:tc>
      </w:tr>
      <w:tr w:rsidR="00EA1079" w14:paraId="2B685FE6" w14:textId="77777777" w:rsidTr="005709B1">
        <w:tc>
          <w:tcPr>
            <w:tcW w:w="1364" w:type="dxa"/>
          </w:tcPr>
          <w:p w14:paraId="14D7218B" w14:textId="77777777" w:rsidR="00EA1079" w:rsidRDefault="00EA1079" w:rsidP="00EA1079"/>
        </w:tc>
        <w:tc>
          <w:tcPr>
            <w:tcW w:w="1421" w:type="dxa"/>
          </w:tcPr>
          <w:p w14:paraId="1C2E8E6B" w14:textId="77777777" w:rsidR="00EA1079" w:rsidRDefault="00EA1079" w:rsidP="00EA1079"/>
        </w:tc>
        <w:tc>
          <w:tcPr>
            <w:tcW w:w="6277" w:type="dxa"/>
          </w:tcPr>
          <w:p w14:paraId="411A5CD6" w14:textId="77777777" w:rsidR="00EA1079" w:rsidRDefault="00EA1079" w:rsidP="00EA1079"/>
        </w:tc>
      </w:tr>
      <w:tr w:rsidR="00EA1079" w14:paraId="209E244E" w14:textId="77777777" w:rsidTr="005709B1">
        <w:tc>
          <w:tcPr>
            <w:tcW w:w="1364" w:type="dxa"/>
          </w:tcPr>
          <w:p w14:paraId="5E33D272" w14:textId="77777777" w:rsidR="00EA1079" w:rsidRPr="00CD4571" w:rsidRDefault="00EA1079" w:rsidP="00EA1079"/>
        </w:tc>
        <w:tc>
          <w:tcPr>
            <w:tcW w:w="1421" w:type="dxa"/>
          </w:tcPr>
          <w:p w14:paraId="051D3BBB" w14:textId="77777777" w:rsidR="00EA1079" w:rsidRPr="00CD4571" w:rsidRDefault="00EA1079" w:rsidP="00EA1079"/>
        </w:tc>
        <w:tc>
          <w:tcPr>
            <w:tcW w:w="6277" w:type="dxa"/>
          </w:tcPr>
          <w:p w14:paraId="4D892004" w14:textId="77777777" w:rsidR="00EA1079" w:rsidRDefault="00EA1079" w:rsidP="00EA1079"/>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C6EA" w14:textId="77777777" w:rsidR="00CD79A7" w:rsidRDefault="00CD79A7" w:rsidP="000274E9">
      <w:pPr>
        <w:spacing w:after="0"/>
      </w:pPr>
      <w:r>
        <w:separator/>
      </w:r>
    </w:p>
  </w:endnote>
  <w:endnote w:type="continuationSeparator" w:id="0">
    <w:p w14:paraId="0EADF1CC" w14:textId="77777777" w:rsidR="00CD79A7" w:rsidRDefault="00CD79A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8C91" w14:textId="77777777" w:rsidR="00CD79A7" w:rsidRDefault="00CD79A7" w:rsidP="000274E9">
      <w:pPr>
        <w:spacing w:after="0"/>
      </w:pPr>
      <w:r>
        <w:separator/>
      </w:r>
    </w:p>
  </w:footnote>
  <w:footnote w:type="continuationSeparator" w:id="0">
    <w:p w14:paraId="6A0CF9D8" w14:textId="77777777" w:rsidR="00CD79A7" w:rsidRDefault="00CD79A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4491</Words>
  <Characters>25603</Characters>
  <Application>Microsoft Office Word</Application>
  <DocSecurity>0</DocSecurity>
  <Lines>213</Lines>
  <Paragraphs>60</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vivo-Chenli</cp:lastModifiedBy>
  <cp:revision>7</cp:revision>
  <dcterms:created xsi:type="dcterms:W3CDTF">2021-09-16T07:05:00Z</dcterms:created>
  <dcterms:modified xsi:type="dcterms:W3CDTF">2021-09-16T07:55:00Z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