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Rubrik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Rubrik1"/>
      </w:pPr>
      <w:r>
        <w:t>Contacts</w:t>
      </w:r>
    </w:p>
    <w:p w14:paraId="00BB91F2" w14:textId="77777777" w:rsidR="003068B4" w:rsidRDefault="003068B4" w:rsidP="003068B4">
      <w:r>
        <w:t>Please provide a company contact that the email discussion moderator can contact if required.</w:t>
      </w:r>
    </w:p>
    <w:tbl>
      <w:tblPr>
        <w:tblStyle w:val="Tabellrutnt"/>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CD1E07" w:rsidP="00BF428D">
            <w:pPr>
              <w:pStyle w:val="TAL"/>
              <w:rPr>
                <w:rFonts w:eastAsia="SimSun"/>
                <w:lang w:eastAsia="zh-CN"/>
              </w:rPr>
            </w:pPr>
            <w:hyperlink r:id="rId10" w:history="1">
              <w:r w:rsidR="00617CA5" w:rsidRPr="00FE7F17">
                <w:rPr>
                  <w:rStyle w:val="Hyperl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CD1E07" w:rsidP="00CC5EEE">
            <w:pPr>
              <w:pStyle w:val="TAL"/>
            </w:pPr>
            <w:hyperlink r:id="rId11" w:history="1">
              <w:r w:rsidR="00EA3ACC" w:rsidRPr="009C338B">
                <w:rPr>
                  <w:rStyle w:val="Hyperlnk"/>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CD1E07" w:rsidP="00CC5EEE">
            <w:pPr>
              <w:pStyle w:val="TAL"/>
              <w:rPr>
                <w:lang w:eastAsia="zh-CN"/>
              </w:rPr>
            </w:pPr>
            <w:hyperlink r:id="rId12" w:history="1">
              <w:r w:rsidR="00101827" w:rsidRPr="0053302A">
                <w:rPr>
                  <w:rStyle w:val="Hyperlnk"/>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Rubrik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stycke"/>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stycke"/>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stycke"/>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stycke"/>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stycke"/>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stycke"/>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stycke"/>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stycke"/>
        <w:numPr>
          <w:ilvl w:val="2"/>
          <w:numId w:val="10"/>
        </w:numPr>
        <w:snapToGrid w:val="0"/>
        <w:spacing w:after="100" w:afterAutospacing="1"/>
        <w:contextualSpacing w:val="0"/>
        <w:jc w:val="both"/>
      </w:pPr>
      <w:r>
        <w:t>Xxx</w:t>
      </w:r>
    </w:p>
    <w:p w14:paraId="411820FE" w14:textId="77777777" w:rsidR="00296392" w:rsidRDefault="00296392" w:rsidP="00296392">
      <w:pPr>
        <w:pStyle w:val="Liststycke"/>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stycke"/>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Hyperlnk"/>
          </w:rPr>
          <w:t>TR38.822</w:t>
        </w:r>
      </w:hyperlink>
      <w:r>
        <w:t xml:space="preserve"> and suggest to capture the Rel-15 UE capabilities relevant for URLLC operation as an informative annex in TS38.306 (e.g. as illustrated in </w:t>
      </w:r>
      <w:hyperlink r:id="rId14" w:history="1">
        <w:r w:rsidRPr="001A22EF">
          <w:rPr>
            <w:rStyle w:val="Hyperl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Rubrik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Rubrik2"/>
      </w:pPr>
      <w:r>
        <w:t>I</w:t>
      </w:r>
      <w:r w:rsidR="00AA7429">
        <w:t>ntermediate Round</w:t>
      </w:r>
    </w:p>
    <w:p w14:paraId="7C3B9C47" w14:textId="00D0FCC8" w:rsidR="001D497D" w:rsidRDefault="001D497D" w:rsidP="001D497D">
      <w:pPr>
        <w:pStyle w:val="Rubrik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stycke"/>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stycke"/>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stycke"/>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stycke"/>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stycke"/>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stycke"/>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stycke"/>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stycke"/>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stycke"/>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stycke"/>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stycke"/>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stycke"/>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Liststycke"/>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Liststycke"/>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Liststycke"/>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Liststycke"/>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Liststycke"/>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Liststycke"/>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Liststycke"/>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Liststycke"/>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Liststycke"/>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Liststycke"/>
              <w:numPr>
                <w:ilvl w:val="0"/>
                <w:numId w:val="21"/>
              </w:numPr>
              <w:rPr>
                <w:lang w:eastAsia="zh-CN"/>
              </w:rPr>
            </w:pPr>
            <w:r>
              <w:rPr>
                <w:lang w:eastAsia="zh-CN"/>
              </w:rPr>
              <w:t>We prefer 38.306.</w:t>
            </w:r>
          </w:p>
          <w:p w14:paraId="676F6581" w14:textId="77777777" w:rsidR="007A7527" w:rsidRDefault="007A7527" w:rsidP="007A7527">
            <w:pPr>
              <w:pStyle w:val="Liststycke"/>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Liststycke"/>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Liststycke"/>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Liststycke"/>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Liststycke"/>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Liststycke"/>
              <w:numPr>
                <w:ilvl w:val="0"/>
                <w:numId w:val="23"/>
              </w:numPr>
              <w:rPr>
                <w:lang w:eastAsia="zh-CN"/>
              </w:rPr>
            </w:pPr>
            <w:r>
              <w:rPr>
                <w:rFonts w:hint="eastAsia"/>
                <w:lang w:eastAsia="zh-CN"/>
              </w:rPr>
              <w:t>We prefer TS38.822</w:t>
            </w:r>
          </w:p>
          <w:p w14:paraId="1BF088C9" w14:textId="77777777" w:rsidR="003645F7" w:rsidRDefault="003645F7" w:rsidP="003645F7">
            <w:pPr>
              <w:pStyle w:val="Liststycke"/>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Liststycke"/>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Rubrik2"/>
      </w:pPr>
      <w:r>
        <w:t>Final Round</w:t>
      </w:r>
    </w:p>
    <w:p w14:paraId="17549561" w14:textId="3D4DEBD5" w:rsidR="008757EA" w:rsidRDefault="00C7667A" w:rsidP="008757EA">
      <w:pPr>
        <w:pStyle w:val="Rubrik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w:t>
      </w:r>
      <w:r w:rsidR="00723766">
        <w:t xml:space="preserve">RP-212206 </w:t>
      </w:r>
      <w:r w:rsidR="00723766">
        <w:t xml:space="preserve">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Liststycke"/>
        <w:numPr>
          <w:ilvl w:val="0"/>
          <w:numId w:val="10"/>
        </w:numPr>
      </w:pPr>
      <w:r>
        <w:t>Capture the Rel-15 UE capabilities relevant for URLLC operation</w:t>
      </w:r>
    </w:p>
    <w:p w14:paraId="1FB0B636" w14:textId="15476DDD" w:rsidR="000E771E" w:rsidRDefault="00747B5F" w:rsidP="000E771E">
      <w:pPr>
        <w:pStyle w:val="Liststycke"/>
        <w:numPr>
          <w:ilvl w:val="0"/>
          <w:numId w:val="10"/>
        </w:numPr>
      </w:pPr>
      <w:r>
        <w:lastRenderedPageBreak/>
        <w:t>CR is to be approved at current TSG RAN</w:t>
      </w:r>
    </w:p>
    <w:p w14:paraId="704E76AC" w14:textId="50BF4072" w:rsidR="00681325" w:rsidRDefault="00681325" w:rsidP="000E771E">
      <w:pPr>
        <w:pStyle w:val="Liststycke"/>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Liststycke"/>
      </w:pPr>
      <w:r>
        <w:t xml:space="preserve">Whether we need to capture limitations or conditions in order to make this way forward fully acceptable, </w:t>
      </w:r>
      <w:proofErr w:type="gramStart"/>
      <w:r>
        <w:t>e.g.</w:t>
      </w:r>
      <w:proofErr w:type="gramEnd"/>
      <w:r>
        <w:t xml:space="preserve"> whether we expect no further modifications, for URLLC or for other use cases. </w:t>
      </w:r>
      <w:r w:rsidR="003E6F29">
        <w:t xml:space="preserve"> </w:t>
      </w:r>
    </w:p>
    <w:p w14:paraId="71003EA0" w14:textId="77777777" w:rsidR="003F7DA2" w:rsidRDefault="003F7DA2" w:rsidP="003F7DA2">
      <w:pPr>
        <w:pStyle w:val="Liststycke"/>
      </w:pPr>
    </w:p>
    <w:p w14:paraId="2F10F6D3" w14:textId="3043F4CB" w:rsidR="000A3675" w:rsidRDefault="003222E6" w:rsidP="000A3675">
      <w:r>
        <w:t xml:space="preserve">Q: For final round </w:t>
      </w:r>
      <w:r w:rsidR="000A3675">
        <w:t xml:space="preserve">address </w:t>
      </w:r>
      <w:r w:rsidR="000A3675">
        <w:t xml:space="preserve">Whether we need to capture limitations </w:t>
      </w:r>
      <w:r w:rsidR="00F544B8">
        <w:t xml:space="preserve">or conditions </w:t>
      </w:r>
      <w:r w:rsidR="000A3675">
        <w:t xml:space="preserve">in order to make this way forward fully acceptable, </w:t>
      </w:r>
      <w:proofErr w:type="gramStart"/>
      <w:r w:rsidR="000A3675">
        <w:t>e.g.</w:t>
      </w:r>
      <w:proofErr w:type="gramEnd"/>
      <w:r w:rsidR="000A3675">
        <w:t xml:space="preserve">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171CDC2E" w14:textId="7093B1D9" w:rsidR="003F7DA2" w:rsidRPr="00963C87" w:rsidRDefault="003F7DA2" w:rsidP="005709B1">
            <w:pPr>
              <w:rPr>
                <w:rFonts w:eastAsia="MS Mincho"/>
              </w:rPr>
            </w:pPr>
          </w:p>
        </w:tc>
        <w:tc>
          <w:tcPr>
            <w:tcW w:w="1421" w:type="dxa"/>
          </w:tcPr>
          <w:p w14:paraId="49377EF1" w14:textId="44CFBD08" w:rsidR="003F7DA2" w:rsidRPr="00963C87" w:rsidRDefault="003F7DA2" w:rsidP="005709B1">
            <w:pPr>
              <w:rPr>
                <w:rFonts w:eastAsia="MS Mincho"/>
              </w:rPr>
            </w:pPr>
          </w:p>
        </w:tc>
        <w:tc>
          <w:tcPr>
            <w:tcW w:w="6277" w:type="dxa"/>
          </w:tcPr>
          <w:p w14:paraId="3791D237" w14:textId="77E26F2B" w:rsidR="003F7DA2" w:rsidRPr="00963C87" w:rsidRDefault="003F7DA2" w:rsidP="005709B1">
            <w:pPr>
              <w:rPr>
                <w:rFonts w:eastAsia="MS Mincho"/>
              </w:rPr>
            </w:pPr>
          </w:p>
        </w:tc>
      </w:tr>
      <w:tr w:rsidR="003F7DA2" w14:paraId="222D37E1" w14:textId="77777777" w:rsidTr="005709B1">
        <w:tc>
          <w:tcPr>
            <w:tcW w:w="1364" w:type="dxa"/>
          </w:tcPr>
          <w:p w14:paraId="0ADE85EE" w14:textId="03FF759B" w:rsidR="003F7DA2" w:rsidRDefault="003F7DA2" w:rsidP="005709B1"/>
        </w:tc>
        <w:tc>
          <w:tcPr>
            <w:tcW w:w="1421" w:type="dxa"/>
          </w:tcPr>
          <w:p w14:paraId="15C4B409" w14:textId="352FC0AD" w:rsidR="003F7DA2" w:rsidRDefault="003F7DA2" w:rsidP="005709B1"/>
        </w:tc>
        <w:tc>
          <w:tcPr>
            <w:tcW w:w="6277" w:type="dxa"/>
          </w:tcPr>
          <w:p w14:paraId="363B7611" w14:textId="6D1AB8C8" w:rsidR="003F7DA2" w:rsidRDefault="003F7DA2" w:rsidP="005709B1"/>
        </w:tc>
      </w:tr>
      <w:tr w:rsidR="003F7DA2" w14:paraId="6E5E282F" w14:textId="77777777" w:rsidTr="005709B1">
        <w:tc>
          <w:tcPr>
            <w:tcW w:w="1364" w:type="dxa"/>
          </w:tcPr>
          <w:p w14:paraId="3BC57414" w14:textId="5E7CEEE1" w:rsidR="003F7DA2" w:rsidRDefault="003F7DA2" w:rsidP="005709B1">
            <w:pPr>
              <w:rPr>
                <w:lang w:eastAsia="zh-CN"/>
              </w:rPr>
            </w:pPr>
          </w:p>
        </w:tc>
        <w:tc>
          <w:tcPr>
            <w:tcW w:w="1421" w:type="dxa"/>
          </w:tcPr>
          <w:p w14:paraId="2102E5BB" w14:textId="567EEDFD" w:rsidR="003F7DA2" w:rsidRDefault="003F7DA2" w:rsidP="005709B1">
            <w:pPr>
              <w:rPr>
                <w:lang w:eastAsia="zh-CN"/>
              </w:rPr>
            </w:pPr>
          </w:p>
        </w:tc>
        <w:tc>
          <w:tcPr>
            <w:tcW w:w="6277" w:type="dxa"/>
          </w:tcPr>
          <w:p w14:paraId="0733EED5" w14:textId="7A4F7D18" w:rsidR="003F7DA2" w:rsidRDefault="003F7DA2" w:rsidP="005709B1">
            <w:pPr>
              <w:rPr>
                <w:lang w:eastAsia="zh-CN"/>
              </w:rPr>
            </w:pPr>
          </w:p>
        </w:tc>
      </w:tr>
      <w:tr w:rsidR="003F7DA2" w14:paraId="60B5455A" w14:textId="77777777" w:rsidTr="005709B1">
        <w:tc>
          <w:tcPr>
            <w:tcW w:w="1364" w:type="dxa"/>
          </w:tcPr>
          <w:p w14:paraId="6C74539D" w14:textId="3282FC01" w:rsidR="003F7DA2" w:rsidRDefault="003F7DA2" w:rsidP="005709B1">
            <w:pPr>
              <w:rPr>
                <w:lang w:eastAsia="zh-CN"/>
              </w:rPr>
            </w:pPr>
          </w:p>
        </w:tc>
        <w:tc>
          <w:tcPr>
            <w:tcW w:w="1421" w:type="dxa"/>
          </w:tcPr>
          <w:p w14:paraId="45B89031" w14:textId="66A7B92A" w:rsidR="003F7DA2" w:rsidRDefault="003F7DA2" w:rsidP="005709B1">
            <w:pPr>
              <w:rPr>
                <w:lang w:eastAsia="zh-CN"/>
              </w:rPr>
            </w:pPr>
          </w:p>
        </w:tc>
        <w:tc>
          <w:tcPr>
            <w:tcW w:w="6277" w:type="dxa"/>
          </w:tcPr>
          <w:p w14:paraId="54807FD7" w14:textId="79E5241F" w:rsidR="003F7DA2" w:rsidRDefault="003F7DA2" w:rsidP="005709B1">
            <w:pPr>
              <w:rPr>
                <w:lang w:eastAsia="zh-CN"/>
              </w:rPr>
            </w:pPr>
          </w:p>
        </w:tc>
      </w:tr>
      <w:tr w:rsidR="003F7DA2" w14:paraId="6F6A2413" w14:textId="77777777" w:rsidTr="005709B1">
        <w:tc>
          <w:tcPr>
            <w:tcW w:w="1364" w:type="dxa"/>
          </w:tcPr>
          <w:p w14:paraId="25327D44" w14:textId="03CB1729" w:rsidR="003F7DA2" w:rsidRDefault="003F7DA2" w:rsidP="005709B1"/>
        </w:tc>
        <w:tc>
          <w:tcPr>
            <w:tcW w:w="1421" w:type="dxa"/>
          </w:tcPr>
          <w:p w14:paraId="1CFC5EF0" w14:textId="3DBFD7EB" w:rsidR="003F7DA2" w:rsidRDefault="003F7DA2" w:rsidP="005709B1"/>
        </w:tc>
        <w:tc>
          <w:tcPr>
            <w:tcW w:w="6277" w:type="dxa"/>
          </w:tcPr>
          <w:p w14:paraId="18D2F0BC" w14:textId="660A8C93" w:rsidR="003F7DA2" w:rsidRDefault="003F7DA2" w:rsidP="005709B1"/>
        </w:tc>
      </w:tr>
      <w:tr w:rsidR="003F7DA2" w14:paraId="208E403D" w14:textId="77777777" w:rsidTr="005709B1">
        <w:tc>
          <w:tcPr>
            <w:tcW w:w="1364" w:type="dxa"/>
          </w:tcPr>
          <w:p w14:paraId="55F6ED8E" w14:textId="4EFDE5FF" w:rsidR="003F7DA2" w:rsidRDefault="003F7DA2" w:rsidP="005709B1"/>
        </w:tc>
        <w:tc>
          <w:tcPr>
            <w:tcW w:w="1421" w:type="dxa"/>
          </w:tcPr>
          <w:p w14:paraId="7D0435C7" w14:textId="77777777" w:rsidR="003F7DA2" w:rsidRDefault="003F7DA2" w:rsidP="005709B1"/>
        </w:tc>
        <w:tc>
          <w:tcPr>
            <w:tcW w:w="6277" w:type="dxa"/>
          </w:tcPr>
          <w:p w14:paraId="2590014A" w14:textId="214429A2" w:rsidR="003F7DA2" w:rsidRDefault="003F7DA2" w:rsidP="005709B1"/>
        </w:tc>
      </w:tr>
      <w:tr w:rsidR="003F7DA2" w14:paraId="6704BA1D" w14:textId="77777777" w:rsidTr="005709B1">
        <w:tc>
          <w:tcPr>
            <w:tcW w:w="1364" w:type="dxa"/>
          </w:tcPr>
          <w:p w14:paraId="0C431B29" w14:textId="15977C3A" w:rsidR="003F7DA2" w:rsidRPr="007307AF" w:rsidRDefault="003F7DA2" w:rsidP="005709B1">
            <w:pPr>
              <w:rPr>
                <w:rFonts w:eastAsia="Malgun Gothic"/>
                <w:lang w:eastAsia="ko-KR"/>
              </w:rPr>
            </w:pPr>
          </w:p>
        </w:tc>
        <w:tc>
          <w:tcPr>
            <w:tcW w:w="1421" w:type="dxa"/>
          </w:tcPr>
          <w:p w14:paraId="0575B3D0" w14:textId="04E30DDD" w:rsidR="003F7DA2" w:rsidRPr="007307AF" w:rsidRDefault="003F7DA2" w:rsidP="005709B1">
            <w:pPr>
              <w:rPr>
                <w:rFonts w:eastAsia="Malgun Gothic"/>
                <w:lang w:eastAsia="ko-KR"/>
              </w:rPr>
            </w:pPr>
          </w:p>
        </w:tc>
        <w:tc>
          <w:tcPr>
            <w:tcW w:w="6277" w:type="dxa"/>
          </w:tcPr>
          <w:p w14:paraId="384FC351" w14:textId="5F601A6F" w:rsidR="003F7DA2" w:rsidRPr="00241DCA" w:rsidRDefault="003F7DA2" w:rsidP="005709B1">
            <w:pPr>
              <w:rPr>
                <w:lang w:eastAsia="zh-CN"/>
              </w:rPr>
            </w:pP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Rubrik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lastRenderedPageBreak/>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Rubrik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w:t>
            </w:r>
            <w:proofErr w:type="gramStart"/>
            <w:r>
              <w:rPr>
                <w:lang w:eastAsia="zh-CN"/>
              </w:rPr>
              <w:t>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w:t>
            </w:r>
            <w:r>
              <w:rPr>
                <w:lang w:eastAsia="zh-CN"/>
              </w:rPr>
              <w:lastRenderedPageBreak/>
              <w:t xml:space="preserve">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Rubrik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Rubrik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lastRenderedPageBreak/>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Rubrik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17D1" w14:textId="77777777" w:rsidR="00CD1E07" w:rsidRDefault="00CD1E07" w:rsidP="000274E9">
      <w:pPr>
        <w:spacing w:after="0"/>
      </w:pPr>
      <w:r>
        <w:separator/>
      </w:r>
    </w:p>
  </w:endnote>
  <w:endnote w:type="continuationSeparator" w:id="0">
    <w:p w14:paraId="0D27A5CF" w14:textId="77777777" w:rsidR="00CD1E07" w:rsidRDefault="00CD1E0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Sidfot"/>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3C59" w14:textId="77777777" w:rsidR="00CD1E07" w:rsidRDefault="00CD1E07" w:rsidP="000274E9">
      <w:pPr>
        <w:spacing w:after="0"/>
      </w:pPr>
      <w:r>
        <w:separator/>
      </w:r>
    </w:p>
  </w:footnote>
  <w:footnote w:type="continuationSeparator" w:id="0">
    <w:p w14:paraId="2A022A7B" w14:textId="77777777" w:rsidR="00CD1E07" w:rsidRDefault="00CD1E0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860"/>
        </w:tabs>
        <w:ind w:left="860"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355FE"/>
    <w:rsid w:val="00061BE6"/>
    <w:rsid w:val="0006291E"/>
    <w:rsid w:val="00064D5C"/>
    <w:rsid w:val="000713E2"/>
    <w:rsid w:val="000717EF"/>
    <w:rsid w:val="00075866"/>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4579"/>
    <w:rsid w:val="001971AE"/>
    <w:rsid w:val="001A2D65"/>
    <w:rsid w:val="001B6613"/>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43EC"/>
    <w:rsid w:val="002D5A97"/>
    <w:rsid w:val="002D7F9A"/>
    <w:rsid w:val="002E5779"/>
    <w:rsid w:val="002E5BD2"/>
    <w:rsid w:val="002F2963"/>
    <w:rsid w:val="002F2E6F"/>
    <w:rsid w:val="002F404A"/>
    <w:rsid w:val="00302688"/>
    <w:rsid w:val="00303BC6"/>
    <w:rsid w:val="003062AD"/>
    <w:rsid w:val="003068B4"/>
    <w:rsid w:val="00311F91"/>
    <w:rsid w:val="00312032"/>
    <w:rsid w:val="00320EC5"/>
    <w:rsid w:val="003222E6"/>
    <w:rsid w:val="00327D85"/>
    <w:rsid w:val="0033082A"/>
    <w:rsid w:val="003344F3"/>
    <w:rsid w:val="003567F8"/>
    <w:rsid w:val="003577E6"/>
    <w:rsid w:val="003645F7"/>
    <w:rsid w:val="00366ED8"/>
    <w:rsid w:val="00367784"/>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5267"/>
    <w:rsid w:val="004A5C3B"/>
    <w:rsid w:val="004C6015"/>
    <w:rsid w:val="004D30E4"/>
    <w:rsid w:val="004E5C84"/>
    <w:rsid w:val="004E7E71"/>
    <w:rsid w:val="004F1A79"/>
    <w:rsid w:val="004F42FB"/>
    <w:rsid w:val="00502083"/>
    <w:rsid w:val="0050332D"/>
    <w:rsid w:val="00503FD1"/>
    <w:rsid w:val="005147D7"/>
    <w:rsid w:val="00515D4F"/>
    <w:rsid w:val="00521457"/>
    <w:rsid w:val="00522339"/>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81325"/>
    <w:rsid w:val="0069128C"/>
    <w:rsid w:val="006950B7"/>
    <w:rsid w:val="006A3A54"/>
    <w:rsid w:val="006A7399"/>
    <w:rsid w:val="006B3F0B"/>
    <w:rsid w:val="006B5573"/>
    <w:rsid w:val="006B719C"/>
    <w:rsid w:val="006C040F"/>
    <w:rsid w:val="006C1A4C"/>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57EA"/>
    <w:rsid w:val="00876232"/>
    <w:rsid w:val="00877790"/>
    <w:rsid w:val="00881385"/>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06A81"/>
    <w:rsid w:val="00B15E36"/>
    <w:rsid w:val="00B166A3"/>
    <w:rsid w:val="00B20A25"/>
    <w:rsid w:val="00B31A30"/>
    <w:rsid w:val="00B34FE4"/>
    <w:rsid w:val="00B47036"/>
    <w:rsid w:val="00B513FD"/>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Rubrik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Rubrik2">
    <w:name w:val="heading 2"/>
    <w:basedOn w:val="Rubrik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Rubrik3">
    <w:name w:val="heading 3"/>
    <w:basedOn w:val="Rubrik2"/>
    <w:next w:val="Normal"/>
    <w:qFormat/>
    <w:pPr>
      <w:numPr>
        <w:ilvl w:val="2"/>
      </w:numPr>
      <w:tabs>
        <w:tab w:val="left" w:pos="720"/>
      </w:tabs>
      <w:spacing w:before="120" w:after="60"/>
      <w:outlineLvl w:val="2"/>
    </w:pPr>
    <w:rPr>
      <w:bCs/>
      <w:sz w:val="28"/>
      <w:szCs w:val="26"/>
    </w:rPr>
  </w:style>
  <w:style w:type="paragraph" w:styleId="Rubrik4">
    <w:name w:val="heading 4"/>
    <w:basedOn w:val="Rubrik3"/>
    <w:next w:val="Normal"/>
    <w:qFormat/>
    <w:pPr>
      <w:numPr>
        <w:ilvl w:val="3"/>
      </w:numPr>
      <w:tabs>
        <w:tab w:val="left" w:pos="864"/>
      </w:tabs>
      <w:spacing w:before="240"/>
      <w:outlineLvl w:val="3"/>
    </w:pPr>
    <w:rPr>
      <w:bCs w:val="0"/>
      <w:sz w:val="24"/>
      <w:szCs w:val="28"/>
    </w:rPr>
  </w:style>
  <w:style w:type="paragraph" w:styleId="Rubrik5">
    <w:name w:val="heading 5"/>
    <w:basedOn w:val="Rubrik4"/>
    <w:next w:val="Normal"/>
    <w:qFormat/>
    <w:pPr>
      <w:numPr>
        <w:ilvl w:val="4"/>
      </w:numPr>
      <w:tabs>
        <w:tab w:val="left" w:pos="1008"/>
      </w:tabs>
      <w:outlineLvl w:val="4"/>
    </w:pPr>
    <w:rPr>
      <w:bCs/>
      <w:iCs w:val="0"/>
      <w:sz w:val="22"/>
      <w:szCs w:val="26"/>
    </w:rPr>
  </w:style>
  <w:style w:type="paragraph" w:styleId="Rubrik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Rubrik7">
    <w:name w:val="heading 7"/>
    <w:basedOn w:val="Normal"/>
    <w:next w:val="Normal"/>
    <w:qFormat/>
    <w:pPr>
      <w:numPr>
        <w:ilvl w:val="6"/>
        <w:numId w:val="1"/>
      </w:numPr>
      <w:tabs>
        <w:tab w:val="left" w:pos="1296"/>
      </w:tabs>
      <w:spacing w:before="240" w:after="60"/>
      <w:outlineLvl w:val="6"/>
    </w:pPr>
    <w:rPr>
      <w:rFonts w:ascii="Arial" w:hAnsi="Arial"/>
    </w:rPr>
  </w:style>
  <w:style w:type="paragraph" w:styleId="Rubrik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Rubrik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Beskrivning">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72"/>
    <w:qFormat/>
    <w:rsid w:val="0063523F"/>
    <w:pPr>
      <w:ind w:left="720"/>
      <w:contextualSpacing/>
    </w:pPr>
  </w:style>
  <w:style w:type="paragraph" w:styleId="Sidhuvud">
    <w:name w:val="header"/>
    <w:basedOn w:val="Normal"/>
    <w:link w:val="SidhuvudChar"/>
    <w:rsid w:val="00422A7E"/>
    <w:pPr>
      <w:pBdr>
        <w:bottom w:val="single" w:sz="6" w:space="1" w:color="auto"/>
      </w:pBdr>
      <w:tabs>
        <w:tab w:val="center" w:pos="4153"/>
        <w:tab w:val="right" w:pos="8306"/>
      </w:tabs>
      <w:snapToGrid w:val="0"/>
      <w:jc w:val="center"/>
    </w:pPr>
    <w:rPr>
      <w:sz w:val="18"/>
      <w:szCs w:val="18"/>
    </w:rPr>
  </w:style>
  <w:style w:type="character" w:customStyle="1" w:styleId="SidhuvudChar">
    <w:name w:val="Sidhuvud Char"/>
    <w:basedOn w:val="Standardstycketeckensnitt"/>
    <w:link w:val="Sidhuvud"/>
    <w:rsid w:val="00422A7E"/>
    <w:rPr>
      <w:sz w:val="18"/>
      <w:szCs w:val="18"/>
      <w:lang w:eastAsia="ja-JP"/>
    </w:rPr>
  </w:style>
  <w:style w:type="paragraph" w:styleId="Sidfot">
    <w:name w:val="footer"/>
    <w:basedOn w:val="Normal"/>
    <w:link w:val="SidfotChar"/>
    <w:rsid w:val="00422A7E"/>
    <w:pPr>
      <w:tabs>
        <w:tab w:val="center" w:pos="4153"/>
        <w:tab w:val="right" w:pos="8306"/>
      </w:tabs>
      <w:snapToGrid w:val="0"/>
    </w:pPr>
    <w:rPr>
      <w:sz w:val="18"/>
      <w:szCs w:val="18"/>
    </w:rPr>
  </w:style>
  <w:style w:type="character" w:customStyle="1" w:styleId="SidfotChar">
    <w:name w:val="Sidfot Char"/>
    <w:basedOn w:val="Standardstycketeckensnitt"/>
    <w:link w:val="Sidfot"/>
    <w:rsid w:val="00422A7E"/>
    <w:rPr>
      <w:sz w:val="18"/>
      <w:szCs w:val="18"/>
      <w:lang w:eastAsia="ja-JP"/>
    </w:rPr>
  </w:style>
  <w:style w:type="paragraph" w:styleId="Ballongtext">
    <w:name w:val="Balloon Text"/>
    <w:basedOn w:val="Normal"/>
    <w:link w:val="BallongtextChar"/>
    <w:semiHidden/>
    <w:unhideWhenUsed/>
    <w:rsid w:val="009746C6"/>
    <w:pPr>
      <w:spacing w:after="0"/>
    </w:pPr>
    <w:rPr>
      <w:rFonts w:ascii="Segoe UI" w:hAnsi="Segoe UI" w:cs="Segoe UI"/>
      <w:sz w:val="18"/>
      <w:szCs w:val="18"/>
    </w:rPr>
  </w:style>
  <w:style w:type="character" w:customStyle="1" w:styleId="BallongtextChar">
    <w:name w:val="Ballongtext Char"/>
    <w:basedOn w:val="Standardstycketeckensnitt"/>
    <w:link w:val="Ballongtext"/>
    <w:semiHidden/>
    <w:rsid w:val="009746C6"/>
    <w:rPr>
      <w:rFonts w:ascii="Segoe UI" w:hAnsi="Segoe UI" w:cs="Segoe UI"/>
      <w:sz w:val="18"/>
      <w:szCs w:val="18"/>
      <w:lang w:eastAsia="ja-JP"/>
    </w:rPr>
  </w:style>
  <w:style w:type="character" w:styleId="Hyperlnk">
    <w:name w:val="Hyperlink"/>
    <w:basedOn w:val="Standardstycketeckensnitt"/>
    <w:rsid w:val="0094250A"/>
    <w:rPr>
      <w:color w:val="0563C1" w:themeColor="hyperlink"/>
      <w:u w:val="single"/>
    </w:rPr>
  </w:style>
  <w:style w:type="character" w:customStyle="1" w:styleId="UnresolvedMention1">
    <w:name w:val="Unresolved Mention1"/>
    <w:basedOn w:val="Standardstycketeckensnitt"/>
    <w:uiPriority w:val="99"/>
    <w:semiHidden/>
    <w:unhideWhenUsed/>
    <w:rsid w:val="0094250A"/>
    <w:rPr>
      <w:color w:val="605E5C"/>
      <w:shd w:val="clear" w:color="auto" w:fill="E1DFDD"/>
    </w:rPr>
  </w:style>
  <w:style w:type="character" w:customStyle="1" w:styleId="UnresolvedMention2">
    <w:name w:val="Unresolved Mention2"/>
    <w:basedOn w:val="Standardstycketeckensnitt"/>
    <w:uiPriority w:val="99"/>
    <w:semiHidden/>
    <w:unhideWhenUsed/>
    <w:rsid w:val="00540EA0"/>
    <w:rPr>
      <w:color w:val="605E5C"/>
      <w:shd w:val="clear" w:color="auto" w:fill="E1DFDD"/>
    </w:rPr>
  </w:style>
  <w:style w:type="character" w:customStyle="1" w:styleId="1">
    <w:name w:val="未解決のメンション1"/>
    <w:basedOn w:val="Standardstycketeckensnit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4219</Words>
  <Characters>22366</Characters>
  <Application>Microsoft Office Word</Application>
  <DocSecurity>0</DocSecurity>
  <Lines>186</Lines>
  <Paragraphs>53</Paragraphs>
  <ScaleCrop>false</ScaleCrop>
  <HeadingPairs>
    <vt:vector size="10" baseType="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1" baseType="lpstr">
      <vt: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5</cp:revision>
  <dcterms:created xsi:type="dcterms:W3CDTF">2021-09-15T13:26:00Z</dcterms:created>
  <dcterms:modified xsi:type="dcterms:W3CDTF">2021-09-15T13:35:00Z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