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9CC71B5"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宋体"/>
                <w:lang w:eastAsia="zh-CN"/>
              </w:rPr>
            </w:pPr>
            <w:r>
              <w:rPr>
                <w:rFonts w:eastAsia="宋体"/>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宋体"/>
                <w:lang w:eastAsia="zh-CN"/>
              </w:rPr>
            </w:pPr>
            <w:r>
              <w:rPr>
                <w:rFonts w:eastAsia="宋体" w:hint="eastAsia"/>
                <w:lang w:eastAsia="zh-CN"/>
              </w:rPr>
              <w:t>H</w:t>
            </w:r>
            <w:r>
              <w:rPr>
                <w:rFonts w:eastAsia="宋体"/>
                <w:lang w:eastAsia="zh-CN"/>
              </w:rPr>
              <w:t>uawei,</w:t>
            </w:r>
          </w:p>
          <w:p w14:paraId="7673385C" w14:textId="6E5AFC04" w:rsidR="00111AEB" w:rsidRPr="00111AEB" w:rsidRDefault="00111AEB" w:rsidP="008E1F89">
            <w:pPr>
              <w:pStyle w:val="TAL"/>
              <w:rPr>
                <w:rFonts w:eastAsia="宋体"/>
                <w:lang w:eastAsia="zh-CN"/>
              </w:rPr>
            </w:pPr>
            <w:r>
              <w:rPr>
                <w:rFonts w:eastAsia="宋体"/>
                <w:lang w:eastAsia="zh-CN"/>
              </w:rPr>
              <w:t>HiSilicon</w:t>
            </w:r>
          </w:p>
        </w:tc>
        <w:tc>
          <w:tcPr>
            <w:tcW w:w="7415" w:type="dxa"/>
          </w:tcPr>
          <w:p w14:paraId="3D4624FF" w14:textId="726DF53C" w:rsidR="008E1F89" w:rsidRPr="00111AEB" w:rsidRDefault="00111AEB" w:rsidP="008E1F89">
            <w:pPr>
              <w:pStyle w:val="TAL"/>
              <w:rPr>
                <w:rFonts w:eastAsia="宋体"/>
                <w:lang w:eastAsia="zh-CN"/>
              </w:rPr>
            </w:pPr>
            <w:r>
              <w:rPr>
                <w:rFonts w:eastAsia="宋体" w:hint="eastAsia"/>
                <w:lang w:eastAsia="zh-CN"/>
              </w:rPr>
              <w:t>z</w:t>
            </w:r>
            <w:r>
              <w:rPr>
                <w:rFonts w:eastAsia="宋体"/>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r>
              <w:t>Futurewei</w:t>
            </w:r>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宋体"/>
                <w:lang w:eastAsia="zh-CN"/>
              </w:rPr>
            </w:pPr>
            <w:r>
              <w:rPr>
                <w:rFonts w:eastAsia="宋体"/>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宋体"/>
                <w:lang w:eastAsia="zh-CN"/>
              </w:rPr>
            </w:pPr>
            <w:r>
              <w:rPr>
                <w:rFonts w:eastAsia="宋体" w:hint="eastAsia"/>
                <w:lang w:eastAsia="zh-CN"/>
              </w:rPr>
              <w:t>Z</w:t>
            </w:r>
            <w:r>
              <w:rPr>
                <w:rFonts w:eastAsia="宋体"/>
                <w:lang w:eastAsia="zh-CN"/>
              </w:rPr>
              <w:t>TE</w:t>
            </w:r>
          </w:p>
        </w:tc>
        <w:tc>
          <w:tcPr>
            <w:tcW w:w="7415" w:type="dxa"/>
          </w:tcPr>
          <w:p w14:paraId="2C6B4713" w14:textId="14D91449" w:rsidR="00631079" w:rsidRDefault="00631079" w:rsidP="00631079">
            <w:pPr>
              <w:pStyle w:val="TAL"/>
              <w:rPr>
                <w:rFonts w:eastAsia="宋体"/>
                <w:lang w:eastAsia="zh-CN"/>
              </w:rPr>
            </w:pPr>
            <w:r>
              <w:rPr>
                <w:rFonts w:eastAsia="宋体"/>
                <w:lang w:eastAsia="zh-CN"/>
              </w:rPr>
              <w:t>wei.xingguang@zte.com.cn</w:t>
            </w:r>
          </w:p>
        </w:tc>
      </w:tr>
      <w:tr w:rsidR="00BF428D" w14:paraId="521AF5CA" w14:textId="77777777" w:rsidTr="00BC5C6A">
        <w:tc>
          <w:tcPr>
            <w:tcW w:w="1647" w:type="dxa"/>
          </w:tcPr>
          <w:p w14:paraId="379734AE" w14:textId="40194E20" w:rsidR="00BF428D" w:rsidRDefault="00BF428D" w:rsidP="00BF428D">
            <w:pPr>
              <w:pStyle w:val="TAL"/>
            </w:pPr>
          </w:p>
        </w:tc>
        <w:tc>
          <w:tcPr>
            <w:tcW w:w="7415" w:type="dxa"/>
          </w:tcPr>
          <w:p w14:paraId="3ECCCE81" w14:textId="34EB4094" w:rsidR="00BF428D" w:rsidRDefault="00BF428D" w:rsidP="00BF428D">
            <w:pPr>
              <w:pStyle w:val="TAL"/>
            </w:pPr>
          </w:p>
        </w:tc>
      </w:tr>
      <w:tr w:rsidR="00BF428D" w14:paraId="1EA5014E" w14:textId="77777777" w:rsidTr="00F93253">
        <w:tc>
          <w:tcPr>
            <w:tcW w:w="1647" w:type="dxa"/>
          </w:tcPr>
          <w:p w14:paraId="21889236" w14:textId="411E3110" w:rsidR="00BF428D" w:rsidRDefault="00BF428D" w:rsidP="00BF428D">
            <w:pPr>
              <w:pStyle w:val="TAL"/>
            </w:pPr>
          </w:p>
        </w:tc>
        <w:tc>
          <w:tcPr>
            <w:tcW w:w="7415" w:type="dxa"/>
          </w:tcPr>
          <w:p w14:paraId="0F5DDAF1" w14:textId="25D6EBBB" w:rsidR="00BF428D" w:rsidRDefault="00BF428D" w:rsidP="00BF428D">
            <w:pPr>
              <w:pStyle w:val="TAL"/>
            </w:pPr>
          </w:p>
        </w:tc>
      </w:tr>
      <w:tr w:rsidR="00BF428D" w14:paraId="4F883CEA" w14:textId="77777777" w:rsidTr="00F93253">
        <w:tc>
          <w:tcPr>
            <w:tcW w:w="1647" w:type="dxa"/>
          </w:tcPr>
          <w:p w14:paraId="6C73FFAE" w14:textId="2A505258" w:rsidR="00BF428D" w:rsidRDefault="00BF428D" w:rsidP="00BF428D">
            <w:pPr>
              <w:pStyle w:val="TAL"/>
            </w:pPr>
          </w:p>
        </w:tc>
        <w:tc>
          <w:tcPr>
            <w:tcW w:w="7415" w:type="dxa"/>
          </w:tcPr>
          <w:p w14:paraId="3924B032" w14:textId="3E4CFB45" w:rsidR="00BF428D" w:rsidRDefault="00BF428D" w:rsidP="00BF428D">
            <w:pPr>
              <w:pStyle w:val="TAL"/>
            </w:pPr>
          </w:p>
        </w:tc>
      </w:tr>
      <w:tr w:rsidR="00BF428D" w14:paraId="083D2284" w14:textId="77777777" w:rsidTr="00F93253">
        <w:tc>
          <w:tcPr>
            <w:tcW w:w="1647" w:type="dxa"/>
          </w:tcPr>
          <w:p w14:paraId="5C6EC074" w14:textId="040D43D3" w:rsidR="00BF428D" w:rsidRDefault="00BF428D" w:rsidP="00BF428D">
            <w:pPr>
              <w:pStyle w:val="TAL"/>
              <w:rPr>
                <w:lang w:eastAsia="zh-CN"/>
              </w:rPr>
            </w:pPr>
          </w:p>
        </w:tc>
        <w:tc>
          <w:tcPr>
            <w:tcW w:w="7415" w:type="dxa"/>
          </w:tcPr>
          <w:p w14:paraId="1FD9F949" w14:textId="6673D05C" w:rsidR="00BF428D" w:rsidRDefault="00BF428D" w:rsidP="00BF428D">
            <w:pPr>
              <w:pStyle w:val="TAL"/>
              <w:rPr>
                <w:lang w:eastAsia="zh-CN"/>
              </w:rPr>
            </w:pPr>
          </w:p>
        </w:tc>
      </w:tr>
      <w:tr w:rsidR="00BF428D" w14:paraId="2A0B605B" w14:textId="77777777" w:rsidTr="00F93253">
        <w:tc>
          <w:tcPr>
            <w:tcW w:w="1647" w:type="dxa"/>
          </w:tcPr>
          <w:p w14:paraId="7795D0B8" w14:textId="77777777" w:rsidR="00BF428D" w:rsidRDefault="00BF428D" w:rsidP="00BF428D">
            <w:pPr>
              <w:pStyle w:val="TAL"/>
              <w:rPr>
                <w:lang w:eastAsia="zh-CN"/>
              </w:rPr>
            </w:pPr>
          </w:p>
        </w:tc>
        <w:tc>
          <w:tcPr>
            <w:tcW w:w="7415" w:type="dxa"/>
          </w:tcPr>
          <w:p w14:paraId="497509F2" w14:textId="77777777" w:rsidR="00BF428D" w:rsidRDefault="00BF428D" w:rsidP="00BF428D">
            <w:pPr>
              <w:pStyle w:val="TAL"/>
              <w:rPr>
                <w:lang w:eastAsia="zh-CN"/>
              </w:rPr>
            </w:pPr>
          </w:p>
        </w:tc>
      </w:tr>
      <w:tr w:rsidR="00BF428D" w14:paraId="39D1C0AD" w14:textId="77777777" w:rsidTr="00F93253">
        <w:tc>
          <w:tcPr>
            <w:tcW w:w="1647" w:type="dxa"/>
          </w:tcPr>
          <w:p w14:paraId="1515EAE2" w14:textId="77777777" w:rsidR="00BF428D" w:rsidRDefault="00BF428D" w:rsidP="00BF428D">
            <w:pPr>
              <w:pStyle w:val="TAL"/>
              <w:rPr>
                <w:lang w:eastAsia="zh-CN"/>
              </w:rPr>
            </w:pPr>
          </w:p>
        </w:tc>
        <w:tc>
          <w:tcPr>
            <w:tcW w:w="7415" w:type="dxa"/>
          </w:tcPr>
          <w:p w14:paraId="04E0A976" w14:textId="77777777" w:rsidR="00BF428D" w:rsidRDefault="00BF428D" w:rsidP="00BF428D">
            <w:pPr>
              <w:pStyle w:val="TAL"/>
              <w:rPr>
                <w:lang w:eastAsia="zh-CN"/>
              </w:rPr>
            </w:pP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lastRenderedPageBreak/>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0" w:history="1">
        <w:r w:rsidRPr="008F7F81">
          <w:rPr>
            <w:rStyle w:val="a9"/>
          </w:rPr>
          <w:t>TR38.822</w:t>
        </w:r>
      </w:hyperlink>
      <w:r>
        <w:t xml:space="preserve"> and suggest to capture the Rel-15 UE capabilities relevant for URLLC operation as an informative annex in TS38.306 (e.g. as illustrated in </w:t>
      </w:r>
      <w:hyperlink r:id="rId11" w:history="1">
        <w:r w:rsidRPr="001A22EF">
          <w:rPr>
            <w:rStyle w:val="a9"/>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lastRenderedPageBreak/>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As discussed earlier the existing UE capabilities have been defined in a generic way to support a wide range of requirements for a variety of use-cases, products, and applications. Thus Alt 1 and Alt 2 may end up with many many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r>
              <w:rPr>
                <w:lang w:eastAsia="zh-CN"/>
              </w:rPr>
              <w:t>HiSilicon</w:t>
            </w:r>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In parallel with coordination with 5G-ACIA, Alt 3 can first be discussed in 3GPP to at least identify those capabilities which are specific to URLLC. It would be better if the capabilities can be 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 xml:space="preserve">We think that alt. 1 is to define basic feature group for URLLC and alt. 2 is to define details of URLLC categories for all UE capability. </w:t>
            </w:r>
            <w:r>
              <w:rPr>
                <w:rFonts w:eastAsia="Malgun Gothic"/>
                <w:lang w:eastAsia="ko-KR"/>
              </w:rPr>
              <w:lastRenderedPageBreak/>
              <w:t>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r>
              <w:lastRenderedPageBreak/>
              <w:t>Futurewei</w:t>
            </w:r>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rateMatching</w:t>
            </w:r>
            <w:r w:rsidRPr="003E5365">
              <w:rPr>
                <w:lang w:eastAsia="zh-CN"/>
              </w:rPr>
              <w:t>ResrcSetSemi-Static</w:t>
            </w:r>
            <w:r>
              <w:rPr>
                <w:lang w:eastAsia="zh-CN"/>
              </w:rPr>
              <w:t xml:space="preserve"> and </w:t>
            </w:r>
            <w:r w:rsidRPr="003E5365">
              <w:rPr>
                <w:lang w:eastAsia="zh-CN"/>
              </w:rPr>
              <w:t>rateMatchingResrcSetDynamic</w:t>
            </w:r>
            <w:r>
              <w:rPr>
                <w:lang w:eastAsia="zh-CN"/>
              </w:rPr>
              <w:t xml:space="preserve"> are related to URLLC; while </w:t>
            </w:r>
            <w:r w:rsidRPr="00BC0FF7">
              <w:rPr>
                <w:lang w:eastAsia="zh-CN"/>
              </w:rPr>
              <w:t>mux-SR-HARQ-ACK-CSI-PUCCH-MultiPerSlot</w:t>
            </w:r>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w:t>
            </w:r>
            <w:r>
              <w:rPr>
                <w:lang w:eastAsia="zh-CN"/>
              </w:rPr>
              <w:lastRenderedPageBreak/>
              <w:t>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BF428D" w14:paraId="7412F03F" w14:textId="77777777" w:rsidTr="00503FD1">
        <w:tc>
          <w:tcPr>
            <w:tcW w:w="1364" w:type="dxa"/>
          </w:tcPr>
          <w:p w14:paraId="737C9830" w14:textId="5ECA4428" w:rsidR="00BF428D" w:rsidRDefault="00BF428D" w:rsidP="00BF428D">
            <w:pPr>
              <w:rPr>
                <w:lang w:eastAsia="zh-CN"/>
              </w:rPr>
            </w:pPr>
          </w:p>
        </w:tc>
        <w:tc>
          <w:tcPr>
            <w:tcW w:w="1331" w:type="dxa"/>
          </w:tcPr>
          <w:p w14:paraId="0DE75543" w14:textId="42374E79" w:rsidR="00BF428D" w:rsidRDefault="00BF428D" w:rsidP="00BF428D">
            <w:pPr>
              <w:rPr>
                <w:lang w:eastAsia="zh-CN"/>
              </w:rPr>
            </w:pPr>
          </w:p>
        </w:tc>
        <w:tc>
          <w:tcPr>
            <w:tcW w:w="6367" w:type="dxa"/>
          </w:tcPr>
          <w:p w14:paraId="7EBEAD7F" w14:textId="23BDC4E5" w:rsidR="00BF428D" w:rsidRDefault="00BF428D" w:rsidP="00BF428D">
            <w:pPr>
              <w:rPr>
                <w:lang w:eastAsia="zh-CN"/>
              </w:rPr>
            </w:pPr>
          </w:p>
        </w:tc>
      </w:tr>
      <w:tr w:rsidR="00BF428D" w14:paraId="3FD8FC2A" w14:textId="77777777" w:rsidTr="00503FD1">
        <w:tc>
          <w:tcPr>
            <w:tcW w:w="1364" w:type="dxa"/>
          </w:tcPr>
          <w:p w14:paraId="3CA5DF22" w14:textId="62EB2FAE" w:rsidR="00BF428D" w:rsidRDefault="00BF428D" w:rsidP="00BF428D"/>
        </w:tc>
        <w:tc>
          <w:tcPr>
            <w:tcW w:w="1331" w:type="dxa"/>
          </w:tcPr>
          <w:p w14:paraId="426DFB7C" w14:textId="3E3719F2" w:rsidR="00BF428D" w:rsidRDefault="00BF428D" w:rsidP="00BF428D"/>
        </w:tc>
        <w:tc>
          <w:tcPr>
            <w:tcW w:w="6367" w:type="dxa"/>
          </w:tcPr>
          <w:p w14:paraId="10559F9D" w14:textId="10A5A852" w:rsidR="00BF428D" w:rsidRDefault="00BF428D" w:rsidP="00BF428D"/>
        </w:tc>
      </w:tr>
      <w:tr w:rsidR="00BF428D" w14:paraId="7AA5A5C2" w14:textId="77777777" w:rsidTr="00503FD1">
        <w:tc>
          <w:tcPr>
            <w:tcW w:w="1364" w:type="dxa"/>
          </w:tcPr>
          <w:p w14:paraId="1E64E34C" w14:textId="5E46290E" w:rsidR="00BF428D" w:rsidRPr="00CD4571" w:rsidRDefault="00BF428D" w:rsidP="00BF428D"/>
        </w:tc>
        <w:tc>
          <w:tcPr>
            <w:tcW w:w="1331" w:type="dxa"/>
          </w:tcPr>
          <w:p w14:paraId="1F709535" w14:textId="1EAFEDE5" w:rsidR="00BF428D" w:rsidRPr="00CD4571" w:rsidRDefault="00BF428D" w:rsidP="00BF428D"/>
        </w:tc>
        <w:tc>
          <w:tcPr>
            <w:tcW w:w="6367" w:type="dxa"/>
          </w:tcPr>
          <w:p w14:paraId="3D18C761" w14:textId="73910D16" w:rsidR="00BF428D" w:rsidRDefault="00BF428D" w:rsidP="00BF428D"/>
        </w:tc>
      </w:tr>
      <w:tr w:rsidR="00BF428D"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BF428D" w:rsidRDefault="00BF428D" w:rsidP="00BF428D">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BF428D" w:rsidRDefault="00BF428D" w:rsidP="00BF428D">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BF428D" w:rsidRDefault="00BF428D" w:rsidP="00BF428D">
            <w:pPr>
              <w:rPr>
                <w:lang w:eastAsia="zh-CN"/>
              </w:rPr>
            </w:pPr>
          </w:p>
        </w:tc>
      </w:tr>
      <w:tr w:rsidR="00BF428D"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BF428D" w:rsidRDefault="00BF428D" w:rsidP="00BF428D">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BF428D" w:rsidRDefault="00BF428D" w:rsidP="00BF428D">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BF428D" w:rsidRDefault="00BF428D" w:rsidP="00BF428D">
            <w:pPr>
              <w:rPr>
                <w:lang w:eastAsia="zh-CN"/>
              </w:rPr>
            </w:pPr>
          </w:p>
        </w:tc>
      </w:tr>
      <w:tr w:rsidR="00BF428D"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BF428D" w:rsidRDefault="00BF428D" w:rsidP="00BF428D">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BF428D" w:rsidRDefault="00BF428D" w:rsidP="00BF428D">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BF428D" w:rsidRDefault="00BF428D" w:rsidP="00BF428D">
            <w:pPr>
              <w:rPr>
                <w:lang w:eastAsia="zh-CN"/>
              </w:rPr>
            </w:pPr>
          </w:p>
        </w:tc>
      </w:tr>
    </w:tbl>
    <w:p w14:paraId="3F371CE8" w14:textId="77777777" w:rsidR="00BB68BB" w:rsidRDefault="00BB68BB"/>
    <w:p w14:paraId="6BF8A951" w14:textId="77777777" w:rsidR="00E66562" w:rsidRDefault="00E66562"/>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1"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1"/>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lastRenderedPageBreak/>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r>
              <w:rPr>
                <w:lang w:eastAsia="zh-CN"/>
              </w:rPr>
              <w:t>HiSilicon</w:t>
            </w:r>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r>
              <w:t>Futurewei</w:t>
            </w:r>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hich may lead to under reporting in the cases where one UE supports 4Tx  is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bookmarkStart w:id="2" w:name="_GoBack"/>
            <w:bookmarkEnd w:id="2"/>
          </w:p>
        </w:tc>
      </w:tr>
      <w:tr w:rsidR="00BF428D" w14:paraId="10E6AC2B" w14:textId="77777777" w:rsidTr="00CA1809">
        <w:tc>
          <w:tcPr>
            <w:tcW w:w="1364" w:type="dxa"/>
          </w:tcPr>
          <w:p w14:paraId="5CF6758A" w14:textId="77777777" w:rsidR="00BF428D" w:rsidRDefault="00BF428D" w:rsidP="00BF428D"/>
        </w:tc>
        <w:tc>
          <w:tcPr>
            <w:tcW w:w="1421" w:type="dxa"/>
          </w:tcPr>
          <w:p w14:paraId="76081781" w14:textId="77777777" w:rsidR="00BF428D" w:rsidRDefault="00BF428D" w:rsidP="00BF428D"/>
        </w:tc>
        <w:tc>
          <w:tcPr>
            <w:tcW w:w="6277" w:type="dxa"/>
          </w:tcPr>
          <w:p w14:paraId="2F7AB10A" w14:textId="77777777" w:rsidR="00BF428D" w:rsidRDefault="00BF428D" w:rsidP="00BF428D"/>
        </w:tc>
      </w:tr>
      <w:tr w:rsidR="00BF428D" w14:paraId="14FFB666" w14:textId="77777777" w:rsidTr="00CA1809">
        <w:tc>
          <w:tcPr>
            <w:tcW w:w="1364" w:type="dxa"/>
          </w:tcPr>
          <w:p w14:paraId="7C67B7CC" w14:textId="77777777" w:rsidR="00BF428D" w:rsidRDefault="00BF428D" w:rsidP="00BF428D">
            <w:pPr>
              <w:rPr>
                <w:rFonts w:eastAsia="MS Mincho"/>
              </w:rPr>
            </w:pPr>
          </w:p>
        </w:tc>
        <w:tc>
          <w:tcPr>
            <w:tcW w:w="1421" w:type="dxa"/>
          </w:tcPr>
          <w:p w14:paraId="32030692" w14:textId="77777777" w:rsidR="00BF428D" w:rsidRDefault="00BF428D" w:rsidP="00BF428D">
            <w:pPr>
              <w:rPr>
                <w:rFonts w:eastAsia="MS Mincho"/>
              </w:rPr>
            </w:pPr>
          </w:p>
        </w:tc>
        <w:tc>
          <w:tcPr>
            <w:tcW w:w="6277" w:type="dxa"/>
          </w:tcPr>
          <w:p w14:paraId="391FD373" w14:textId="77777777" w:rsidR="00BF428D" w:rsidRDefault="00BF428D" w:rsidP="00BF428D">
            <w:pPr>
              <w:rPr>
                <w:rFonts w:eastAsia="MS Mincho"/>
              </w:rPr>
            </w:pPr>
          </w:p>
        </w:tc>
      </w:tr>
      <w:tr w:rsidR="00BF428D" w14:paraId="369B0A10" w14:textId="77777777" w:rsidTr="00CA1809">
        <w:tc>
          <w:tcPr>
            <w:tcW w:w="1364" w:type="dxa"/>
          </w:tcPr>
          <w:p w14:paraId="310535CE" w14:textId="77777777" w:rsidR="00BF428D" w:rsidRDefault="00BF428D" w:rsidP="00BF428D">
            <w:pPr>
              <w:rPr>
                <w:lang w:eastAsia="zh-CN"/>
              </w:rPr>
            </w:pPr>
          </w:p>
        </w:tc>
        <w:tc>
          <w:tcPr>
            <w:tcW w:w="1421" w:type="dxa"/>
          </w:tcPr>
          <w:p w14:paraId="2FEDF601" w14:textId="77777777" w:rsidR="00BF428D" w:rsidRDefault="00BF428D" w:rsidP="00BF428D">
            <w:pPr>
              <w:rPr>
                <w:lang w:eastAsia="zh-CN"/>
              </w:rPr>
            </w:pPr>
          </w:p>
        </w:tc>
        <w:tc>
          <w:tcPr>
            <w:tcW w:w="6277" w:type="dxa"/>
          </w:tcPr>
          <w:p w14:paraId="570359DB" w14:textId="77777777" w:rsidR="00BF428D" w:rsidRDefault="00BF428D" w:rsidP="00BF428D">
            <w:pPr>
              <w:rPr>
                <w:lang w:eastAsia="zh-CN"/>
              </w:rPr>
            </w:pPr>
          </w:p>
        </w:tc>
      </w:tr>
      <w:tr w:rsidR="00BF428D" w14:paraId="38DAF251" w14:textId="77777777" w:rsidTr="00CA1809">
        <w:tc>
          <w:tcPr>
            <w:tcW w:w="1364" w:type="dxa"/>
          </w:tcPr>
          <w:p w14:paraId="74DDEA0A" w14:textId="77777777" w:rsidR="00BF428D" w:rsidRDefault="00BF428D" w:rsidP="00BF428D">
            <w:pPr>
              <w:rPr>
                <w:lang w:eastAsia="zh-CN"/>
              </w:rPr>
            </w:pPr>
          </w:p>
        </w:tc>
        <w:tc>
          <w:tcPr>
            <w:tcW w:w="1421" w:type="dxa"/>
          </w:tcPr>
          <w:p w14:paraId="006886DC" w14:textId="77777777" w:rsidR="00BF428D" w:rsidRDefault="00BF428D" w:rsidP="00BF428D">
            <w:pPr>
              <w:rPr>
                <w:lang w:eastAsia="zh-CN"/>
              </w:rPr>
            </w:pPr>
          </w:p>
        </w:tc>
        <w:tc>
          <w:tcPr>
            <w:tcW w:w="6277" w:type="dxa"/>
          </w:tcPr>
          <w:p w14:paraId="450A57E6" w14:textId="77777777" w:rsidR="00BF428D" w:rsidRDefault="00BF428D" w:rsidP="00BF428D">
            <w:pPr>
              <w:rPr>
                <w:lang w:eastAsia="zh-CN"/>
              </w:rPr>
            </w:pPr>
          </w:p>
        </w:tc>
      </w:tr>
      <w:tr w:rsidR="00BF428D" w14:paraId="5C2A8D4F" w14:textId="77777777" w:rsidTr="00CA1809">
        <w:tc>
          <w:tcPr>
            <w:tcW w:w="1364" w:type="dxa"/>
          </w:tcPr>
          <w:p w14:paraId="428ED488" w14:textId="77777777" w:rsidR="00BF428D" w:rsidRDefault="00BF428D" w:rsidP="00BF428D"/>
        </w:tc>
        <w:tc>
          <w:tcPr>
            <w:tcW w:w="1421" w:type="dxa"/>
          </w:tcPr>
          <w:p w14:paraId="7C7C4DB4" w14:textId="77777777" w:rsidR="00BF428D" w:rsidRDefault="00BF428D" w:rsidP="00BF428D"/>
        </w:tc>
        <w:tc>
          <w:tcPr>
            <w:tcW w:w="6277" w:type="dxa"/>
          </w:tcPr>
          <w:p w14:paraId="47BDEC99" w14:textId="77777777" w:rsidR="00BF428D" w:rsidRDefault="00BF428D" w:rsidP="00BF428D"/>
        </w:tc>
      </w:tr>
      <w:tr w:rsidR="00BF428D" w14:paraId="28591A94" w14:textId="77777777" w:rsidTr="00CA1809">
        <w:tc>
          <w:tcPr>
            <w:tcW w:w="1364" w:type="dxa"/>
          </w:tcPr>
          <w:p w14:paraId="677C06D5" w14:textId="77777777" w:rsidR="00BF428D" w:rsidRPr="00CD4571" w:rsidRDefault="00BF428D" w:rsidP="00BF428D"/>
        </w:tc>
        <w:tc>
          <w:tcPr>
            <w:tcW w:w="1421" w:type="dxa"/>
          </w:tcPr>
          <w:p w14:paraId="1C1F123E" w14:textId="77777777" w:rsidR="00BF428D" w:rsidRPr="00CD4571" w:rsidRDefault="00BF428D" w:rsidP="00BF428D"/>
        </w:tc>
        <w:tc>
          <w:tcPr>
            <w:tcW w:w="6277" w:type="dxa"/>
          </w:tcPr>
          <w:p w14:paraId="6F0B8779" w14:textId="77777777" w:rsidR="00BF428D" w:rsidRDefault="00BF428D" w:rsidP="00BF428D"/>
        </w:tc>
      </w:tr>
      <w:tr w:rsidR="00BF428D"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BF428D" w:rsidRDefault="00BF428D" w:rsidP="00BF428D">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BF428D" w:rsidRDefault="00BF428D" w:rsidP="00BF428D">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BF428D" w:rsidRDefault="00BF428D" w:rsidP="00BF428D">
            <w:pPr>
              <w:rPr>
                <w:lang w:eastAsia="zh-CN"/>
              </w:rPr>
            </w:pPr>
          </w:p>
        </w:tc>
      </w:tr>
      <w:tr w:rsidR="00BF428D"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BF428D" w:rsidRDefault="00BF428D" w:rsidP="00BF428D">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BF428D" w:rsidRDefault="00BF428D" w:rsidP="00BF428D">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BF428D" w:rsidRDefault="00BF428D" w:rsidP="00BF428D">
            <w:pPr>
              <w:rPr>
                <w:lang w:eastAsia="zh-CN"/>
              </w:rPr>
            </w:pPr>
          </w:p>
        </w:tc>
      </w:tr>
      <w:tr w:rsidR="00BF428D"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BF428D" w:rsidRDefault="00BF428D" w:rsidP="00BF428D">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BF428D" w:rsidRDefault="00BF428D" w:rsidP="00BF428D">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BF428D" w:rsidRDefault="00BF428D" w:rsidP="00BF428D">
            <w:pPr>
              <w:rPr>
                <w:lang w:eastAsia="zh-CN"/>
              </w:rPr>
            </w:pPr>
          </w:p>
        </w:tc>
      </w:tr>
    </w:tbl>
    <w:p w14:paraId="1EF6DE8B" w14:textId="6B0EBCF4" w:rsidR="00DE1739" w:rsidRDefault="00DE1739" w:rsidP="00DE1739"/>
    <w:p w14:paraId="169B3A30" w14:textId="77777777" w:rsidR="008A0B23" w:rsidRDefault="008A0B23" w:rsidP="00DE1739"/>
    <w:p w14:paraId="0832FB4F" w14:textId="6F7C68C4" w:rsidR="008A0B23" w:rsidRDefault="008A0B23" w:rsidP="008A0B23">
      <w:pPr>
        <w:pStyle w:val="1"/>
      </w:pPr>
      <w:r>
        <w:lastRenderedPageBreak/>
        <w:t>Other Rounds</w:t>
      </w:r>
    </w:p>
    <w:p w14:paraId="5C140C91" w14:textId="3C77DB61" w:rsidR="008A0B23" w:rsidRDefault="008A0B23" w:rsidP="00DE1739">
      <w:r>
        <w:t xml:space="preserve">Etc.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t>NR_newRAT-Core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14787" w14:textId="77777777" w:rsidR="006B5573" w:rsidRDefault="006B5573" w:rsidP="000274E9">
      <w:pPr>
        <w:spacing w:after="0"/>
      </w:pPr>
      <w:r>
        <w:separator/>
      </w:r>
    </w:p>
  </w:endnote>
  <w:endnote w:type="continuationSeparator" w:id="0">
    <w:p w14:paraId="1474FB6D" w14:textId="77777777" w:rsidR="006B5573" w:rsidRDefault="006B5573"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Che">
    <w:altName w:val="바탕체"/>
    <w:charset w:val="81"/>
    <w:family w:val="roman"/>
    <w:pitch w:val="fixed"/>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92D48" w14:textId="77777777" w:rsidR="006B5573" w:rsidRDefault="006B5573" w:rsidP="000274E9">
      <w:pPr>
        <w:spacing w:after="0"/>
      </w:pPr>
      <w:r>
        <w:separator/>
      </w:r>
    </w:p>
  </w:footnote>
  <w:footnote w:type="continuationSeparator" w:id="0">
    <w:p w14:paraId="43F35533" w14:textId="77777777" w:rsidR="006B5573" w:rsidRDefault="006B5573"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1"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67F6"/>
    <w:rsid w:val="000129D2"/>
    <w:rsid w:val="000246A2"/>
    <w:rsid w:val="000274E9"/>
    <w:rsid w:val="00061BE6"/>
    <w:rsid w:val="00064D5C"/>
    <w:rsid w:val="000713E2"/>
    <w:rsid w:val="000717EF"/>
    <w:rsid w:val="00075866"/>
    <w:rsid w:val="00087CC7"/>
    <w:rsid w:val="000A50AD"/>
    <w:rsid w:val="000A6ED3"/>
    <w:rsid w:val="000A6F7B"/>
    <w:rsid w:val="000C0578"/>
    <w:rsid w:val="000C31BA"/>
    <w:rsid w:val="000C5230"/>
    <w:rsid w:val="000E1E27"/>
    <w:rsid w:val="000E51FE"/>
    <w:rsid w:val="000F1B6D"/>
    <w:rsid w:val="00100216"/>
    <w:rsid w:val="00103FD0"/>
    <w:rsid w:val="00111AEB"/>
    <w:rsid w:val="00120F8D"/>
    <w:rsid w:val="0013001D"/>
    <w:rsid w:val="00131291"/>
    <w:rsid w:val="0014525B"/>
    <w:rsid w:val="001453C1"/>
    <w:rsid w:val="001531CE"/>
    <w:rsid w:val="00153462"/>
    <w:rsid w:val="00175348"/>
    <w:rsid w:val="001824D7"/>
    <w:rsid w:val="00184E8F"/>
    <w:rsid w:val="001920C1"/>
    <w:rsid w:val="00194579"/>
    <w:rsid w:val="001971AE"/>
    <w:rsid w:val="001A2D65"/>
    <w:rsid w:val="001D41DA"/>
    <w:rsid w:val="001E5F99"/>
    <w:rsid w:val="001E6541"/>
    <w:rsid w:val="001F0607"/>
    <w:rsid w:val="001F39CD"/>
    <w:rsid w:val="001F5466"/>
    <w:rsid w:val="00210DE0"/>
    <w:rsid w:val="002156FC"/>
    <w:rsid w:val="00225BDF"/>
    <w:rsid w:val="00241DCA"/>
    <w:rsid w:val="00250B34"/>
    <w:rsid w:val="00254977"/>
    <w:rsid w:val="00257DAB"/>
    <w:rsid w:val="00260842"/>
    <w:rsid w:val="002637F2"/>
    <w:rsid w:val="002677D3"/>
    <w:rsid w:val="0027301C"/>
    <w:rsid w:val="00276878"/>
    <w:rsid w:val="00292E23"/>
    <w:rsid w:val="002942D7"/>
    <w:rsid w:val="00296392"/>
    <w:rsid w:val="002B3029"/>
    <w:rsid w:val="002C777A"/>
    <w:rsid w:val="002D15B0"/>
    <w:rsid w:val="002D5A97"/>
    <w:rsid w:val="002D7F9A"/>
    <w:rsid w:val="002E5BD2"/>
    <w:rsid w:val="002F2E6F"/>
    <w:rsid w:val="00302688"/>
    <w:rsid w:val="00303BC6"/>
    <w:rsid w:val="003062AD"/>
    <w:rsid w:val="003068B4"/>
    <w:rsid w:val="00312032"/>
    <w:rsid w:val="00320EC5"/>
    <w:rsid w:val="00327D85"/>
    <w:rsid w:val="003344F3"/>
    <w:rsid w:val="00367784"/>
    <w:rsid w:val="00386B81"/>
    <w:rsid w:val="00396997"/>
    <w:rsid w:val="003A4AED"/>
    <w:rsid w:val="003A59C5"/>
    <w:rsid w:val="003A5F2E"/>
    <w:rsid w:val="003A79AB"/>
    <w:rsid w:val="003B163E"/>
    <w:rsid w:val="003B46D9"/>
    <w:rsid w:val="003D3109"/>
    <w:rsid w:val="003D3A36"/>
    <w:rsid w:val="003E0459"/>
    <w:rsid w:val="003E1D99"/>
    <w:rsid w:val="003E5B3D"/>
    <w:rsid w:val="003F57A9"/>
    <w:rsid w:val="00404A0E"/>
    <w:rsid w:val="004052E0"/>
    <w:rsid w:val="00410E8D"/>
    <w:rsid w:val="004112A5"/>
    <w:rsid w:val="00413120"/>
    <w:rsid w:val="0042082E"/>
    <w:rsid w:val="00422A7E"/>
    <w:rsid w:val="00423DCC"/>
    <w:rsid w:val="00431444"/>
    <w:rsid w:val="00431B0B"/>
    <w:rsid w:val="00445BD3"/>
    <w:rsid w:val="0045503A"/>
    <w:rsid w:val="004769BB"/>
    <w:rsid w:val="00481C6D"/>
    <w:rsid w:val="004822A7"/>
    <w:rsid w:val="00487384"/>
    <w:rsid w:val="00487DC1"/>
    <w:rsid w:val="004901C7"/>
    <w:rsid w:val="00492325"/>
    <w:rsid w:val="004A5267"/>
    <w:rsid w:val="004A5C3B"/>
    <w:rsid w:val="004C6015"/>
    <w:rsid w:val="004F1A79"/>
    <w:rsid w:val="004F42FB"/>
    <w:rsid w:val="00502083"/>
    <w:rsid w:val="00503FD1"/>
    <w:rsid w:val="005147D7"/>
    <w:rsid w:val="00525318"/>
    <w:rsid w:val="00540EA0"/>
    <w:rsid w:val="00551443"/>
    <w:rsid w:val="00551A4E"/>
    <w:rsid w:val="00551B9D"/>
    <w:rsid w:val="00552672"/>
    <w:rsid w:val="005549B8"/>
    <w:rsid w:val="005551AF"/>
    <w:rsid w:val="00556425"/>
    <w:rsid w:val="0056182E"/>
    <w:rsid w:val="005809F6"/>
    <w:rsid w:val="00585A8F"/>
    <w:rsid w:val="00585DED"/>
    <w:rsid w:val="00587BFF"/>
    <w:rsid w:val="005A0AAF"/>
    <w:rsid w:val="005B43FF"/>
    <w:rsid w:val="005B7852"/>
    <w:rsid w:val="005C43AF"/>
    <w:rsid w:val="005D3AAE"/>
    <w:rsid w:val="005D7A30"/>
    <w:rsid w:val="005F50CF"/>
    <w:rsid w:val="005F7430"/>
    <w:rsid w:val="005F7880"/>
    <w:rsid w:val="00601EA7"/>
    <w:rsid w:val="006040BD"/>
    <w:rsid w:val="00605C25"/>
    <w:rsid w:val="006069AA"/>
    <w:rsid w:val="0061049C"/>
    <w:rsid w:val="00622627"/>
    <w:rsid w:val="0062749E"/>
    <w:rsid w:val="006276B3"/>
    <w:rsid w:val="00630AFC"/>
    <w:rsid w:val="00631079"/>
    <w:rsid w:val="00632840"/>
    <w:rsid w:val="0063523F"/>
    <w:rsid w:val="00636FA8"/>
    <w:rsid w:val="006417EC"/>
    <w:rsid w:val="00643F6F"/>
    <w:rsid w:val="006535DD"/>
    <w:rsid w:val="00653B0D"/>
    <w:rsid w:val="00666414"/>
    <w:rsid w:val="00670C5B"/>
    <w:rsid w:val="0069128C"/>
    <w:rsid w:val="006950B7"/>
    <w:rsid w:val="006A3A54"/>
    <w:rsid w:val="006A7399"/>
    <w:rsid w:val="006B3F0B"/>
    <w:rsid w:val="006B5573"/>
    <w:rsid w:val="006D1688"/>
    <w:rsid w:val="006D1CC4"/>
    <w:rsid w:val="006D774A"/>
    <w:rsid w:val="006E48D6"/>
    <w:rsid w:val="006F2A64"/>
    <w:rsid w:val="006F61DA"/>
    <w:rsid w:val="00707EEB"/>
    <w:rsid w:val="00715C0D"/>
    <w:rsid w:val="00715FE8"/>
    <w:rsid w:val="007175CD"/>
    <w:rsid w:val="007307AF"/>
    <w:rsid w:val="0074094A"/>
    <w:rsid w:val="00742417"/>
    <w:rsid w:val="007438FC"/>
    <w:rsid w:val="00747FF8"/>
    <w:rsid w:val="00752444"/>
    <w:rsid w:val="00755EF3"/>
    <w:rsid w:val="00761D18"/>
    <w:rsid w:val="00764622"/>
    <w:rsid w:val="0077376F"/>
    <w:rsid w:val="007871A4"/>
    <w:rsid w:val="00787EB6"/>
    <w:rsid w:val="007A026B"/>
    <w:rsid w:val="007A0D91"/>
    <w:rsid w:val="007A262E"/>
    <w:rsid w:val="007C0300"/>
    <w:rsid w:val="007C08D4"/>
    <w:rsid w:val="007C3040"/>
    <w:rsid w:val="007C5560"/>
    <w:rsid w:val="007C7A9B"/>
    <w:rsid w:val="007D527A"/>
    <w:rsid w:val="007D6512"/>
    <w:rsid w:val="007D6DFD"/>
    <w:rsid w:val="007E2362"/>
    <w:rsid w:val="007F6408"/>
    <w:rsid w:val="00807936"/>
    <w:rsid w:val="00826896"/>
    <w:rsid w:val="008372EC"/>
    <w:rsid w:val="0084081B"/>
    <w:rsid w:val="008641BF"/>
    <w:rsid w:val="00871B8C"/>
    <w:rsid w:val="008A0B23"/>
    <w:rsid w:val="008A1390"/>
    <w:rsid w:val="008A1566"/>
    <w:rsid w:val="008A2823"/>
    <w:rsid w:val="008A2B07"/>
    <w:rsid w:val="008D116E"/>
    <w:rsid w:val="008D3FB0"/>
    <w:rsid w:val="008D4785"/>
    <w:rsid w:val="008D5EE7"/>
    <w:rsid w:val="008E1F89"/>
    <w:rsid w:val="008E749F"/>
    <w:rsid w:val="008F220D"/>
    <w:rsid w:val="008F6FAE"/>
    <w:rsid w:val="00902CD9"/>
    <w:rsid w:val="00914867"/>
    <w:rsid w:val="0092656E"/>
    <w:rsid w:val="009265A7"/>
    <w:rsid w:val="00930EE4"/>
    <w:rsid w:val="00933FC9"/>
    <w:rsid w:val="0094091D"/>
    <w:rsid w:val="00942214"/>
    <w:rsid w:val="0094250A"/>
    <w:rsid w:val="00946939"/>
    <w:rsid w:val="00955CF1"/>
    <w:rsid w:val="00957498"/>
    <w:rsid w:val="00963C87"/>
    <w:rsid w:val="009706AE"/>
    <w:rsid w:val="0097382B"/>
    <w:rsid w:val="009738B3"/>
    <w:rsid w:val="009746C6"/>
    <w:rsid w:val="00981CB7"/>
    <w:rsid w:val="009821C0"/>
    <w:rsid w:val="00993E95"/>
    <w:rsid w:val="00997D2F"/>
    <w:rsid w:val="009A1130"/>
    <w:rsid w:val="009A30DB"/>
    <w:rsid w:val="009B00E9"/>
    <w:rsid w:val="009B0B09"/>
    <w:rsid w:val="009C0295"/>
    <w:rsid w:val="009D4539"/>
    <w:rsid w:val="009E1EBC"/>
    <w:rsid w:val="009E2C18"/>
    <w:rsid w:val="009F523A"/>
    <w:rsid w:val="009F6E28"/>
    <w:rsid w:val="00A17A2F"/>
    <w:rsid w:val="00A20E9F"/>
    <w:rsid w:val="00A36CD6"/>
    <w:rsid w:val="00A40685"/>
    <w:rsid w:val="00A41DB7"/>
    <w:rsid w:val="00A443E2"/>
    <w:rsid w:val="00A5129A"/>
    <w:rsid w:val="00A534E4"/>
    <w:rsid w:val="00A5395E"/>
    <w:rsid w:val="00A56EA4"/>
    <w:rsid w:val="00A57677"/>
    <w:rsid w:val="00A72DBD"/>
    <w:rsid w:val="00A83A46"/>
    <w:rsid w:val="00A9038A"/>
    <w:rsid w:val="00A967CC"/>
    <w:rsid w:val="00AB3B96"/>
    <w:rsid w:val="00AD2F6C"/>
    <w:rsid w:val="00AD4DB4"/>
    <w:rsid w:val="00AE7B7A"/>
    <w:rsid w:val="00AF024E"/>
    <w:rsid w:val="00AF15F4"/>
    <w:rsid w:val="00B15E36"/>
    <w:rsid w:val="00B166A3"/>
    <w:rsid w:val="00B31A30"/>
    <w:rsid w:val="00B34FE4"/>
    <w:rsid w:val="00B47036"/>
    <w:rsid w:val="00B519A6"/>
    <w:rsid w:val="00B60029"/>
    <w:rsid w:val="00B73420"/>
    <w:rsid w:val="00B75C4A"/>
    <w:rsid w:val="00B870A2"/>
    <w:rsid w:val="00B87B96"/>
    <w:rsid w:val="00B90DE0"/>
    <w:rsid w:val="00BA1263"/>
    <w:rsid w:val="00BA6190"/>
    <w:rsid w:val="00BB68BB"/>
    <w:rsid w:val="00BC0EF9"/>
    <w:rsid w:val="00BC5C6A"/>
    <w:rsid w:val="00BD136A"/>
    <w:rsid w:val="00BE467E"/>
    <w:rsid w:val="00BE6168"/>
    <w:rsid w:val="00BF428D"/>
    <w:rsid w:val="00C23C3D"/>
    <w:rsid w:val="00C25DDB"/>
    <w:rsid w:val="00C3058B"/>
    <w:rsid w:val="00C33678"/>
    <w:rsid w:val="00C40517"/>
    <w:rsid w:val="00C43944"/>
    <w:rsid w:val="00C47243"/>
    <w:rsid w:val="00C61E17"/>
    <w:rsid w:val="00C670AB"/>
    <w:rsid w:val="00C72BF8"/>
    <w:rsid w:val="00C76C55"/>
    <w:rsid w:val="00C80AAF"/>
    <w:rsid w:val="00C819E0"/>
    <w:rsid w:val="00C82579"/>
    <w:rsid w:val="00C82EC5"/>
    <w:rsid w:val="00C876F1"/>
    <w:rsid w:val="00C95162"/>
    <w:rsid w:val="00CA1809"/>
    <w:rsid w:val="00CB31B2"/>
    <w:rsid w:val="00CB66CA"/>
    <w:rsid w:val="00CD4571"/>
    <w:rsid w:val="00CE43BB"/>
    <w:rsid w:val="00CE552E"/>
    <w:rsid w:val="00CF0139"/>
    <w:rsid w:val="00CF6212"/>
    <w:rsid w:val="00CF79C3"/>
    <w:rsid w:val="00D1108A"/>
    <w:rsid w:val="00D30E2A"/>
    <w:rsid w:val="00D35B74"/>
    <w:rsid w:val="00D40696"/>
    <w:rsid w:val="00D44844"/>
    <w:rsid w:val="00D46A0C"/>
    <w:rsid w:val="00D46A5B"/>
    <w:rsid w:val="00D47AB3"/>
    <w:rsid w:val="00D47B89"/>
    <w:rsid w:val="00D57802"/>
    <w:rsid w:val="00D6027D"/>
    <w:rsid w:val="00D71762"/>
    <w:rsid w:val="00D72BAA"/>
    <w:rsid w:val="00D83D30"/>
    <w:rsid w:val="00D87D8A"/>
    <w:rsid w:val="00D90AFD"/>
    <w:rsid w:val="00D96E11"/>
    <w:rsid w:val="00DA5E21"/>
    <w:rsid w:val="00DC4196"/>
    <w:rsid w:val="00DD0EFA"/>
    <w:rsid w:val="00DD27C3"/>
    <w:rsid w:val="00DD4384"/>
    <w:rsid w:val="00DD7234"/>
    <w:rsid w:val="00DE1739"/>
    <w:rsid w:val="00DE7423"/>
    <w:rsid w:val="00DF0755"/>
    <w:rsid w:val="00E05833"/>
    <w:rsid w:val="00E07FC4"/>
    <w:rsid w:val="00E101B8"/>
    <w:rsid w:val="00E10AB3"/>
    <w:rsid w:val="00E136A8"/>
    <w:rsid w:val="00E250A8"/>
    <w:rsid w:val="00E26542"/>
    <w:rsid w:val="00E45140"/>
    <w:rsid w:val="00E46E40"/>
    <w:rsid w:val="00E55B79"/>
    <w:rsid w:val="00E62652"/>
    <w:rsid w:val="00E66562"/>
    <w:rsid w:val="00E7361A"/>
    <w:rsid w:val="00E97D85"/>
    <w:rsid w:val="00EA6892"/>
    <w:rsid w:val="00EA690F"/>
    <w:rsid w:val="00EC1807"/>
    <w:rsid w:val="00ED2C1E"/>
    <w:rsid w:val="00ED31AB"/>
    <w:rsid w:val="00ED72F7"/>
    <w:rsid w:val="00ED76DB"/>
    <w:rsid w:val="00EE4815"/>
    <w:rsid w:val="00EF4E08"/>
    <w:rsid w:val="00F076EA"/>
    <w:rsid w:val="00F26694"/>
    <w:rsid w:val="00F47C5B"/>
    <w:rsid w:val="00F5371A"/>
    <w:rsid w:val="00F54C9C"/>
    <w:rsid w:val="00F6580A"/>
    <w:rsid w:val="00F75FAF"/>
    <w:rsid w:val="00F81135"/>
    <w:rsid w:val="00F90D5C"/>
    <w:rsid w:val="00F93253"/>
    <w:rsid w:val="00F97AE7"/>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Char"/>
    <w:rsid w:val="00422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22A7E"/>
    <w:rPr>
      <w:sz w:val="18"/>
      <w:szCs w:val="18"/>
      <w:lang w:eastAsia="ja-JP"/>
    </w:rPr>
  </w:style>
  <w:style w:type="paragraph" w:styleId="a7">
    <w:name w:val="footer"/>
    <w:basedOn w:val="a"/>
    <w:link w:val="Char0"/>
    <w:rsid w:val="00422A7E"/>
    <w:pPr>
      <w:tabs>
        <w:tab w:val="center" w:pos="4153"/>
        <w:tab w:val="right" w:pos="8306"/>
      </w:tabs>
      <w:snapToGrid w:val="0"/>
    </w:pPr>
    <w:rPr>
      <w:sz w:val="18"/>
      <w:szCs w:val="18"/>
    </w:rPr>
  </w:style>
  <w:style w:type="character" w:customStyle="1" w:styleId="Char0">
    <w:name w:val="页脚 Char"/>
    <w:basedOn w:val="a0"/>
    <w:link w:val="a7"/>
    <w:rsid w:val="00422A7E"/>
    <w:rPr>
      <w:sz w:val="18"/>
      <w:szCs w:val="18"/>
      <w:lang w:eastAsia="ja-JP"/>
    </w:rPr>
  </w:style>
  <w:style w:type="paragraph" w:styleId="a8">
    <w:name w:val="Balloon Text"/>
    <w:basedOn w:val="a"/>
    <w:link w:val="Char1"/>
    <w:semiHidden/>
    <w:unhideWhenUsed/>
    <w:rsid w:val="009746C6"/>
    <w:pPr>
      <w:spacing w:after="0"/>
    </w:pPr>
    <w:rPr>
      <w:rFonts w:ascii="Segoe UI" w:hAnsi="Segoe UI" w:cs="Segoe UI"/>
      <w:sz w:val="18"/>
      <w:szCs w:val="18"/>
    </w:rPr>
  </w:style>
  <w:style w:type="character" w:customStyle="1" w:styleId="Char1">
    <w:name w:val="批注框文本 Char"/>
    <w:basedOn w:val="a0"/>
    <w:link w:val="a8"/>
    <w:semiHidden/>
    <w:rsid w:val="009746C6"/>
    <w:rPr>
      <w:rFonts w:ascii="Segoe UI" w:hAnsi="Segoe UI" w:cs="Segoe UI"/>
      <w:sz w:val="18"/>
      <w:szCs w:val="18"/>
      <w:lang w:eastAsia="ja-JP"/>
    </w:rPr>
  </w:style>
  <w:style w:type="character" w:styleId="a9">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TSG_RAN/TSGR_93e/Docs/RP-212206.zip" TargetMode="External"/><Relationship Id="rId5" Type="http://schemas.openxmlformats.org/officeDocument/2006/relationships/styles" Target="styles.xml"/><Relationship Id="rId10" Type="http://schemas.openxmlformats.org/officeDocument/2006/relationships/hyperlink" Target="https://www.3gpp.org/DynaReport/38822.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2188</Words>
  <Characters>12478</Characters>
  <Application>Microsoft Office Word</Application>
  <DocSecurity>0</DocSecurity>
  <Lines>103</Lines>
  <Paragraphs>29</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14637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ZTE-Xingguang</cp:lastModifiedBy>
  <cp:revision>30</cp:revision>
  <dcterms:created xsi:type="dcterms:W3CDTF">2021-09-14T02:08:00Z</dcterms:created>
  <dcterms:modified xsi:type="dcterms:W3CDTF">2021-09-14T08:09:00Z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ies>
</file>